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F4D03A">
      <w:pPr>
        <w:pStyle w:val="20"/>
        <w:jc w:val="center"/>
      </w:pPr>
      <w:r>
        <w:t>Московский государственный технический университет им. Н.Э. Баумана</w:t>
      </w:r>
    </w:p>
    <w:p w14:paraId="5FE51151">
      <w:pPr>
        <w:pStyle w:val="20"/>
        <w:jc w:val="center"/>
      </w:pPr>
      <w:r>
        <w:t>Факультет «Радиоэлектроника и лазерная техника (РЛ)»</w:t>
      </w:r>
    </w:p>
    <w:p w14:paraId="71D63EDE">
      <w:pPr>
        <w:pStyle w:val="20"/>
        <w:jc w:val="center"/>
      </w:pPr>
      <w:r>
        <w:t>Кафедра «Технология приборостроения (РЛ6)»</w:t>
      </w:r>
    </w:p>
    <w:p w14:paraId="4336C0CF">
      <w:pPr>
        <w:pStyle w:val="20"/>
      </w:pPr>
      <w:r>
        <mc:AlternateContent>
          <mc:Choice Requires="wps">
            <w:drawing>
              <wp:inline distT="0" distB="0" distL="0" distR="0">
                <wp:extent cx="6921500" cy="42545"/>
                <wp:effectExtent l="9525" t="9525" r="12700" b="5080"/>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6921500" cy="42545"/>
                        </a:xfrm>
                        <a:prstGeom prst="line">
                          <a:avLst/>
                        </a:prstGeom>
                        <a:noFill/>
                        <a:ln w="6350">
                          <a:solidFill>
                            <a:schemeClr val="tx1">
                              <a:lumMod val="100000"/>
                              <a:lumOff val="0"/>
                            </a:schemeClr>
                          </a:solidFill>
                          <a:miter lim="800000"/>
                        </a:ln>
                      </wps:spPr>
                      <wps:bodyPr/>
                    </wps:wsp>
                  </a:graphicData>
                </a:graphic>
              </wp:inline>
            </w:drawing>
          </mc:Choice>
          <mc:Fallback>
            <w:pict>
              <v:line id="Straight Connector 2" o:spid="_x0000_s1026" o:spt="20" style="height:3.35pt;width:545pt;" filled="f" stroked="t" coordsize="21600,21600" o:gfxdata="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c&#10;d/dk0QAAAAQBAAAPAAAAAAAAAAEAIAAAACIAAABkcnMvZG93bnJldi54bWxQSwECFAAUAAAACACH&#10;TuJApt9kWfIBAAD0AwAADgAAAAAAAAABACAAAAAgAQAAZHJzL2Uyb0RvYy54bWxQSwUGAAAAAAYA&#10;BgBZAQAAhAUAAAAA&#10;">
                <v:fill on="f" focussize="0,0"/>
                <v:stroke weight="0.5pt" color="#000000 [3229]" miterlimit="8" joinstyle="miter"/>
                <v:imagedata o:title=""/>
                <o:lock v:ext="edit" aspectratio="f"/>
                <w10:wrap type="none"/>
                <w10:anchorlock/>
              </v:line>
            </w:pict>
          </mc:Fallback>
        </mc:AlternateContent>
      </w:r>
    </w:p>
    <w:p w14:paraId="268FB046">
      <w:pPr>
        <w:pStyle w:val="20"/>
        <w:jc w:val="center"/>
      </w:pPr>
    </w:p>
    <w:p w14:paraId="716A368F">
      <w:pPr>
        <w:pStyle w:val="20"/>
        <w:jc w:val="center"/>
      </w:pPr>
    </w:p>
    <w:p w14:paraId="12BBF095">
      <w:pPr>
        <w:pStyle w:val="20"/>
        <w:jc w:val="center"/>
      </w:pPr>
    </w:p>
    <w:p w14:paraId="409AD0A4">
      <w:pPr>
        <w:pStyle w:val="20"/>
        <w:jc w:val="center"/>
      </w:pPr>
    </w:p>
    <w:p w14:paraId="4F093582">
      <w:pPr>
        <w:pStyle w:val="20"/>
        <w:jc w:val="center"/>
      </w:pPr>
      <w:bookmarkStart w:id="0" w:name="_Hlk177031990"/>
      <w:r>
        <w:t>Занятие №3 – " Исследование спектральной характеристики АМ колебания"</w:t>
      </w:r>
    </w:p>
    <w:p w14:paraId="2F568A9A">
      <w:pPr>
        <w:pStyle w:val="20"/>
        <w:jc w:val="center"/>
      </w:pPr>
      <w:r>
        <w:t>по дисциплине «Информационные РЭС»</w:t>
      </w:r>
    </w:p>
    <w:bookmarkEnd w:id="0"/>
    <w:p w14:paraId="26100FA3">
      <w:pPr>
        <w:pStyle w:val="20"/>
        <w:jc w:val="center"/>
        <w:rPr>
          <w:rFonts w:hint="default"/>
          <w:lang w:val="en-US"/>
        </w:rPr>
      </w:pPr>
      <w:r>
        <w:t xml:space="preserve">Вариант </w:t>
      </w:r>
      <w:r>
        <w:rPr>
          <w:rFonts w:hint="default"/>
          <w:lang w:val="en-US"/>
        </w:rPr>
        <w:t>10</w:t>
      </w:r>
    </w:p>
    <w:p w14:paraId="5134A3F3">
      <w:pPr>
        <w:pStyle w:val="20"/>
        <w:jc w:val="center"/>
      </w:pPr>
    </w:p>
    <w:p w14:paraId="6B8282E8">
      <w:pPr>
        <w:pStyle w:val="20"/>
        <w:jc w:val="center"/>
      </w:pPr>
    </w:p>
    <w:p w14:paraId="08E4F220">
      <w:pPr>
        <w:pStyle w:val="20"/>
        <w:jc w:val="center"/>
      </w:pPr>
    </w:p>
    <w:p w14:paraId="3C1A76DF">
      <w:pPr>
        <w:pStyle w:val="20"/>
        <w:jc w:val="center"/>
      </w:pPr>
    </w:p>
    <w:p w14:paraId="52296235">
      <w:pPr>
        <w:pStyle w:val="20"/>
        <w:jc w:val="center"/>
      </w:pPr>
      <w:r>
        <w:t>Выполнил ст. группы РЛ6-91</w:t>
      </w:r>
    </w:p>
    <w:p w14:paraId="18A96805">
      <w:pPr>
        <w:pStyle w:val="20"/>
        <w:jc w:val="center"/>
      </w:pPr>
      <w:bookmarkStart w:id="1" w:name="_GoBack"/>
      <w:bookmarkEnd w:id="1"/>
      <w:r>
        <w:rPr>
          <w:rFonts w:hint="default"/>
          <w:lang w:val="ru-RU"/>
        </w:rPr>
        <w:t>Филимонов С. В</w:t>
      </w:r>
      <w:r>
        <w:t>.</w:t>
      </w:r>
    </w:p>
    <w:p w14:paraId="36083659">
      <w:pPr>
        <w:pStyle w:val="20"/>
        <w:jc w:val="center"/>
      </w:pPr>
    </w:p>
    <w:p w14:paraId="19DF7A90">
      <w:pPr>
        <w:pStyle w:val="20"/>
        <w:jc w:val="center"/>
      </w:pPr>
    </w:p>
    <w:p w14:paraId="0DB6E633">
      <w:pPr>
        <w:pStyle w:val="20"/>
        <w:jc w:val="center"/>
      </w:pPr>
    </w:p>
    <w:p w14:paraId="7419C673">
      <w:pPr>
        <w:pStyle w:val="20"/>
        <w:jc w:val="center"/>
      </w:pPr>
      <w:r>
        <w:t>Преподаватель</w:t>
      </w:r>
      <w:r>
        <w:rPr>
          <w:i/>
          <w:iCs/>
        </w:rPr>
        <w:t xml:space="preserve"> </w:t>
      </w:r>
      <w:r>
        <w:t>Руденко Н.Р.</w:t>
      </w:r>
    </w:p>
    <w:p w14:paraId="1BDF2CFB">
      <w:pPr>
        <w:pStyle w:val="20"/>
        <w:jc w:val="center"/>
      </w:pPr>
    </w:p>
    <w:p w14:paraId="5BCD4EC2">
      <w:pPr>
        <w:pStyle w:val="20"/>
        <w:jc w:val="center"/>
      </w:pPr>
    </w:p>
    <w:p w14:paraId="6E533D71">
      <w:pPr>
        <w:pStyle w:val="20"/>
        <w:jc w:val="center"/>
      </w:pPr>
    </w:p>
    <w:p w14:paraId="0A691782">
      <w:pPr>
        <w:pStyle w:val="20"/>
        <w:jc w:val="center"/>
      </w:pPr>
    </w:p>
    <w:p w14:paraId="7CB788A6">
      <w:pPr>
        <w:pStyle w:val="20"/>
        <w:jc w:val="center"/>
      </w:pPr>
    </w:p>
    <w:p w14:paraId="280251E0">
      <w:pPr>
        <w:pStyle w:val="20"/>
        <w:jc w:val="center"/>
      </w:pPr>
    </w:p>
    <w:p w14:paraId="7C0BC4BB">
      <w:pPr>
        <w:pStyle w:val="20"/>
        <w:jc w:val="center"/>
      </w:pPr>
    </w:p>
    <w:p w14:paraId="6A872946">
      <w:pPr>
        <w:pStyle w:val="20"/>
        <w:jc w:val="center"/>
      </w:pPr>
    </w:p>
    <w:p w14:paraId="5E475FA2">
      <w:pPr>
        <w:pStyle w:val="20"/>
        <w:jc w:val="center"/>
      </w:pPr>
    </w:p>
    <w:p w14:paraId="732CB7B2">
      <w:pPr>
        <w:pStyle w:val="20"/>
        <w:jc w:val="center"/>
      </w:pPr>
    </w:p>
    <w:p w14:paraId="69233824">
      <w:pPr>
        <w:pStyle w:val="20"/>
        <w:jc w:val="center"/>
      </w:pPr>
      <w:r>
        <w:t>Москва, 2024</w:t>
      </w:r>
    </w:p>
    <w:p w14:paraId="0CE9C3BD">
      <w:pPr>
        <w:pStyle w:val="18"/>
      </w:pPr>
      <w:r>
        <w:drawing>
          <wp:inline distT="0" distB="0" distL="0" distR="0">
            <wp:extent cx="5794375" cy="48393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a:stretch>
                      <a:fillRect/>
                    </a:stretch>
                  </pic:blipFill>
                  <pic:spPr>
                    <a:xfrm>
                      <a:off x="0" y="0"/>
                      <a:ext cx="5826350" cy="4866055"/>
                    </a:xfrm>
                    <a:prstGeom prst="rect">
                      <a:avLst/>
                    </a:prstGeom>
                  </pic:spPr>
                </pic:pic>
              </a:graphicData>
            </a:graphic>
          </wp:inline>
        </w:drawing>
      </w:r>
    </w:p>
    <w:p w14:paraId="73CBB8B1">
      <w:pPr>
        <w:pStyle w:val="20"/>
        <w:jc w:val="center"/>
      </w:pPr>
      <w:r>
        <w:rPr>
          <w:color w:val="000000"/>
        </w:rPr>
        <w:t xml:space="preserve">Рис. 1 – Схема амплитудного модулятора, собранного </w:t>
      </w:r>
      <w:r>
        <w:t>на основе биполярного транзистора, включенного по схеме с общим эмиттером</w:t>
      </w:r>
    </w:p>
    <w:p w14:paraId="51F19C40">
      <w:pPr>
        <w:pStyle w:val="18"/>
        <w:rPr>
          <w:lang w:val="en-US"/>
        </w:rPr>
      </w:pPr>
      <w:r>
        <w:drawing>
          <wp:inline distT="0" distB="0" distL="0" distR="0">
            <wp:extent cx="5347970" cy="402844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7"/>
                    <a:stretch>
                      <a:fillRect/>
                    </a:stretch>
                  </pic:blipFill>
                  <pic:spPr>
                    <a:xfrm>
                      <a:off x="0" y="0"/>
                      <a:ext cx="5399798" cy="4067252"/>
                    </a:xfrm>
                    <a:prstGeom prst="rect">
                      <a:avLst/>
                    </a:prstGeom>
                  </pic:spPr>
                </pic:pic>
              </a:graphicData>
            </a:graphic>
          </wp:inline>
        </w:drawing>
      </w:r>
    </w:p>
    <w:p w14:paraId="3D043298">
      <w:pPr>
        <w:pStyle w:val="20"/>
        <w:jc w:val="center"/>
      </w:pPr>
      <w:r>
        <w:t>Рис. 2 – Осциллограмма сигналов</w:t>
      </w:r>
    </w:p>
    <w:p w14:paraId="6515C7E9">
      <w:pPr>
        <w:pStyle w:val="18"/>
        <w:rPr>
          <w:lang w:val="en-US"/>
        </w:rPr>
      </w:pPr>
      <w:r>
        <w:drawing>
          <wp:inline distT="0" distB="0" distL="0" distR="0">
            <wp:extent cx="6331585" cy="2825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6350701" cy="2834332"/>
                    </a:xfrm>
                    <a:prstGeom prst="rect">
                      <a:avLst/>
                    </a:prstGeom>
                  </pic:spPr>
                </pic:pic>
              </a:graphicData>
            </a:graphic>
          </wp:inline>
        </w:drawing>
      </w:r>
    </w:p>
    <w:p w14:paraId="0FA3158E">
      <w:pPr>
        <w:pStyle w:val="20"/>
        <w:jc w:val="center"/>
      </w:pPr>
      <w:r>
        <w:t>Рис. 3 – Спектр сигнала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161"/>
        <w:gridCol w:w="1162"/>
        <w:gridCol w:w="1162"/>
        <w:gridCol w:w="1162"/>
        <w:gridCol w:w="1162"/>
        <w:gridCol w:w="1162"/>
        <w:gridCol w:w="1162"/>
        <w:gridCol w:w="1162"/>
      </w:tblGrid>
      <w:tr w14:paraId="367CD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48625590">
            <w:pPr>
              <w:pStyle w:val="20"/>
              <w:spacing w:line="240" w:lineRule="auto"/>
              <w:jc w:val="center"/>
            </w:pPr>
          </w:p>
        </w:tc>
        <w:tc>
          <w:tcPr>
            <w:tcW w:w="9295" w:type="dxa"/>
            <w:gridSpan w:val="8"/>
          </w:tcPr>
          <w:p w14:paraId="41495CE0">
            <w:pPr>
              <w:pStyle w:val="20"/>
              <w:spacing w:line="240" w:lineRule="auto"/>
              <w:jc w:val="center"/>
            </w:pPr>
            <w:r>
              <w:t>Опытные значения</w:t>
            </w:r>
          </w:p>
        </w:tc>
      </w:tr>
      <w:tr w14:paraId="1656E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6FA0DBE8">
            <w:pPr>
              <w:pStyle w:val="20"/>
              <w:spacing w:line="240" w:lineRule="auto"/>
              <w:jc w:val="center"/>
            </w:pPr>
            <m:oMath>
              <m:r>
                <m:rPr/>
                <w:rPr>
                  <w:rFonts w:ascii="Cambria Math" w:hAnsi="Cambria Math"/>
                </w:rPr>
                <m:t>V</m:t>
              </m:r>
              <m:r>
                <m:rPr>
                  <m:sty m:val="p"/>
                </m:rPr>
                <w:rPr>
                  <w:rFonts w:ascii="Cambria Math" w:hAnsi="Cambria Math"/>
                </w:rPr>
                <m:t>3</m:t>
              </m:r>
            </m:oMath>
            <w:r>
              <w:t>, В</w:t>
            </w:r>
          </w:p>
        </w:tc>
        <w:tc>
          <w:tcPr>
            <w:tcW w:w="1161" w:type="dxa"/>
          </w:tcPr>
          <w:p w14:paraId="09214999">
            <w:pPr>
              <w:pStyle w:val="20"/>
              <w:spacing w:line="240" w:lineRule="auto"/>
              <w:jc w:val="center"/>
            </w:pPr>
            <w:r>
              <w:t>0.5</w:t>
            </w:r>
          </w:p>
        </w:tc>
        <w:tc>
          <w:tcPr>
            <w:tcW w:w="1162" w:type="dxa"/>
          </w:tcPr>
          <w:p w14:paraId="5D111EDD">
            <w:pPr>
              <w:pStyle w:val="20"/>
              <w:spacing w:line="240" w:lineRule="auto"/>
              <w:jc w:val="center"/>
            </w:pPr>
            <w:r>
              <w:t>1</w:t>
            </w:r>
          </w:p>
        </w:tc>
        <w:tc>
          <w:tcPr>
            <w:tcW w:w="1162" w:type="dxa"/>
          </w:tcPr>
          <w:p w14:paraId="74D9EB89">
            <w:pPr>
              <w:pStyle w:val="20"/>
              <w:spacing w:line="240" w:lineRule="auto"/>
              <w:jc w:val="center"/>
            </w:pPr>
            <w:r>
              <w:t>1.5</w:t>
            </w:r>
          </w:p>
        </w:tc>
        <w:tc>
          <w:tcPr>
            <w:tcW w:w="1162" w:type="dxa"/>
          </w:tcPr>
          <w:p w14:paraId="672DCC25">
            <w:pPr>
              <w:pStyle w:val="20"/>
              <w:spacing w:line="240" w:lineRule="auto"/>
              <w:jc w:val="center"/>
            </w:pPr>
            <w:r>
              <w:t>2</w:t>
            </w:r>
          </w:p>
        </w:tc>
        <w:tc>
          <w:tcPr>
            <w:tcW w:w="1162" w:type="dxa"/>
          </w:tcPr>
          <w:p w14:paraId="62FD9E80">
            <w:pPr>
              <w:pStyle w:val="20"/>
              <w:spacing w:line="240" w:lineRule="auto"/>
              <w:jc w:val="center"/>
            </w:pPr>
            <w:r>
              <w:t>2.5</w:t>
            </w:r>
          </w:p>
        </w:tc>
        <w:tc>
          <w:tcPr>
            <w:tcW w:w="1162" w:type="dxa"/>
          </w:tcPr>
          <w:p w14:paraId="36B68664">
            <w:pPr>
              <w:pStyle w:val="20"/>
              <w:spacing w:line="240" w:lineRule="auto"/>
              <w:jc w:val="center"/>
            </w:pPr>
            <w:r>
              <w:t>3</w:t>
            </w:r>
          </w:p>
        </w:tc>
        <w:tc>
          <w:tcPr>
            <w:tcW w:w="1162" w:type="dxa"/>
          </w:tcPr>
          <w:p w14:paraId="134E87C4">
            <w:pPr>
              <w:pStyle w:val="20"/>
              <w:spacing w:line="240" w:lineRule="auto"/>
              <w:jc w:val="center"/>
            </w:pPr>
            <w:r>
              <w:t>5</w:t>
            </w:r>
          </w:p>
        </w:tc>
        <w:tc>
          <w:tcPr>
            <w:tcW w:w="1162" w:type="dxa"/>
          </w:tcPr>
          <w:p w14:paraId="46BB3116">
            <w:pPr>
              <w:pStyle w:val="20"/>
              <w:spacing w:line="240" w:lineRule="auto"/>
              <w:jc w:val="center"/>
            </w:pPr>
            <w:r>
              <w:t>10</w:t>
            </w:r>
          </w:p>
        </w:tc>
      </w:tr>
      <w:tr w14:paraId="55052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FB7722D">
            <w:pPr>
              <w:pStyle w:val="20"/>
              <w:spacing w:line="240" w:lineRule="auto"/>
              <w:jc w:val="cente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max</m:t>
                    </m:r>
                    <m:ctrlPr>
                      <w:rPr>
                        <w:rFonts w:ascii="Cambria Math" w:hAnsi="Cambria Math"/>
                      </w:rPr>
                    </m:ctrlPr>
                  </m:sub>
                </m:sSub>
              </m:oMath>
            </m:oMathPara>
          </w:p>
        </w:tc>
        <w:tc>
          <w:tcPr>
            <w:tcW w:w="1161" w:type="dxa"/>
          </w:tcPr>
          <w:p w14:paraId="5BA3E484">
            <w:pPr>
              <w:pStyle w:val="20"/>
              <w:spacing w:line="240" w:lineRule="auto"/>
              <w:jc w:val="center"/>
            </w:pPr>
            <w:r>
              <w:t>14.757</w:t>
            </w:r>
          </w:p>
        </w:tc>
        <w:tc>
          <w:tcPr>
            <w:tcW w:w="1162" w:type="dxa"/>
          </w:tcPr>
          <w:p w14:paraId="39827053">
            <w:pPr>
              <w:pStyle w:val="20"/>
              <w:spacing w:line="240" w:lineRule="auto"/>
              <w:jc w:val="center"/>
            </w:pPr>
            <w:r>
              <w:t>16.394</w:t>
            </w:r>
          </w:p>
        </w:tc>
        <w:tc>
          <w:tcPr>
            <w:tcW w:w="1162" w:type="dxa"/>
          </w:tcPr>
          <w:p w14:paraId="5C1BE7DB">
            <w:pPr>
              <w:pStyle w:val="20"/>
              <w:spacing w:line="240" w:lineRule="auto"/>
              <w:jc w:val="center"/>
            </w:pPr>
            <w:r>
              <w:t>17.567</w:t>
            </w:r>
          </w:p>
        </w:tc>
        <w:tc>
          <w:tcPr>
            <w:tcW w:w="1162" w:type="dxa"/>
          </w:tcPr>
          <w:p w14:paraId="359AB63E">
            <w:pPr>
              <w:pStyle w:val="20"/>
              <w:spacing w:line="240" w:lineRule="auto"/>
              <w:jc w:val="center"/>
            </w:pPr>
            <w:r>
              <w:t>18.114</w:t>
            </w:r>
          </w:p>
        </w:tc>
        <w:tc>
          <w:tcPr>
            <w:tcW w:w="1162" w:type="dxa"/>
          </w:tcPr>
          <w:p w14:paraId="0B4E41C4">
            <w:pPr>
              <w:pStyle w:val="20"/>
              <w:spacing w:line="240" w:lineRule="auto"/>
              <w:jc w:val="center"/>
            </w:pPr>
            <w:r>
              <w:t>18.425</w:t>
            </w:r>
          </w:p>
        </w:tc>
        <w:tc>
          <w:tcPr>
            <w:tcW w:w="1162" w:type="dxa"/>
          </w:tcPr>
          <w:p w14:paraId="543DBC7E">
            <w:pPr>
              <w:pStyle w:val="20"/>
              <w:spacing w:line="240" w:lineRule="auto"/>
              <w:jc w:val="center"/>
            </w:pPr>
            <w:r>
              <w:t>18.522</w:t>
            </w:r>
          </w:p>
        </w:tc>
        <w:tc>
          <w:tcPr>
            <w:tcW w:w="1162" w:type="dxa"/>
          </w:tcPr>
          <w:p w14:paraId="5F7501C4">
            <w:pPr>
              <w:pStyle w:val="20"/>
              <w:spacing w:line="240" w:lineRule="auto"/>
              <w:jc w:val="center"/>
            </w:pPr>
            <w:r>
              <w:t>18.605</w:t>
            </w:r>
          </w:p>
        </w:tc>
        <w:tc>
          <w:tcPr>
            <w:tcW w:w="1162" w:type="dxa"/>
          </w:tcPr>
          <w:p w14:paraId="26D1ADCC">
            <w:pPr>
              <w:pStyle w:val="20"/>
              <w:spacing w:line="240" w:lineRule="auto"/>
              <w:jc w:val="center"/>
            </w:pPr>
            <w:r>
              <w:t>18.613</w:t>
            </w:r>
          </w:p>
        </w:tc>
      </w:tr>
      <w:tr w14:paraId="448A9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428F99DA">
            <w:pPr>
              <w:pStyle w:val="20"/>
              <w:spacing w:line="240" w:lineRule="auto"/>
              <w:jc w:val="cente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min</m:t>
                    </m:r>
                    <m:ctrlPr>
                      <w:rPr>
                        <w:rFonts w:ascii="Cambria Math" w:hAnsi="Cambria Math"/>
                      </w:rPr>
                    </m:ctrlPr>
                  </m:sub>
                </m:sSub>
              </m:oMath>
            </m:oMathPara>
          </w:p>
        </w:tc>
        <w:tc>
          <w:tcPr>
            <w:tcW w:w="1161" w:type="dxa"/>
          </w:tcPr>
          <w:p w14:paraId="1A0E1218">
            <w:pPr>
              <w:pStyle w:val="20"/>
              <w:spacing w:line="240" w:lineRule="auto"/>
              <w:jc w:val="center"/>
            </w:pPr>
            <w:r>
              <w:t>12.135</w:t>
            </w:r>
          </w:p>
        </w:tc>
        <w:tc>
          <w:tcPr>
            <w:tcW w:w="1162" w:type="dxa"/>
          </w:tcPr>
          <w:p w14:paraId="28D8EAA7">
            <w:pPr>
              <w:pStyle w:val="20"/>
              <w:spacing w:line="240" w:lineRule="auto"/>
              <w:jc w:val="center"/>
            </w:pPr>
            <w:r>
              <w:t>12.122</w:t>
            </w:r>
          </w:p>
        </w:tc>
        <w:tc>
          <w:tcPr>
            <w:tcW w:w="1162" w:type="dxa"/>
          </w:tcPr>
          <w:p w14:paraId="24AECA88">
            <w:pPr>
              <w:pStyle w:val="20"/>
              <w:spacing w:line="240" w:lineRule="auto"/>
              <w:jc w:val="center"/>
            </w:pPr>
            <w:r>
              <w:t>12.288</w:t>
            </w:r>
          </w:p>
        </w:tc>
        <w:tc>
          <w:tcPr>
            <w:tcW w:w="1162" w:type="dxa"/>
          </w:tcPr>
          <w:p w14:paraId="609C9048">
            <w:pPr>
              <w:pStyle w:val="20"/>
              <w:spacing w:line="240" w:lineRule="auto"/>
              <w:jc w:val="center"/>
            </w:pPr>
            <w:r>
              <w:t>12.242</w:t>
            </w:r>
          </w:p>
        </w:tc>
        <w:tc>
          <w:tcPr>
            <w:tcW w:w="1162" w:type="dxa"/>
          </w:tcPr>
          <w:p w14:paraId="715801EE">
            <w:pPr>
              <w:pStyle w:val="20"/>
              <w:spacing w:line="240" w:lineRule="auto"/>
              <w:jc w:val="center"/>
            </w:pPr>
            <w:r>
              <w:t>12.291</w:t>
            </w:r>
          </w:p>
        </w:tc>
        <w:tc>
          <w:tcPr>
            <w:tcW w:w="1162" w:type="dxa"/>
          </w:tcPr>
          <w:p w14:paraId="584EF741">
            <w:pPr>
              <w:pStyle w:val="20"/>
              <w:spacing w:line="240" w:lineRule="auto"/>
              <w:jc w:val="center"/>
            </w:pPr>
            <w:r>
              <w:t>12.277</w:t>
            </w:r>
          </w:p>
        </w:tc>
        <w:tc>
          <w:tcPr>
            <w:tcW w:w="1162" w:type="dxa"/>
          </w:tcPr>
          <w:p w14:paraId="687052C0">
            <w:pPr>
              <w:pStyle w:val="20"/>
              <w:spacing w:line="240" w:lineRule="auto"/>
              <w:jc w:val="center"/>
            </w:pPr>
            <w:r>
              <w:t>12.245</w:t>
            </w:r>
          </w:p>
        </w:tc>
        <w:tc>
          <w:tcPr>
            <w:tcW w:w="1162" w:type="dxa"/>
          </w:tcPr>
          <w:p w14:paraId="38237D4C">
            <w:pPr>
              <w:pStyle w:val="20"/>
              <w:spacing w:line="240" w:lineRule="auto"/>
              <w:jc w:val="center"/>
            </w:pPr>
            <w:r>
              <w:t>12.281</w:t>
            </w:r>
          </w:p>
        </w:tc>
      </w:tr>
      <w:tr w14:paraId="6000F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396B8AE">
            <w:pPr>
              <w:pStyle w:val="20"/>
              <w:spacing w:line="240" w:lineRule="auto"/>
              <w:jc w:val="center"/>
            </w:pPr>
            <m:oMathPara>
              <m:oMath>
                <m:r>
                  <m:rPr/>
                  <w:rPr>
                    <w:rFonts w:ascii="Cambria Math" w:hAnsi="Cambria Math"/>
                  </w:rPr>
                  <m:t>m</m:t>
                </m:r>
              </m:oMath>
            </m:oMathPara>
          </w:p>
        </w:tc>
        <w:tc>
          <w:tcPr>
            <w:tcW w:w="1161" w:type="dxa"/>
          </w:tcPr>
          <w:p w14:paraId="1837A8E1">
            <w:pPr>
              <w:pStyle w:val="20"/>
              <w:spacing w:line="240" w:lineRule="auto"/>
              <w:jc w:val="center"/>
            </w:pPr>
            <w:r>
              <w:t>0.0975</w:t>
            </w:r>
          </w:p>
        </w:tc>
        <w:tc>
          <w:tcPr>
            <w:tcW w:w="1162" w:type="dxa"/>
          </w:tcPr>
          <w:p w14:paraId="2A568606">
            <w:pPr>
              <w:pStyle w:val="20"/>
              <w:spacing w:line="240" w:lineRule="auto"/>
              <w:jc w:val="center"/>
            </w:pPr>
            <w:r>
              <w:t>0.1498</w:t>
            </w:r>
          </w:p>
        </w:tc>
        <w:tc>
          <w:tcPr>
            <w:tcW w:w="1162" w:type="dxa"/>
          </w:tcPr>
          <w:p w14:paraId="54605631">
            <w:pPr>
              <w:pStyle w:val="20"/>
              <w:spacing w:line="240" w:lineRule="auto"/>
              <w:jc w:val="center"/>
            </w:pPr>
            <w:r>
              <w:t>0.1768</w:t>
            </w:r>
          </w:p>
        </w:tc>
        <w:tc>
          <w:tcPr>
            <w:tcW w:w="1162" w:type="dxa"/>
          </w:tcPr>
          <w:p w14:paraId="0ED7709E">
            <w:pPr>
              <w:pStyle w:val="20"/>
              <w:spacing w:line="240" w:lineRule="auto"/>
              <w:jc w:val="center"/>
            </w:pPr>
            <w:r>
              <w:t>0.1934</w:t>
            </w:r>
          </w:p>
        </w:tc>
        <w:tc>
          <w:tcPr>
            <w:tcW w:w="1162" w:type="dxa"/>
          </w:tcPr>
          <w:p w14:paraId="7A081691">
            <w:pPr>
              <w:pStyle w:val="20"/>
              <w:spacing w:line="240" w:lineRule="auto"/>
              <w:jc w:val="center"/>
            </w:pPr>
            <w:r>
              <w:t>0.1997</w:t>
            </w:r>
          </w:p>
        </w:tc>
        <w:tc>
          <w:tcPr>
            <w:tcW w:w="1162" w:type="dxa"/>
          </w:tcPr>
          <w:p w14:paraId="2356A938">
            <w:pPr>
              <w:pStyle w:val="20"/>
              <w:spacing w:line="240" w:lineRule="auto"/>
              <w:jc w:val="center"/>
            </w:pPr>
            <w:r>
              <w:t>0.2028</w:t>
            </w:r>
          </w:p>
        </w:tc>
        <w:tc>
          <w:tcPr>
            <w:tcW w:w="1162" w:type="dxa"/>
          </w:tcPr>
          <w:p w14:paraId="4EA69C97">
            <w:pPr>
              <w:pStyle w:val="20"/>
              <w:spacing w:line="240" w:lineRule="auto"/>
              <w:jc w:val="center"/>
            </w:pPr>
            <w:r>
              <w:t>0.2062</w:t>
            </w:r>
          </w:p>
        </w:tc>
        <w:tc>
          <w:tcPr>
            <w:tcW w:w="1162" w:type="dxa"/>
          </w:tcPr>
          <w:p w14:paraId="68D21F20">
            <w:pPr>
              <w:pStyle w:val="20"/>
              <w:spacing w:line="240" w:lineRule="auto"/>
              <w:jc w:val="center"/>
            </w:pPr>
            <w:r>
              <w:t>0.2050</w:t>
            </w:r>
          </w:p>
        </w:tc>
      </w:tr>
    </w:tbl>
    <w:p w14:paraId="6D45ADF9">
      <w:pPr>
        <w:pStyle w:val="20"/>
        <w:jc w:val="center"/>
      </w:pPr>
      <w:r>
        <w:t>Табл. 1 – Таблица измеренных и рассчитанных значений коэффициента модуляции</w:t>
      </w:r>
    </w:p>
    <w:p w14:paraId="053BA507">
      <w:pPr>
        <w:pStyle w:val="18"/>
      </w:pPr>
      <w:r>
        <w:drawing>
          <wp:inline distT="0" distB="0" distL="0" distR="0">
            <wp:extent cx="4649470" cy="374396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49470" cy="3743960"/>
                    </a:xfrm>
                    <a:prstGeom prst="rect">
                      <a:avLst/>
                    </a:prstGeom>
                    <a:noFill/>
                    <a:ln>
                      <a:noFill/>
                    </a:ln>
                  </pic:spPr>
                </pic:pic>
              </a:graphicData>
            </a:graphic>
          </wp:inline>
        </w:drawing>
      </w:r>
    </w:p>
    <w:p w14:paraId="0F43A005">
      <w:pPr>
        <w:pStyle w:val="20"/>
        <w:jc w:val="center"/>
      </w:pPr>
      <w:r>
        <w:rPr>
          <w:color w:val="000000"/>
        </w:rPr>
        <w:t>Рис. 4 –</w:t>
      </w:r>
      <w:r>
        <w:t xml:space="preserve"> График зависимости коэффициента модуляции от величины модулирующего напряжения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4707"/>
        <w:gridCol w:w="3486"/>
      </w:tblGrid>
      <w:tr w14:paraId="4B706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38700F2D">
            <w:pPr>
              <w:pStyle w:val="20"/>
              <w:spacing w:line="240" w:lineRule="auto"/>
              <w:jc w:val="center"/>
            </w:pPr>
          </w:p>
        </w:tc>
        <w:tc>
          <w:tcPr>
            <w:tcW w:w="4707" w:type="dxa"/>
            <w:vAlign w:val="center"/>
          </w:tcPr>
          <w:p w14:paraId="3E030724">
            <w:pPr>
              <w:pStyle w:val="20"/>
              <w:spacing w:line="240" w:lineRule="auto"/>
              <w:jc w:val="center"/>
            </w:pPr>
            <w:r>
              <w:t>Опытные значения</w:t>
            </w:r>
          </w:p>
        </w:tc>
        <w:tc>
          <w:tcPr>
            <w:tcW w:w="3486" w:type="dxa"/>
            <w:vAlign w:val="center"/>
          </w:tcPr>
          <w:p w14:paraId="1535C919">
            <w:pPr>
              <w:pStyle w:val="20"/>
              <w:spacing w:line="240" w:lineRule="auto"/>
              <w:jc w:val="center"/>
            </w:pPr>
            <w:r>
              <w:t>Теоретические значения</w:t>
            </w:r>
          </w:p>
        </w:tc>
      </w:tr>
      <w:tr w14:paraId="4CC59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33710897">
            <w:pPr>
              <w:pStyle w:val="20"/>
              <w:spacing w:line="240" w:lineRule="auto"/>
              <w:jc w:val="center"/>
            </w:pPr>
            <w:r>
              <w:t>Нижняя частота боковой полосы</w:t>
            </w:r>
          </w:p>
        </w:tc>
        <w:tc>
          <w:tcPr>
            <w:tcW w:w="4707" w:type="dxa"/>
            <w:vAlign w:val="center"/>
          </w:tcPr>
          <w:p w14:paraId="126352F6">
            <w:pPr>
              <w:pStyle w:val="20"/>
              <w:spacing w:line="240" w:lineRule="auto"/>
              <w:jc w:val="center"/>
            </w:pPr>
            <w:r>
              <w:t>99.57 кГц</w:t>
            </w:r>
          </w:p>
        </w:tc>
        <w:tc>
          <w:tcPr>
            <w:tcW w:w="3486" w:type="dxa"/>
            <w:vAlign w:val="center"/>
          </w:tcPr>
          <w:p w14:paraId="07727380">
            <w:pPr>
              <w:pStyle w:val="20"/>
              <w:spacing w:line="240" w:lineRule="auto"/>
              <w:jc w:val="center"/>
            </w:pPr>
            <w:r>
              <w:t>99.2 кГц</w:t>
            </w:r>
          </w:p>
        </w:tc>
      </w:tr>
      <w:tr w14:paraId="5F2CA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53556E7F">
            <w:pPr>
              <w:pStyle w:val="20"/>
              <w:spacing w:line="240" w:lineRule="auto"/>
              <w:jc w:val="center"/>
            </w:pPr>
            <w:r>
              <w:t>Верхняя частота боковой полосы</w:t>
            </w:r>
          </w:p>
        </w:tc>
        <w:tc>
          <w:tcPr>
            <w:tcW w:w="4707" w:type="dxa"/>
            <w:vAlign w:val="center"/>
          </w:tcPr>
          <w:p w14:paraId="0F7CD488">
            <w:pPr>
              <w:pStyle w:val="20"/>
              <w:spacing w:line="240" w:lineRule="auto"/>
              <w:jc w:val="center"/>
            </w:pPr>
            <w:r>
              <w:t>100.42 кГц</w:t>
            </w:r>
          </w:p>
        </w:tc>
        <w:tc>
          <w:tcPr>
            <w:tcW w:w="3486" w:type="dxa"/>
            <w:vAlign w:val="center"/>
          </w:tcPr>
          <w:p w14:paraId="42F22971">
            <w:pPr>
              <w:pStyle w:val="20"/>
              <w:spacing w:line="240" w:lineRule="auto"/>
              <w:jc w:val="center"/>
            </w:pPr>
            <w:r>
              <w:t>100.8 кГц</w:t>
            </w:r>
          </w:p>
        </w:tc>
      </w:tr>
    </w:tbl>
    <w:p w14:paraId="6386FA47">
      <w:pPr>
        <w:pStyle w:val="20"/>
        <w:jc w:val="center"/>
      </w:pPr>
      <w:r>
        <w:t>Табл. 2 – таблица опытных и теоретических значений нижней и верхней боковых частот</w:t>
      </w:r>
    </w:p>
    <w:p w14:paraId="608FE69B">
      <w:pPr>
        <w:pStyle w:val="18"/>
      </w:pPr>
      <w:r>
        <w:drawing>
          <wp:inline distT="0" distB="0" distL="0" distR="0">
            <wp:extent cx="5398135" cy="28771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399300" cy="2877912"/>
                    </a:xfrm>
                    <a:prstGeom prst="rect">
                      <a:avLst/>
                    </a:prstGeom>
                  </pic:spPr>
                </pic:pic>
              </a:graphicData>
            </a:graphic>
          </wp:inline>
        </w:drawing>
      </w:r>
    </w:p>
    <w:p w14:paraId="1FDCC60C">
      <w:pPr>
        <w:pStyle w:val="20"/>
        <w:jc w:val="center"/>
      </w:pPr>
      <w:r>
        <w:t>Рис. 5 – осциллограмма сигналов, полученных в п. 3.1</w:t>
      </w:r>
    </w:p>
    <w:p w14:paraId="425057F6">
      <w:pPr>
        <w:pStyle w:val="18"/>
      </w:pPr>
      <w:r>
        <w:drawing>
          <wp:inline distT="0" distB="0" distL="0" distR="0">
            <wp:extent cx="5321935"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329291" cy="3068441"/>
                    </a:xfrm>
                    <a:prstGeom prst="rect">
                      <a:avLst/>
                    </a:prstGeom>
                  </pic:spPr>
                </pic:pic>
              </a:graphicData>
            </a:graphic>
          </wp:inline>
        </w:drawing>
      </w:r>
    </w:p>
    <w:p w14:paraId="1F4B6098">
      <w:pPr>
        <w:pStyle w:val="20"/>
        <w:jc w:val="center"/>
      </w:pPr>
      <w:r>
        <w:t>Рис. 6 – спектр сигналов, полученных в п. 3.1</w:t>
      </w:r>
    </w:p>
    <w:p w14:paraId="29C57419">
      <w:pPr>
        <w:pStyle w:val="18"/>
      </w:pPr>
      <w:r>
        <w:drawing>
          <wp:inline distT="0" distB="0" distL="0" distR="0">
            <wp:extent cx="5617210" cy="2954020"/>
            <wp:effectExtent l="0" t="0" r="254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12"/>
                    <a:stretch>
                      <a:fillRect/>
                    </a:stretch>
                  </pic:blipFill>
                  <pic:spPr>
                    <a:xfrm>
                      <a:off x="0" y="0"/>
                      <a:ext cx="5622751" cy="2956967"/>
                    </a:xfrm>
                    <a:prstGeom prst="rect">
                      <a:avLst/>
                    </a:prstGeom>
                  </pic:spPr>
                </pic:pic>
              </a:graphicData>
            </a:graphic>
          </wp:inline>
        </w:drawing>
      </w:r>
    </w:p>
    <w:p w14:paraId="1703A47F">
      <w:pPr>
        <w:pStyle w:val="20"/>
        <w:jc w:val="center"/>
      </w:pPr>
      <w:r>
        <w:t>Рис. 7 – осциллограмма сигналов, полученных в п. 3.2</w:t>
      </w:r>
    </w:p>
    <w:p w14:paraId="01CA6592">
      <w:pPr>
        <w:pStyle w:val="18"/>
      </w:pPr>
      <w:r>
        <w:drawing>
          <wp:inline distT="0" distB="0" distL="0" distR="0">
            <wp:extent cx="5493385" cy="3124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504068" cy="3131208"/>
                    </a:xfrm>
                    <a:prstGeom prst="rect">
                      <a:avLst/>
                    </a:prstGeom>
                  </pic:spPr>
                </pic:pic>
              </a:graphicData>
            </a:graphic>
          </wp:inline>
        </w:drawing>
      </w:r>
    </w:p>
    <w:p w14:paraId="03AB8E51">
      <w:pPr>
        <w:pStyle w:val="20"/>
        <w:jc w:val="center"/>
      </w:pPr>
      <w:r>
        <w:t>Рис. 8 – спектр сигналов, полученных в п. 3.2</w:t>
      </w:r>
    </w:p>
    <w:p w14:paraId="286F4E89"/>
    <w:p w14:paraId="243589D1"/>
    <w:p w14:paraId="2E789DEB"/>
    <w:p w14:paraId="47E72FB9"/>
    <w:p w14:paraId="319B6E9E"/>
    <w:p w14:paraId="296D95C8"/>
    <w:p w14:paraId="6AD743FC"/>
    <w:p w14:paraId="4D7DBDBE"/>
    <w:p w14:paraId="4DE39953"/>
    <w:p w14:paraId="4A783982">
      <w:pPr>
        <w:pStyle w:val="12"/>
        <w:rPr>
          <w:rFonts w:cstheme="minorBidi"/>
          <w:sz w:val="28"/>
          <w:szCs w:val="22"/>
        </w:rPr>
      </w:pPr>
      <w:r>
        <w:t>Вывод</w:t>
      </w:r>
    </w:p>
    <w:p w14:paraId="014302F4">
      <w:pPr>
        <w:numPr>
          <w:ilvl w:val="0"/>
          <w:numId w:val="1"/>
        </w:numPr>
      </w:pPr>
      <w:r>
        <w:rPr>
          <w:b/>
          <w:bCs/>
        </w:rPr>
        <w:t>Балансная модуляция</w:t>
      </w:r>
      <w:r>
        <w:t>: Балансная модуляция используется для устранения одной из боковых полос (верхней или нижней), что снижает ширину спектра и, соответственно, занимаемую полосу частот. Это важно в условиях ограниченности частотных ресурсов.</w:t>
      </w:r>
    </w:p>
    <w:p w14:paraId="02D4EC23">
      <w:pPr>
        <w:numPr>
          <w:ilvl w:val="0"/>
          <w:numId w:val="1"/>
        </w:numPr>
      </w:pPr>
      <w:r>
        <w:rPr>
          <w:b/>
          <w:bCs/>
        </w:rPr>
        <w:t>Виды модуляции</w:t>
      </w:r>
      <w:r>
        <w:t>: В работе рассматривается амплитудная модуляция (АМ), которая является простейшей формой модуляции, где амплитуда высокочастотного сигнала изменяется в зависимости от управляющего (низкочастотного) сигнала. Однако существуют и другие виды модуляции, такие как частотная и фазовая, каждая из которых имеет свои преимущества и недостатки.</w:t>
      </w:r>
    </w:p>
    <w:p w14:paraId="3D73B59C">
      <w:pPr>
        <w:numPr>
          <w:ilvl w:val="0"/>
          <w:numId w:val="1"/>
        </w:numPr>
      </w:pPr>
      <w:r>
        <w:rPr>
          <w:b/>
          <w:bCs/>
        </w:rPr>
        <w:t>Проблемы АМ</w:t>
      </w:r>
      <w:r>
        <w:t>: Одной из ключевых проблем АМ является низкая эффективность и большой разброс частотного спектра. Спектр АМ-сигнала занимает полосу, равную удвоенной частоте модулирующего сигнала. Это делает АМ менее экономичной с точки зрения использования частотного спектра, особенно в условиях, где каждый килогерц важен.</w:t>
      </w:r>
    </w:p>
    <w:p w14:paraId="1B0AFE2C">
      <w:pPr>
        <w:numPr>
          <w:ilvl w:val="0"/>
          <w:numId w:val="1"/>
        </w:numPr>
      </w:pPr>
      <w:r>
        <w:rPr>
          <w:b/>
          <w:bCs/>
        </w:rPr>
        <w:t>Частотный спектр</w:t>
      </w:r>
      <w:r>
        <w:t>: Спектр АМ состоит из несущей частоты и двух боковых полос (верхней и нижней). Проблема заключается в том, что несущая частота не несет никакой полезной информации, занимая значительную часть спектра. Это объясняет, почему современные системы связи используют более эффективные методы модуляции, такие как однополосная модуляция или балансная, которые позволяют экономить спектр.</w:t>
      </w:r>
    </w:p>
    <w:sectPr>
      <w:pgSz w:w="11906" w:h="16838"/>
      <w:pgMar w:top="720" w:right="720" w:bottom="720" w:left="720" w:header="708" w:footer="708"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WAstro"/>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4328BD"/>
    <w:multiLevelType w:val="multilevel"/>
    <w:tmpl w:val="224328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C0"/>
    <w:rsid w:val="00017CC7"/>
    <w:rsid w:val="00020353"/>
    <w:rsid w:val="00040EF8"/>
    <w:rsid w:val="00043D3A"/>
    <w:rsid w:val="000442B4"/>
    <w:rsid w:val="00052EF5"/>
    <w:rsid w:val="000718F7"/>
    <w:rsid w:val="000719CF"/>
    <w:rsid w:val="00071F53"/>
    <w:rsid w:val="00082C0C"/>
    <w:rsid w:val="00086C0C"/>
    <w:rsid w:val="000965AB"/>
    <w:rsid w:val="000A0111"/>
    <w:rsid w:val="000A1024"/>
    <w:rsid w:val="000A655D"/>
    <w:rsid w:val="000B2C92"/>
    <w:rsid w:val="000B3E42"/>
    <w:rsid w:val="000B4BC7"/>
    <w:rsid w:val="000B62AF"/>
    <w:rsid w:val="000C6E87"/>
    <w:rsid w:val="000C7EA5"/>
    <w:rsid w:val="000D572C"/>
    <w:rsid w:val="0011061A"/>
    <w:rsid w:val="00111E96"/>
    <w:rsid w:val="00115B14"/>
    <w:rsid w:val="00122330"/>
    <w:rsid w:val="00143A05"/>
    <w:rsid w:val="00143CBE"/>
    <w:rsid w:val="00144318"/>
    <w:rsid w:val="001914E0"/>
    <w:rsid w:val="001A172C"/>
    <w:rsid w:val="001A2DDA"/>
    <w:rsid w:val="001A789A"/>
    <w:rsid w:val="001B37CD"/>
    <w:rsid w:val="001D6B4E"/>
    <w:rsid w:val="001E4D86"/>
    <w:rsid w:val="001E6EE2"/>
    <w:rsid w:val="001F39F1"/>
    <w:rsid w:val="001F5BCE"/>
    <w:rsid w:val="00220768"/>
    <w:rsid w:val="00233948"/>
    <w:rsid w:val="002457C0"/>
    <w:rsid w:val="00245AE0"/>
    <w:rsid w:val="00254FF5"/>
    <w:rsid w:val="00267BB9"/>
    <w:rsid w:val="0028299B"/>
    <w:rsid w:val="00284DC6"/>
    <w:rsid w:val="002B00F8"/>
    <w:rsid w:val="002C515E"/>
    <w:rsid w:val="002D170B"/>
    <w:rsid w:val="002D1B35"/>
    <w:rsid w:val="002E1C18"/>
    <w:rsid w:val="002E60BF"/>
    <w:rsid w:val="00300226"/>
    <w:rsid w:val="003011C2"/>
    <w:rsid w:val="003208CF"/>
    <w:rsid w:val="0032605F"/>
    <w:rsid w:val="00352CE2"/>
    <w:rsid w:val="00362A2B"/>
    <w:rsid w:val="003A2F17"/>
    <w:rsid w:val="003D09AD"/>
    <w:rsid w:val="003D4ECF"/>
    <w:rsid w:val="003E2AED"/>
    <w:rsid w:val="003E4AFB"/>
    <w:rsid w:val="003E7946"/>
    <w:rsid w:val="003E7B2F"/>
    <w:rsid w:val="004053AF"/>
    <w:rsid w:val="004138E0"/>
    <w:rsid w:val="00416853"/>
    <w:rsid w:val="004265C7"/>
    <w:rsid w:val="004301B6"/>
    <w:rsid w:val="0043174B"/>
    <w:rsid w:val="00437E20"/>
    <w:rsid w:val="004406B1"/>
    <w:rsid w:val="00441948"/>
    <w:rsid w:val="00451929"/>
    <w:rsid w:val="00472BC6"/>
    <w:rsid w:val="004908CB"/>
    <w:rsid w:val="00497054"/>
    <w:rsid w:val="004C7526"/>
    <w:rsid w:val="004D4E56"/>
    <w:rsid w:val="004F0744"/>
    <w:rsid w:val="00515882"/>
    <w:rsid w:val="00522D6D"/>
    <w:rsid w:val="00542039"/>
    <w:rsid w:val="00551AA3"/>
    <w:rsid w:val="00564B67"/>
    <w:rsid w:val="00573797"/>
    <w:rsid w:val="005737BB"/>
    <w:rsid w:val="00576525"/>
    <w:rsid w:val="0058546A"/>
    <w:rsid w:val="00586549"/>
    <w:rsid w:val="00590D15"/>
    <w:rsid w:val="005A151E"/>
    <w:rsid w:val="005A4CC8"/>
    <w:rsid w:val="005B1532"/>
    <w:rsid w:val="005D6393"/>
    <w:rsid w:val="005E1F4A"/>
    <w:rsid w:val="005F5DAA"/>
    <w:rsid w:val="00600F74"/>
    <w:rsid w:val="00605E05"/>
    <w:rsid w:val="00606EF2"/>
    <w:rsid w:val="0061076E"/>
    <w:rsid w:val="00621008"/>
    <w:rsid w:val="006337C0"/>
    <w:rsid w:val="00635895"/>
    <w:rsid w:val="0065024C"/>
    <w:rsid w:val="006538CB"/>
    <w:rsid w:val="00661FD2"/>
    <w:rsid w:val="006633AB"/>
    <w:rsid w:val="00666927"/>
    <w:rsid w:val="0067163D"/>
    <w:rsid w:val="00672100"/>
    <w:rsid w:val="00681CD6"/>
    <w:rsid w:val="006A4CEE"/>
    <w:rsid w:val="006A6F52"/>
    <w:rsid w:val="006E6AD7"/>
    <w:rsid w:val="006F11BE"/>
    <w:rsid w:val="006F5925"/>
    <w:rsid w:val="00724213"/>
    <w:rsid w:val="007344B4"/>
    <w:rsid w:val="0077209A"/>
    <w:rsid w:val="00772AAC"/>
    <w:rsid w:val="00793A1C"/>
    <w:rsid w:val="007A377E"/>
    <w:rsid w:val="007A5A83"/>
    <w:rsid w:val="007A6F89"/>
    <w:rsid w:val="007B16CE"/>
    <w:rsid w:val="007C2D30"/>
    <w:rsid w:val="007C7792"/>
    <w:rsid w:val="007D1E25"/>
    <w:rsid w:val="007E047C"/>
    <w:rsid w:val="007E2B1D"/>
    <w:rsid w:val="00803150"/>
    <w:rsid w:val="00811D48"/>
    <w:rsid w:val="00824DD0"/>
    <w:rsid w:val="008265B0"/>
    <w:rsid w:val="008477BE"/>
    <w:rsid w:val="008477F1"/>
    <w:rsid w:val="00852971"/>
    <w:rsid w:val="00853E6A"/>
    <w:rsid w:val="00862EFC"/>
    <w:rsid w:val="00863BF2"/>
    <w:rsid w:val="00895221"/>
    <w:rsid w:val="00897EC4"/>
    <w:rsid w:val="008A5081"/>
    <w:rsid w:val="008A5487"/>
    <w:rsid w:val="008A65DF"/>
    <w:rsid w:val="008B134C"/>
    <w:rsid w:val="008B61C7"/>
    <w:rsid w:val="008B69FC"/>
    <w:rsid w:val="008C095B"/>
    <w:rsid w:val="008E42EC"/>
    <w:rsid w:val="008E5E89"/>
    <w:rsid w:val="008E5FBE"/>
    <w:rsid w:val="008E741D"/>
    <w:rsid w:val="00911025"/>
    <w:rsid w:val="00920991"/>
    <w:rsid w:val="00921E28"/>
    <w:rsid w:val="00927715"/>
    <w:rsid w:val="00927BC7"/>
    <w:rsid w:val="0093365A"/>
    <w:rsid w:val="00937D02"/>
    <w:rsid w:val="00942E98"/>
    <w:rsid w:val="00952EA6"/>
    <w:rsid w:val="00954753"/>
    <w:rsid w:val="009565E5"/>
    <w:rsid w:val="0096006B"/>
    <w:rsid w:val="0096099C"/>
    <w:rsid w:val="009707DF"/>
    <w:rsid w:val="00977452"/>
    <w:rsid w:val="00982385"/>
    <w:rsid w:val="0099503E"/>
    <w:rsid w:val="009A4405"/>
    <w:rsid w:val="009B219C"/>
    <w:rsid w:val="009C38C0"/>
    <w:rsid w:val="009C4FFA"/>
    <w:rsid w:val="009D18C8"/>
    <w:rsid w:val="009D630D"/>
    <w:rsid w:val="009E7298"/>
    <w:rsid w:val="009F00E1"/>
    <w:rsid w:val="009F6740"/>
    <w:rsid w:val="00A14057"/>
    <w:rsid w:val="00A1749A"/>
    <w:rsid w:val="00A406FE"/>
    <w:rsid w:val="00A42213"/>
    <w:rsid w:val="00A61100"/>
    <w:rsid w:val="00A62ADF"/>
    <w:rsid w:val="00A63D6C"/>
    <w:rsid w:val="00A67776"/>
    <w:rsid w:val="00A7328D"/>
    <w:rsid w:val="00A7444B"/>
    <w:rsid w:val="00A87391"/>
    <w:rsid w:val="00A94560"/>
    <w:rsid w:val="00A970AB"/>
    <w:rsid w:val="00A97341"/>
    <w:rsid w:val="00AC3C53"/>
    <w:rsid w:val="00AD1ECD"/>
    <w:rsid w:val="00AE0C9C"/>
    <w:rsid w:val="00AE0CA9"/>
    <w:rsid w:val="00AE6B7F"/>
    <w:rsid w:val="00AF7505"/>
    <w:rsid w:val="00B16F5A"/>
    <w:rsid w:val="00B223A0"/>
    <w:rsid w:val="00B225A8"/>
    <w:rsid w:val="00B27B04"/>
    <w:rsid w:val="00B30651"/>
    <w:rsid w:val="00B34784"/>
    <w:rsid w:val="00B50E57"/>
    <w:rsid w:val="00B67148"/>
    <w:rsid w:val="00B67525"/>
    <w:rsid w:val="00B72828"/>
    <w:rsid w:val="00B747F3"/>
    <w:rsid w:val="00B75E13"/>
    <w:rsid w:val="00B80169"/>
    <w:rsid w:val="00B8037E"/>
    <w:rsid w:val="00B90721"/>
    <w:rsid w:val="00BA6E14"/>
    <w:rsid w:val="00BA7927"/>
    <w:rsid w:val="00BB0D2E"/>
    <w:rsid w:val="00BB2A86"/>
    <w:rsid w:val="00BB3285"/>
    <w:rsid w:val="00BB68C5"/>
    <w:rsid w:val="00BC18B5"/>
    <w:rsid w:val="00BC5A33"/>
    <w:rsid w:val="00BD0C91"/>
    <w:rsid w:val="00BE5B4B"/>
    <w:rsid w:val="00BF3400"/>
    <w:rsid w:val="00C079DF"/>
    <w:rsid w:val="00C11C5E"/>
    <w:rsid w:val="00C33B1D"/>
    <w:rsid w:val="00C3570C"/>
    <w:rsid w:val="00C40D8B"/>
    <w:rsid w:val="00C4126E"/>
    <w:rsid w:val="00C451BF"/>
    <w:rsid w:val="00C464C9"/>
    <w:rsid w:val="00C51BB2"/>
    <w:rsid w:val="00C82372"/>
    <w:rsid w:val="00C8628A"/>
    <w:rsid w:val="00C975E1"/>
    <w:rsid w:val="00CA0F75"/>
    <w:rsid w:val="00CA35F8"/>
    <w:rsid w:val="00CA6CB4"/>
    <w:rsid w:val="00CB2C11"/>
    <w:rsid w:val="00CB48EC"/>
    <w:rsid w:val="00CB666B"/>
    <w:rsid w:val="00CB6A14"/>
    <w:rsid w:val="00CC3E95"/>
    <w:rsid w:val="00CD6EB3"/>
    <w:rsid w:val="00CD727E"/>
    <w:rsid w:val="00CE792B"/>
    <w:rsid w:val="00CF2244"/>
    <w:rsid w:val="00CF4AF3"/>
    <w:rsid w:val="00D1419A"/>
    <w:rsid w:val="00D15A9E"/>
    <w:rsid w:val="00D208BE"/>
    <w:rsid w:val="00D268C8"/>
    <w:rsid w:val="00D33389"/>
    <w:rsid w:val="00D33DBB"/>
    <w:rsid w:val="00D45C80"/>
    <w:rsid w:val="00D53DA7"/>
    <w:rsid w:val="00D55255"/>
    <w:rsid w:val="00D62C2F"/>
    <w:rsid w:val="00D65357"/>
    <w:rsid w:val="00D67EC2"/>
    <w:rsid w:val="00D707C1"/>
    <w:rsid w:val="00D90A67"/>
    <w:rsid w:val="00D95D5D"/>
    <w:rsid w:val="00D97380"/>
    <w:rsid w:val="00DB3006"/>
    <w:rsid w:val="00DB7ED5"/>
    <w:rsid w:val="00DD4C7A"/>
    <w:rsid w:val="00DD5B56"/>
    <w:rsid w:val="00DF26BF"/>
    <w:rsid w:val="00DF50A3"/>
    <w:rsid w:val="00E14F3E"/>
    <w:rsid w:val="00E21526"/>
    <w:rsid w:val="00E22775"/>
    <w:rsid w:val="00E33350"/>
    <w:rsid w:val="00E37655"/>
    <w:rsid w:val="00E40FEF"/>
    <w:rsid w:val="00E41160"/>
    <w:rsid w:val="00E41348"/>
    <w:rsid w:val="00E5320F"/>
    <w:rsid w:val="00E619B7"/>
    <w:rsid w:val="00E62101"/>
    <w:rsid w:val="00E64851"/>
    <w:rsid w:val="00E83995"/>
    <w:rsid w:val="00E840D5"/>
    <w:rsid w:val="00EA48A5"/>
    <w:rsid w:val="00EA4E9E"/>
    <w:rsid w:val="00EA5DB0"/>
    <w:rsid w:val="00EB160F"/>
    <w:rsid w:val="00EB28FE"/>
    <w:rsid w:val="00EB3FC5"/>
    <w:rsid w:val="00EB5613"/>
    <w:rsid w:val="00EC4636"/>
    <w:rsid w:val="00ED039D"/>
    <w:rsid w:val="00ED6040"/>
    <w:rsid w:val="00EE3BF6"/>
    <w:rsid w:val="00EE5444"/>
    <w:rsid w:val="00EF1F4E"/>
    <w:rsid w:val="00F03F94"/>
    <w:rsid w:val="00F07FD7"/>
    <w:rsid w:val="00F15E35"/>
    <w:rsid w:val="00F2388E"/>
    <w:rsid w:val="00F30942"/>
    <w:rsid w:val="00F33A98"/>
    <w:rsid w:val="00F4279A"/>
    <w:rsid w:val="00F56B81"/>
    <w:rsid w:val="00F756A9"/>
    <w:rsid w:val="00F85910"/>
    <w:rsid w:val="00F96386"/>
    <w:rsid w:val="00F96E62"/>
    <w:rsid w:val="00F97323"/>
    <w:rsid w:val="00FA6B60"/>
    <w:rsid w:val="00FB393F"/>
    <w:rsid w:val="00FC3DED"/>
    <w:rsid w:val="00FD7622"/>
    <w:rsid w:val="00FE1166"/>
    <w:rsid w:val="00FE4E52"/>
    <w:rsid w:val="00FF67EE"/>
    <w:rsid w:val="00FF6B99"/>
    <w:rsid w:val="5E1752D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ind w:firstLine="709"/>
      <w:jc w:val="both"/>
    </w:pPr>
    <w:rPr>
      <w:rFonts w:ascii="Times New Roman" w:hAnsi="Times New Roman" w:eastAsiaTheme="minorHAnsi" w:cstheme="minorBidi"/>
      <w:kern w:val="2"/>
      <w:sz w:val="28"/>
      <w:szCs w:val="22"/>
      <w:lang w:val="ru-RU" w:eastAsia="en-US" w:bidi="ar-SA"/>
      <w14:ligatures w14:val="standardContextual"/>
    </w:rPr>
  </w:style>
  <w:style w:type="paragraph" w:styleId="2">
    <w:name w:val="heading 1"/>
    <w:basedOn w:val="1"/>
    <w:next w:val="1"/>
    <w:link w:val="15"/>
    <w:qFormat/>
    <w:uiPriority w:val="0"/>
    <w:pPr>
      <w:keepNext/>
      <w:keepLines/>
      <w:ind w:firstLine="0"/>
      <w:jc w:val="center"/>
      <w:outlineLvl w:val="0"/>
    </w:pPr>
    <w:rPr>
      <w:rFonts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16"/>
    <w:unhideWhenUsed/>
    <w:qFormat/>
    <w:uiPriority w:val="0"/>
    <w:pPr>
      <w:keepNext/>
      <w:keepLines/>
      <w:spacing w:before="80" w:after="80"/>
      <w:ind w:firstLine="0"/>
      <w:jc w:val="center"/>
      <w:outlineLvl w:val="1"/>
    </w:pPr>
    <w:rPr>
      <w:rFonts w:eastAsiaTheme="majorEastAsia" w:cstheme="majorBidi"/>
      <w:color w:val="000000" w:themeColor="text1"/>
      <w:sz w:val="32"/>
      <w:szCs w:val="26"/>
      <w14:textFill>
        <w14:solidFill>
          <w14:schemeClr w14:val="tx1"/>
        </w14:solidFill>
      </w14:textFill>
    </w:rPr>
  </w:style>
  <w:style w:type="paragraph" w:styleId="4">
    <w:name w:val="heading 3"/>
    <w:basedOn w:val="1"/>
    <w:next w:val="1"/>
    <w:link w:val="22"/>
    <w:semiHidden/>
    <w:unhideWhenUsed/>
    <w:qFormat/>
    <w:uiPriority w:val="9"/>
    <w:pPr>
      <w:keepNext/>
      <w:keepLines/>
      <w:ind w:firstLine="0"/>
      <w:jc w:val="center"/>
      <w:outlineLvl w:val="2"/>
    </w:pPr>
    <w:rPr>
      <w:rFonts w:eastAsiaTheme="majorEastAsia" w:cstheme="majorBidi"/>
      <w:color w:val="000000" w:themeColor="text1"/>
      <w:sz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uiPriority w:val="99"/>
    <w:rPr>
      <w:color w:val="0563C1" w:themeColor="hyperlink"/>
      <w:u w:val="single"/>
      <w14:textFill>
        <w14:solidFill>
          <w14:schemeClr w14:val="hlink"/>
        </w14:solidFill>
      </w14:textFill>
    </w:rPr>
  </w:style>
  <w:style w:type="paragraph" w:styleId="9">
    <w:name w:val="toc 1"/>
    <w:basedOn w:val="1"/>
    <w:next w:val="1"/>
    <w:autoRedefine/>
    <w:unhideWhenUsed/>
    <w:uiPriority w:val="39"/>
    <w:pPr>
      <w:spacing w:after="40"/>
      <w:ind w:firstLine="0"/>
    </w:pPr>
    <w:rPr>
      <w:b/>
      <w:sz w:val="36"/>
    </w:rPr>
  </w:style>
  <w:style w:type="paragraph" w:styleId="10">
    <w:name w:val="toc 3"/>
    <w:basedOn w:val="1"/>
    <w:next w:val="1"/>
    <w:autoRedefine/>
    <w:unhideWhenUsed/>
    <w:uiPriority w:val="39"/>
    <w:pPr>
      <w:spacing w:after="40"/>
      <w:ind w:left="561" w:firstLine="0"/>
    </w:pPr>
  </w:style>
  <w:style w:type="paragraph" w:styleId="11">
    <w:name w:val="toc 2"/>
    <w:basedOn w:val="1"/>
    <w:next w:val="1"/>
    <w:autoRedefine/>
    <w:unhideWhenUsed/>
    <w:uiPriority w:val="39"/>
    <w:pPr>
      <w:spacing w:after="40"/>
      <w:ind w:left="278" w:firstLine="0"/>
    </w:pPr>
    <w:rPr>
      <w:sz w:val="32"/>
    </w:rPr>
  </w:style>
  <w:style w:type="paragraph" w:styleId="12">
    <w:name w:val="Title"/>
    <w:basedOn w:val="1"/>
    <w:next w:val="1"/>
    <w:link w:val="17"/>
    <w:qFormat/>
    <w:uiPriority w:val="0"/>
    <w:pPr>
      <w:ind w:firstLine="0"/>
      <w:contextualSpacing/>
      <w:jc w:val="center"/>
    </w:pPr>
    <w:rPr>
      <w:rFonts w:eastAsiaTheme="majorEastAsia" w:cstheme="majorBidi"/>
      <w:b/>
      <w:spacing w:val="-10"/>
      <w:kern w:val="28"/>
      <w:sz w:val="40"/>
      <w:szCs w:val="56"/>
    </w:rPr>
  </w:style>
  <w:style w:type="paragraph" w:styleId="13">
    <w:name w:val="Normal (Web)"/>
    <w:basedOn w:val="1"/>
    <w:semiHidden/>
    <w:unhideWhenUsed/>
    <w:uiPriority w:val="99"/>
    <w:rPr>
      <w:rFonts w:cs="Times New Roman"/>
      <w:sz w:val="24"/>
      <w:szCs w:val="24"/>
    </w:rPr>
  </w:style>
  <w:style w:type="table" w:styleId="14">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Заголовок 1 Знак"/>
    <w:basedOn w:val="5"/>
    <w:link w:val="2"/>
    <w:uiPriority w:val="0"/>
    <w:rPr>
      <w:rFonts w:ascii="Times New Roman" w:hAnsi="Times New Roman" w:eastAsiaTheme="majorEastAsia" w:cstheme="majorBidi"/>
      <w:b/>
      <w:color w:val="000000" w:themeColor="text1"/>
      <w:sz w:val="36"/>
      <w:szCs w:val="32"/>
      <w14:textFill>
        <w14:solidFill>
          <w14:schemeClr w14:val="tx1"/>
        </w14:solidFill>
      </w14:textFill>
    </w:rPr>
  </w:style>
  <w:style w:type="character" w:customStyle="1" w:styleId="16">
    <w:name w:val="Заголовок 2 Знак"/>
    <w:basedOn w:val="5"/>
    <w:link w:val="3"/>
    <w:uiPriority w:val="0"/>
    <w:rPr>
      <w:rFonts w:ascii="Times New Roman" w:hAnsi="Times New Roman" w:eastAsiaTheme="majorEastAsia" w:cstheme="majorBidi"/>
      <w:color w:val="000000" w:themeColor="text1"/>
      <w:sz w:val="32"/>
      <w:szCs w:val="26"/>
      <w:lang w:val="ru" w:eastAsia="ru-RU"/>
      <w14:textFill>
        <w14:solidFill>
          <w14:schemeClr w14:val="tx1"/>
        </w14:solidFill>
      </w14:textFill>
    </w:rPr>
  </w:style>
  <w:style w:type="character" w:customStyle="1" w:styleId="17">
    <w:name w:val="Заголовок Знак"/>
    <w:basedOn w:val="5"/>
    <w:link w:val="12"/>
    <w:uiPriority w:val="0"/>
    <w:rPr>
      <w:rFonts w:ascii="Times New Roman" w:hAnsi="Times New Roman" w:eastAsiaTheme="majorEastAsia" w:cstheme="majorBidi"/>
      <w:b/>
      <w:spacing w:val="-10"/>
      <w:kern w:val="28"/>
      <w:sz w:val="40"/>
      <w:szCs w:val="56"/>
      <w:lang w:val="ru" w:eastAsia="ru-RU"/>
    </w:rPr>
  </w:style>
  <w:style w:type="paragraph" w:customStyle="1" w:styleId="18">
    <w:name w:val="Картинка"/>
    <w:link w:val="19"/>
    <w:qFormat/>
    <w:uiPriority w:val="0"/>
    <w:pPr>
      <w:spacing w:after="0" w:line="259" w:lineRule="auto"/>
      <w:jc w:val="center"/>
    </w:pPr>
    <w:rPr>
      <w:rFonts w:ascii="Times New Roman" w:hAnsi="Times New Roman" w:cs="Times New Roman" w:eastAsiaTheme="minorHAnsi"/>
      <w:kern w:val="2"/>
      <w:sz w:val="28"/>
      <w:szCs w:val="24"/>
      <w:lang w:val="ru-RU" w:eastAsia="ru-RU" w:bidi="ar-SA"/>
      <w14:ligatures w14:val="standardContextual"/>
    </w:rPr>
  </w:style>
  <w:style w:type="character" w:customStyle="1" w:styleId="19">
    <w:name w:val="Картинка Знак"/>
    <w:basedOn w:val="5"/>
    <w:link w:val="18"/>
    <w:uiPriority w:val="0"/>
    <w:rPr>
      <w:rFonts w:ascii="Times New Roman" w:hAnsi="Times New Roman" w:eastAsia="Times New Roman" w:cs="Times New Roman"/>
      <w:sz w:val="28"/>
      <w:szCs w:val="24"/>
      <w:lang w:eastAsia="ru-RU"/>
    </w:rPr>
  </w:style>
  <w:style w:type="paragraph" w:customStyle="1" w:styleId="20">
    <w:name w:val="Обычный без отступа"/>
    <w:link w:val="21"/>
    <w:qFormat/>
    <w:uiPriority w:val="0"/>
    <w:pPr>
      <w:spacing w:before="120" w:after="120" w:line="259" w:lineRule="auto"/>
    </w:pPr>
    <w:rPr>
      <w:rFonts w:ascii="Times New Roman" w:hAnsi="Times New Roman" w:cs="Times New Roman" w:eastAsiaTheme="minorHAnsi"/>
      <w:kern w:val="2"/>
      <w:sz w:val="28"/>
      <w:szCs w:val="24"/>
      <w:lang w:val="ru-RU" w:eastAsia="ru-RU" w:bidi="ar-SA"/>
      <w14:ligatures w14:val="standardContextual"/>
    </w:rPr>
  </w:style>
  <w:style w:type="character" w:customStyle="1" w:styleId="21">
    <w:name w:val="Обычный без отступа Знак"/>
    <w:basedOn w:val="5"/>
    <w:link w:val="20"/>
    <w:uiPriority w:val="0"/>
    <w:rPr>
      <w:rFonts w:ascii="Times New Roman" w:hAnsi="Times New Roman" w:eastAsia="Times New Roman" w:cs="Times New Roman"/>
      <w:sz w:val="28"/>
      <w:szCs w:val="24"/>
      <w:lang w:eastAsia="ru-RU"/>
    </w:rPr>
  </w:style>
  <w:style w:type="character" w:customStyle="1" w:styleId="22">
    <w:name w:val="Заголовок 3 Знак"/>
    <w:basedOn w:val="5"/>
    <w:link w:val="4"/>
    <w:semiHidden/>
    <w:uiPriority w:val="9"/>
    <w:rPr>
      <w:rFonts w:ascii="Times New Roman" w:hAnsi="Times New Roman" w:eastAsiaTheme="majorEastAsia" w:cstheme="majorBidi"/>
      <w:color w:val="000000" w:themeColor="text1"/>
      <w:sz w:val="24"/>
      <w:szCs w:val="24"/>
      <w14:textFill>
        <w14:solidFill>
          <w14:schemeClr w14:val="tx1"/>
        </w14:solidFill>
      </w14:textFill>
    </w:rPr>
  </w:style>
  <w:style w:type="paragraph" w:customStyle="1" w:styleId="23">
    <w:name w:val="Табличный"/>
    <w:basedOn w:val="1"/>
    <w:link w:val="24"/>
    <w:qFormat/>
    <w:uiPriority w:val="0"/>
    <w:pPr>
      <w:spacing w:after="0" w:line="240" w:lineRule="auto"/>
      <w:ind w:firstLine="0"/>
      <w:jc w:val="center"/>
    </w:pPr>
    <w:rPr>
      <w:sz w:val="22"/>
    </w:rPr>
  </w:style>
  <w:style w:type="character" w:customStyle="1" w:styleId="24">
    <w:name w:val="Табличный Знак"/>
    <w:basedOn w:val="5"/>
    <w:link w:val="23"/>
    <w:uiPriority w:val="0"/>
    <w:rPr>
      <w:rFonts w:ascii="Times New Roman" w:hAnsi="Times New Roman"/>
    </w:rPr>
  </w:style>
  <w:style w:type="paragraph" w:styleId="25">
    <w:name w:val="List Paragraph"/>
    <w:basedOn w:val="1"/>
    <w:qFormat/>
    <w:uiPriority w:val="34"/>
    <w:pPr>
      <w:spacing w:line="256" w:lineRule="auto"/>
      <w:ind w:left="720"/>
      <w:contextualSpacing/>
    </w:pPr>
  </w:style>
  <w:style w:type="character" w:styleId="26">
    <w:name w:val="Placeholder Text"/>
    <w:basedOn w:val="5"/>
    <w:semiHidden/>
    <w:uiPriority w:val="99"/>
    <w:rPr>
      <w:color w:val="808080"/>
    </w:rPr>
  </w:style>
  <w:style w:type="character" w:customStyle="1" w:styleId="27">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409</Words>
  <Characters>2337</Characters>
  <Lines>19</Lines>
  <Paragraphs>5</Paragraphs>
  <TotalTime>541</TotalTime>
  <ScaleCrop>false</ScaleCrop>
  <LinksUpToDate>false</LinksUpToDate>
  <CharactersWithSpaces>2741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2023-09-24T14:38:00Z</dcterms:created>
  <dc:creator>Артем Худяков</dc:creator>
  <cp:lastModifiedBy>stepanfilimonov</cp:lastModifiedBy>
  <dcterms:modified xsi:type="dcterms:W3CDTF">2024-11-25T08:27:47Z</dcterms:modified>
  <cp:revision>304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AE5D0AD97B3F42D5B3DEACE9F7DA7498_12</vt:lpwstr>
  </property>
</Properties>
</file>