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0217EF">
      <w:pPr>
        <w:ind w:firstLine="0"/>
        <w:rPr>
          <w:rFonts w:eastAsia="Calibri" w:cs="Times New Roman"/>
          <w:szCs w:val="36"/>
          <w:lang w:eastAsia="zh-CN" w:bidi="th-TH"/>
        </w:rPr>
      </w:pPr>
      <w:r>
        <w:rPr>
          <w:rFonts w:eastAsia="DengXian" w:cs="Times New Roman"/>
          <w:szCs w:val="36"/>
          <w:lang w:eastAsia="zh-CN" w:bidi="th-TH"/>
        </w:rPr>
        <w:t>Московский государственный технический университет им. Н. Э. Баумана</w:t>
      </w:r>
    </w:p>
    <w:p w14:paraId="0D5CE752">
      <w:pPr>
        <w:spacing w:line="256" w:lineRule="auto"/>
        <w:ind w:firstLine="0"/>
        <w:jc w:val="center"/>
        <w:rPr>
          <w:rFonts w:eastAsia="DengXian" w:cs="Times New Roman"/>
          <w:szCs w:val="36"/>
          <w:lang w:eastAsia="zh-CN" w:bidi="th-TH"/>
        </w:rPr>
      </w:pPr>
      <w:r>
        <w:rPr>
          <w:rFonts w:eastAsia="DengXian" w:cs="Times New Roman"/>
          <w:szCs w:val="36"/>
          <w:lang w:eastAsia="zh-CN" w:bidi="th-TH"/>
        </w:rPr>
        <w:t>Факультет «</w:t>
      </w:r>
      <w:r>
        <w:rPr>
          <w:rFonts w:eastAsia="Arial" w:cs="Times New Roman"/>
          <w:szCs w:val="36"/>
          <w:lang w:eastAsia="zh-CN" w:bidi="th-TH"/>
        </w:rPr>
        <w:t>Радиоэлектроника и лазерная техника (РЛ)</w:t>
      </w:r>
      <w:r>
        <w:rPr>
          <w:rFonts w:eastAsia="DengXian" w:cs="Times New Roman"/>
          <w:szCs w:val="36"/>
          <w:lang w:eastAsia="zh-CN" w:bidi="th-TH"/>
        </w:rPr>
        <w:t>»</w:t>
      </w:r>
    </w:p>
    <w:p w14:paraId="4022F0CF">
      <w:pPr>
        <w:pBdr>
          <w:bottom w:val="single" w:color="auto" w:sz="12" w:space="0"/>
        </w:pBdr>
        <w:spacing w:line="256" w:lineRule="auto"/>
        <w:ind w:firstLine="0"/>
        <w:jc w:val="center"/>
        <w:rPr>
          <w:rFonts w:eastAsia="DengXian" w:cs="Times New Roman"/>
          <w:szCs w:val="36"/>
          <w:lang w:eastAsia="zh-CN" w:bidi="th-TH"/>
        </w:rPr>
      </w:pPr>
      <w:r>
        <w:rPr>
          <w:rFonts w:eastAsia="DengXian" w:cs="Times New Roman"/>
          <w:szCs w:val="36"/>
          <w:lang w:eastAsia="zh-CN" w:bidi="th-TH"/>
        </w:rPr>
        <w:t>Кафедра «</w:t>
      </w:r>
      <w:r>
        <w:rPr>
          <w:rFonts w:eastAsia="Arial" w:cs="Times New Roman"/>
          <w:szCs w:val="36"/>
          <w:lang w:eastAsia="zh-CN" w:bidi="th-TH"/>
        </w:rPr>
        <w:t>Технологии приборостроения (РЛ6)</w:t>
      </w:r>
      <w:r>
        <w:rPr>
          <w:rFonts w:eastAsia="DengXian" w:cs="Times New Roman"/>
          <w:szCs w:val="36"/>
          <w:lang w:eastAsia="zh-CN" w:bidi="th-TH"/>
        </w:rPr>
        <w:t>»</w:t>
      </w:r>
    </w:p>
    <w:p w14:paraId="177CFBA2">
      <w:pPr>
        <w:spacing w:line="256" w:lineRule="auto"/>
        <w:ind w:firstLine="0"/>
        <w:jc w:val="center"/>
        <w:rPr>
          <w:rFonts w:eastAsia="DengXian" w:cs="Times New Roman"/>
          <w:szCs w:val="36"/>
          <w:lang w:eastAsia="zh-CN" w:bidi="th-TH"/>
        </w:rPr>
      </w:pPr>
    </w:p>
    <w:p w14:paraId="30CE45CD">
      <w:pPr>
        <w:spacing w:line="256" w:lineRule="auto"/>
        <w:ind w:firstLine="0"/>
        <w:jc w:val="center"/>
        <w:rPr>
          <w:rFonts w:eastAsia="DengXian" w:cs="Times New Roman"/>
          <w:szCs w:val="36"/>
          <w:lang w:eastAsia="zh-CN" w:bidi="th-TH"/>
        </w:rPr>
      </w:pPr>
    </w:p>
    <w:p w14:paraId="74589C0A">
      <w:pPr>
        <w:spacing w:line="256" w:lineRule="auto"/>
        <w:ind w:firstLine="0"/>
        <w:jc w:val="center"/>
        <w:rPr>
          <w:rFonts w:eastAsia="DengXian" w:cs="Times New Roman"/>
          <w:szCs w:val="36"/>
          <w:lang w:eastAsia="zh-CN" w:bidi="th-TH"/>
        </w:rPr>
      </w:pPr>
    </w:p>
    <w:p w14:paraId="06673248">
      <w:pPr>
        <w:spacing w:line="256" w:lineRule="auto"/>
        <w:ind w:firstLine="0"/>
        <w:jc w:val="center"/>
        <w:rPr>
          <w:rFonts w:eastAsia="DengXian" w:cs="Times New Roman"/>
          <w:szCs w:val="36"/>
          <w:lang w:eastAsia="zh-CN" w:bidi="th-TH"/>
        </w:rPr>
      </w:pPr>
    </w:p>
    <w:p w14:paraId="4000B75E">
      <w:pPr>
        <w:spacing w:line="254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</w:rPr>
        <w:t>Задание</w:t>
      </w:r>
    </w:p>
    <w:p w14:paraId="7687685D">
      <w:pPr>
        <w:spacing w:line="254" w:lineRule="auto"/>
        <w:ind w:firstLine="0"/>
        <w:jc w:val="center"/>
        <w:rPr>
          <w:rFonts w:cs="Times New Roman"/>
        </w:rPr>
      </w:pPr>
      <w:r>
        <w:rPr>
          <w:rFonts w:cs="Times New Roman"/>
        </w:rPr>
        <w:t>по дисциплине «Технология РЭС»</w:t>
      </w:r>
    </w:p>
    <w:p w14:paraId="43BBA21C">
      <w:pPr>
        <w:spacing w:line="254" w:lineRule="auto"/>
        <w:jc w:val="center"/>
        <w:rPr>
          <w:rFonts w:cs="Times New Roman"/>
        </w:rPr>
      </w:pPr>
    </w:p>
    <w:p w14:paraId="1046DC6C">
      <w:pPr>
        <w:spacing w:line="254" w:lineRule="auto"/>
        <w:ind w:firstLine="0"/>
        <w:jc w:val="center"/>
        <w:rPr>
          <w:rFonts w:cs="Times New Roman"/>
        </w:rPr>
      </w:pPr>
    </w:p>
    <w:p w14:paraId="0982E352">
      <w:pPr>
        <w:spacing w:line="254" w:lineRule="auto"/>
        <w:ind w:firstLine="0"/>
        <w:jc w:val="center"/>
        <w:rPr>
          <w:rFonts w:cs="Times New Roman"/>
        </w:rPr>
      </w:pPr>
    </w:p>
    <w:p w14:paraId="7D576A39">
      <w:pPr>
        <w:spacing w:line="254" w:lineRule="auto"/>
        <w:jc w:val="center"/>
        <w:rPr>
          <w:rFonts w:cs="Times New Roman"/>
        </w:rPr>
      </w:pPr>
    </w:p>
    <w:p w14:paraId="1D92F7B5">
      <w:pPr>
        <w:spacing w:line="254" w:lineRule="auto"/>
        <w:ind w:firstLine="0"/>
        <w:jc w:val="center"/>
        <w:rPr>
          <w:rFonts w:hint="default" w:cs="Times New Roman"/>
          <w:lang w:val="en-US"/>
        </w:rPr>
      </w:pPr>
      <w:r>
        <w:rPr>
          <w:rFonts w:cs="Times New Roman"/>
        </w:rPr>
        <w:t>Выполнили ст. группы РЛ6-</w:t>
      </w:r>
      <w:r>
        <w:rPr>
          <w:rFonts w:hint="default" w:cs="Times New Roman"/>
          <w:lang w:val="en-US"/>
        </w:rPr>
        <w:t>xx</w:t>
      </w:r>
      <w:bookmarkStart w:id="5" w:name="_GoBack"/>
      <w:bookmarkEnd w:id="5"/>
    </w:p>
    <w:p w14:paraId="65D1A5C1">
      <w:pPr>
        <w:spacing w:line="254" w:lineRule="auto"/>
        <w:ind w:firstLine="0"/>
        <w:jc w:val="center"/>
        <w:rPr>
          <w:rFonts w:cs="Times New Roman"/>
        </w:rPr>
      </w:pPr>
    </w:p>
    <w:p w14:paraId="36D0DAC5">
      <w:pPr>
        <w:spacing w:line="254" w:lineRule="auto"/>
        <w:ind w:firstLine="0"/>
        <w:jc w:val="center"/>
        <w:rPr>
          <w:rFonts w:cs="Times New Roman"/>
        </w:rPr>
      </w:pPr>
      <w:r>
        <w:rPr>
          <w:rFonts w:cs="Times New Roman"/>
        </w:rPr>
        <w:t>Пре</w:t>
      </w:r>
      <w:r>
        <w:rPr>
          <w:rFonts w:eastAsia="DengXian Light" w:cs="Times New Roman"/>
          <w:color w:val="000000" w:themeColor="text1"/>
          <w:szCs w:val="40"/>
          <w14:textFill>
            <w14:solidFill>
              <w14:schemeClr w14:val="tx1"/>
            </w14:solidFill>
          </w14:textFill>
        </w:rPr>
        <w:t>подаватель</w:t>
      </w:r>
      <w:r>
        <w:rPr>
          <w:rFonts w:eastAsia="DengXian Light" w:cs="Times New Roman"/>
          <w:b/>
          <w:color w:val="000000" w:themeColor="text1"/>
          <w:szCs w:val="40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</w:rPr>
        <w:t>Мешков С.А.</w:t>
      </w:r>
    </w:p>
    <w:p w14:paraId="05658280">
      <w:pPr>
        <w:spacing w:line="254" w:lineRule="auto"/>
        <w:jc w:val="center"/>
        <w:rPr>
          <w:rFonts w:cs="Times New Roman"/>
        </w:rPr>
      </w:pPr>
    </w:p>
    <w:p w14:paraId="224C0E31">
      <w:pPr>
        <w:spacing w:line="254" w:lineRule="auto"/>
        <w:jc w:val="center"/>
        <w:rPr>
          <w:rFonts w:cs="Times New Roman"/>
        </w:rPr>
      </w:pPr>
    </w:p>
    <w:p w14:paraId="5AC92F49">
      <w:pPr>
        <w:spacing w:line="254" w:lineRule="auto"/>
        <w:jc w:val="center"/>
        <w:rPr>
          <w:rFonts w:cs="Times New Roman"/>
        </w:rPr>
      </w:pPr>
    </w:p>
    <w:p w14:paraId="7327FA47">
      <w:pPr>
        <w:spacing w:line="254" w:lineRule="auto"/>
        <w:jc w:val="center"/>
        <w:rPr>
          <w:rFonts w:cs="Times New Roman"/>
        </w:rPr>
      </w:pPr>
    </w:p>
    <w:p w14:paraId="5FB9722C">
      <w:pPr>
        <w:spacing w:line="254" w:lineRule="auto"/>
        <w:jc w:val="center"/>
        <w:rPr>
          <w:rFonts w:cs="Times New Roman"/>
        </w:rPr>
      </w:pPr>
    </w:p>
    <w:p w14:paraId="685DEFE7">
      <w:pPr>
        <w:spacing w:line="254" w:lineRule="auto"/>
        <w:jc w:val="center"/>
        <w:rPr>
          <w:rFonts w:cs="Times New Roman"/>
        </w:rPr>
      </w:pPr>
    </w:p>
    <w:p w14:paraId="76C95CA9">
      <w:pPr>
        <w:spacing w:line="254" w:lineRule="auto"/>
        <w:jc w:val="center"/>
        <w:rPr>
          <w:rFonts w:cs="Times New Roman"/>
        </w:rPr>
      </w:pPr>
    </w:p>
    <w:p w14:paraId="25F4C73E">
      <w:pPr>
        <w:spacing w:line="254" w:lineRule="auto"/>
        <w:jc w:val="center"/>
        <w:rPr>
          <w:rFonts w:eastAsia="DengXian Light" w:cs="Times New Roman"/>
          <w:color w:val="000000" w:themeColor="text1"/>
          <w:szCs w:val="40"/>
          <w14:textFill>
            <w14:solidFill>
              <w14:schemeClr w14:val="tx1"/>
            </w14:solidFill>
          </w14:textFill>
        </w:rPr>
      </w:pPr>
    </w:p>
    <w:p w14:paraId="3A8C5523">
      <w:pPr>
        <w:spacing w:line="254" w:lineRule="auto"/>
        <w:jc w:val="center"/>
        <w:rPr>
          <w:rFonts w:eastAsia="DengXian Light" w:cs="Times New Roman"/>
          <w:color w:val="000000" w:themeColor="text1"/>
          <w:szCs w:val="40"/>
          <w14:textFill>
            <w14:solidFill>
              <w14:schemeClr w14:val="tx1"/>
            </w14:solidFill>
          </w14:textFill>
        </w:rPr>
      </w:pPr>
    </w:p>
    <w:p w14:paraId="1F6DE02A">
      <w:pPr>
        <w:spacing w:line="254" w:lineRule="auto"/>
        <w:ind w:firstLine="0"/>
        <w:rPr>
          <w:rFonts w:cs="Times New Roman"/>
        </w:rPr>
      </w:pPr>
    </w:p>
    <w:p w14:paraId="553D6973">
      <w:pPr>
        <w:spacing w:line="256" w:lineRule="auto"/>
        <w:ind w:firstLine="0"/>
        <w:jc w:val="center"/>
        <w:rPr>
          <w:rFonts w:eastAsia="DengXian" w:cs="Times New Roman"/>
          <w:szCs w:val="28"/>
          <w:lang w:eastAsia="zh-CN" w:bidi="th-TH"/>
        </w:rPr>
      </w:pPr>
      <w:r>
        <w:rPr>
          <w:rFonts w:eastAsia="DengXian" w:cs="Times New Roman"/>
          <w:szCs w:val="28"/>
          <w:lang w:eastAsia="zh-CN" w:bidi="th-TH"/>
        </w:rPr>
        <w:t>Москва, 2024</w:t>
      </w:r>
    </w:p>
    <w:p w14:paraId="148E2492">
      <w:pPr>
        <w:spacing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  <w14:textFill>
            <w14:solidFill>
              <w14:schemeClr w14:val="tx1"/>
            </w14:solidFill>
          </w14:textFill>
        </w:rPr>
      </w:pPr>
    </w:p>
    <w:sdt>
      <w:sdtPr>
        <w:rPr>
          <w:rFonts w:ascii="Times New Roman" w:hAnsi="Times New Roman" w:eastAsiaTheme="minorEastAsia" w:cstheme="minorBidi"/>
          <w:color w:val="auto"/>
          <w:sz w:val="28"/>
          <w:szCs w:val="22"/>
          <w:lang w:eastAsia="en-US"/>
        </w:rPr>
        <w:id w:val="159979951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EastAsia" w:cstheme="minorBidi"/>
          <w:b/>
          <w:bCs/>
          <w:color w:val="auto"/>
          <w:sz w:val="28"/>
          <w:szCs w:val="22"/>
          <w:lang w:eastAsia="en-US"/>
        </w:rPr>
      </w:sdtEndPr>
      <w:sdtContent>
        <w:p w14:paraId="2C1DC49D">
          <w:pPr>
            <w:pStyle w:val="39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en-US"/>
              <w14:textFill>
                <w14:solidFill>
                  <w14:schemeClr w14:val="tx1"/>
                </w14:solidFill>
              </w14:textFill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>Оглавление</w:t>
          </w:r>
        </w:p>
        <w:p w14:paraId="7E84DCEC">
          <w:pPr>
            <w:pStyle w:val="11"/>
            <w:tabs>
              <w:tab w:val="right" w:leader="dot" w:pos="9345"/>
            </w:tabs>
            <w:rPr>
              <w:rFonts w:asciiTheme="minorHAnsi" w:hAnsiTheme="minorHAnsi"/>
              <w:sz w:val="22"/>
              <w:lang w:eastAsia="ru-RU"/>
            </w:rPr>
          </w:pPr>
          <w:r>
            <w:rPr>
              <w:rFonts w:cs="Times New Roman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cs="Times New Roman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instrText xml:space="preserve"> TOC \o "1-3" \h \z \u </w:instrText>
          </w:r>
          <w:r>
            <w:rPr>
              <w:rFonts w:cs="Times New Roman"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fldChar w:fldCharType="begin"/>
          </w:r>
          <w:r>
            <w:instrText xml:space="preserve"> HYPERLINK \l "_Toc185601677" </w:instrText>
          </w:r>
          <w:r>
            <w:fldChar w:fldCharType="separate"/>
          </w:r>
          <w:r>
            <w:rPr>
              <w:rStyle w:val="8"/>
            </w:rPr>
            <w:t>Задание</w:t>
          </w:r>
          <w:r>
            <w:tab/>
          </w:r>
          <w:r>
            <w:fldChar w:fldCharType="begin"/>
          </w:r>
          <w:r>
            <w:instrText xml:space="preserve"> PAGEREF _Toc185601677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4A1C4212">
          <w:pPr>
            <w:pStyle w:val="11"/>
            <w:tabs>
              <w:tab w:val="right" w:leader="dot" w:pos="9345"/>
            </w:tabs>
            <w:rPr>
              <w:rFonts w:asciiTheme="minorHAnsi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"_Toc185601678" </w:instrText>
          </w:r>
          <w:r>
            <w:fldChar w:fldCharType="separate"/>
          </w:r>
          <w:r>
            <w:rPr>
              <w:rStyle w:val="8"/>
            </w:rPr>
            <w:t>Моделирование номинальных характеристик</w:t>
          </w:r>
          <w:r>
            <w:tab/>
          </w:r>
          <w:r>
            <w:fldChar w:fldCharType="begin"/>
          </w:r>
          <w:r>
            <w:instrText xml:space="preserve"> PAGEREF _Toc185601678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391F7B97">
          <w:pPr>
            <w:pStyle w:val="11"/>
            <w:tabs>
              <w:tab w:val="right" w:leader="dot" w:pos="9345"/>
            </w:tabs>
            <w:rPr>
              <w:rFonts w:asciiTheme="minorHAnsi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"_Toc185601679" </w:instrText>
          </w:r>
          <w:r>
            <w:fldChar w:fldCharType="separate"/>
          </w:r>
          <w:r>
            <w:rPr>
              <w:rStyle w:val="8"/>
            </w:rPr>
            <w:t>Моделирование статических распределений</w:t>
          </w:r>
          <w:r>
            <w:tab/>
          </w:r>
          <w:r>
            <w:fldChar w:fldCharType="begin"/>
          </w:r>
          <w:r>
            <w:instrText xml:space="preserve"> PAGEREF _Toc185601679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07D51B89">
          <w:pPr>
            <w:pStyle w:val="11"/>
            <w:tabs>
              <w:tab w:val="right" w:leader="dot" w:pos="9345"/>
            </w:tabs>
            <w:rPr>
              <w:rFonts w:asciiTheme="minorHAnsi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"_Toc185601680" </w:instrText>
          </w:r>
          <w:r>
            <w:fldChar w:fldCharType="separate"/>
          </w:r>
          <w:r>
            <w:rPr>
              <w:rStyle w:val="8"/>
            </w:rPr>
            <w:t>Моделирование кинетики</w:t>
          </w:r>
          <w:r>
            <w:tab/>
          </w:r>
          <w:r>
            <w:fldChar w:fldCharType="begin"/>
          </w:r>
          <w:r>
            <w:instrText xml:space="preserve"> PAGEREF _Toc185601680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 w14:paraId="158E1BC8">
          <w:pPr>
            <w:pStyle w:val="11"/>
            <w:tabs>
              <w:tab w:val="right" w:leader="dot" w:pos="9345"/>
            </w:tabs>
            <w:rPr>
              <w:rFonts w:asciiTheme="minorHAnsi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"_Toc185601681" </w:instrText>
          </w:r>
          <w:r>
            <w:fldChar w:fldCharType="separate"/>
          </w:r>
          <w:r>
            <w:rPr>
              <w:rStyle w:val="8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_Toc185601681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5C2F031E">
          <w:r>
            <w:rPr>
              <w:rFonts w:cs="Times New Roman"/>
              <w:b/>
              <w:bCs/>
              <w:color w:val="000000" w:themeColor="text1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</w:sdtContent>
    </w:sdt>
    <w:p w14:paraId="283DE792">
      <w:pPr>
        <w:spacing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  <w14:textFill>
            <w14:solidFill>
              <w14:schemeClr w14:val="tx1"/>
            </w14:solidFill>
          </w14:textFill>
        </w:rPr>
      </w:pPr>
      <w:r>
        <w:br w:type="page"/>
      </w:r>
    </w:p>
    <w:p w14:paraId="41ECAD2A">
      <w:pPr>
        <w:pStyle w:val="2"/>
      </w:pPr>
      <w:bookmarkStart w:id="0" w:name="_Toc185601677"/>
      <w:r>
        <w:t>Задание</w:t>
      </w:r>
      <w:bookmarkEnd w:id="0"/>
    </w:p>
    <w:p w14:paraId="2F642F88">
      <w:pPr>
        <w:spacing w:after="0"/>
        <w:ind w:firstLine="0"/>
      </w:pPr>
      <w:r>
        <w:tab/>
      </w:r>
      <w:r>
        <w:t>Определить гамма-процентный ресурс микрополоскового смесителя частот с резонансно туннельным диодом в качестве нелинейно элемента.</w:t>
      </w:r>
    </w:p>
    <w:p w14:paraId="735218BD">
      <w:pPr>
        <w:spacing w:after="0"/>
        <w:ind w:firstLine="0"/>
        <w:jc w:val="left"/>
        <w:rPr>
          <w:lang w:val="en-US"/>
        </w:rPr>
      </w:pPr>
      <w:r>
        <w:tab/>
      </w:r>
      <w:r>
        <w:t>Этапы</w:t>
      </w:r>
      <w:r>
        <w:rPr>
          <w:lang w:val="en-US"/>
        </w:rPr>
        <w:t>:</w:t>
      </w:r>
    </w:p>
    <w:p w14:paraId="398A3481">
      <w:pPr>
        <w:pStyle w:val="31"/>
        <w:numPr>
          <w:ilvl w:val="0"/>
          <w:numId w:val="1"/>
        </w:numPr>
        <w:rPr>
          <w:rFonts w:eastAsiaTheme="majorEastAsia" w:cstheme="majorBidi"/>
          <w:b/>
          <w:color w:val="000000" w:themeColor="text1"/>
          <w:szCs w:val="32"/>
          <w14:textFill>
            <w14:solidFill>
              <w14:schemeClr w14:val="tx1"/>
            </w14:solidFill>
          </w14:textFill>
        </w:rPr>
      </w:pPr>
      <w:r>
        <w:rPr>
          <w:rFonts w:eastAsiaTheme="majorEastAsia" w:cstheme="majorBidi"/>
          <w:bCs/>
          <w:color w:val="000000" w:themeColor="text1"/>
          <w:szCs w:val="32"/>
          <w14:textFill>
            <w14:solidFill>
              <w14:schemeClr w14:val="tx1"/>
            </w14:solidFill>
          </w14:textFill>
        </w:rPr>
        <w:t>Смоделировать ВАХ РТД и параметры смесителя частот заданной конструкции с номинальными параметрами.</w:t>
      </w:r>
    </w:p>
    <w:p w14:paraId="64072B5B">
      <w:pPr>
        <w:pStyle w:val="31"/>
        <w:numPr>
          <w:ilvl w:val="0"/>
          <w:numId w:val="1"/>
        </w:numPr>
        <w:rPr>
          <w:rFonts w:eastAsiaTheme="majorEastAsia" w:cstheme="majorBidi"/>
          <w:b/>
          <w:color w:val="000000" w:themeColor="text1"/>
          <w:szCs w:val="32"/>
          <w14:textFill>
            <w14:solidFill>
              <w14:schemeClr w14:val="tx1"/>
            </w14:solidFill>
          </w14:textFill>
        </w:rPr>
      </w:pPr>
      <w:r>
        <w:rPr>
          <w:rFonts w:eastAsiaTheme="majorEastAsia" w:cstheme="majorBidi"/>
          <w:bCs/>
          <w:color w:val="000000" w:themeColor="text1"/>
          <w:szCs w:val="32"/>
          <w14:textFill>
            <w14:solidFill>
              <w14:schemeClr w14:val="tx1"/>
            </w14:solidFill>
          </w14:textFill>
        </w:rPr>
        <w:t>Смоделировать статическое распределение тока РТД в рабочей точке и распределение электрических параметров смесителя частот на его основе. Учитывается технологический разброс параметров конструкции диода и смесителя, заданный преподавателем.</w:t>
      </w:r>
    </w:p>
    <w:p w14:paraId="7DF5B678">
      <w:pPr>
        <w:pStyle w:val="31"/>
        <w:numPr>
          <w:ilvl w:val="0"/>
          <w:numId w:val="1"/>
        </w:numPr>
        <w:rPr>
          <w:rFonts w:eastAsiaTheme="majorEastAsia" w:cstheme="majorBidi"/>
          <w:b/>
          <w:color w:val="000000" w:themeColor="text1"/>
          <w:szCs w:val="32"/>
          <w14:textFill>
            <w14:solidFill>
              <w14:schemeClr w14:val="tx1"/>
            </w14:solidFill>
          </w14:textFill>
        </w:rPr>
      </w:pPr>
      <w:r>
        <w:rPr>
          <w:rFonts w:eastAsiaTheme="majorEastAsia" w:cstheme="majorBidi"/>
          <w:bCs/>
          <w:color w:val="000000" w:themeColor="text1"/>
          <w:szCs w:val="32"/>
          <w14:textFill>
            <w14:solidFill>
              <w14:schemeClr w14:val="tx1"/>
            </w14:solidFill>
          </w14:textFill>
        </w:rPr>
        <w:t>Смоделировать кинетику под действием эксплуатационных факторов тока РТД в рабочей точке и электрических параметров смесителя на его основе.</w:t>
      </w:r>
    </w:p>
    <w:p w14:paraId="30636CFA">
      <w:pPr>
        <w:pStyle w:val="31"/>
        <w:ind w:firstLine="0"/>
        <w:jc w:val="center"/>
        <w:rPr>
          <w:rFonts w:eastAsiaTheme="majorEastAsia" w:cstheme="majorBidi"/>
          <w:b/>
          <w:color w:val="000000" w:themeColor="text1"/>
          <w:szCs w:val="32"/>
          <w14:textFill>
            <w14:solidFill>
              <w14:schemeClr w14:val="tx1"/>
            </w14:solidFill>
          </w14:textFill>
        </w:rPr>
      </w:pPr>
      <w:r>
        <w:rPr>
          <w:rFonts w:eastAsiaTheme="majorEastAsia" w:cstheme="majorBidi"/>
          <w:b/>
          <w:color w:val="000000" w:themeColor="text1"/>
          <w:szCs w:val="32"/>
          <w14:textFill>
            <w14:solidFill>
              <w14:schemeClr w14:val="tx1"/>
            </w14:solidFill>
          </w14:textFill>
        </w:rPr>
        <w:t>Вариант 2</w:t>
      </w:r>
    </w:p>
    <w:p w14:paraId="565626EF">
      <w:pPr>
        <w:pStyle w:val="31"/>
        <w:numPr>
          <w:ilvl w:val="0"/>
          <w:numId w:val="2"/>
        </w:numPr>
        <w:spacing w:after="0"/>
        <w:rPr>
          <w:rFonts w:eastAsiaTheme="majorEastAsia" w:cstheme="majorBidi"/>
          <w:b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eastAsiaTheme="majorEastAsia" w:cstheme="majorBidi"/>
          <w:bCs/>
          <w:color w:val="000000" w:themeColor="text1"/>
          <w:szCs w:val="32"/>
          <w14:textFill>
            <w14:solidFill>
              <w14:schemeClr w14:val="tx1"/>
            </w14:solidFill>
          </w14:textFill>
        </w:rPr>
        <w:t>Гетероструктура</w:t>
      </w:r>
      <w:r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  <w:t>:</w:t>
      </w:r>
    </w:p>
    <w:p w14:paraId="721E450F">
      <w:pPr>
        <w:pStyle w:val="31"/>
        <w:numPr>
          <w:ilvl w:val="0"/>
          <w:numId w:val="3"/>
        </w:numPr>
        <w:spacing w:after="0"/>
        <w:ind w:left="1843"/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eastAsiaTheme="majorEastAsia" w:cstheme="majorBidi"/>
          <w:bCs/>
          <w:color w:val="000000" w:themeColor="text1"/>
          <w:szCs w:val="32"/>
          <w14:textFill>
            <w14:solidFill>
              <w14:schemeClr w14:val="tx1"/>
            </w14:solidFill>
          </w14:textFill>
        </w:rPr>
        <w:t>Яма</w:t>
      </w:r>
      <w:r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  <w:t>:</w:t>
      </w:r>
    </w:p>
    <w:p w14:paraId="6C50EE26">
      <w:pPr>
        <w:pStyle w:val="31"/>
        <w:numPr>
          <w:ilvl w:val="0"/>
          <w:numId w:val="4"/>
        </w:numPr>
        <w:spacing w:after="0"/>
        <w:ind w:left="2552" w:hanging="284"/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</w:pPr>
      <w:r>
        <w:t xml:space="preserve">Материал - </w:t>
      </w:r>
      <w:r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  <w:t>GaAs;</w:t>
      </w:r>
    </w:p>
    <w:p w14:paraId="46D1F44F">
      <w:pPr>
        <w:pStyle w:val="31"/>
        <w:numPr>
          <w:ilvl w:val="0"/>
          <w:numId w:val="4"/>
        </w:numPr>
        <w:spacing w:after="0"/>
        <w:ind w:left="2552" w:hanging="284"/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  <w:t xml:space="preserve">11 </w:t>
      </w:r>
      <w:r>
        <w:rPr>
          <w:rFonts w:eastAsiaTheme="majorEastAsia" w:cstheme="majorBidi"/>
          <w:bCs/>
          <w:color w:val="000000" w:themeColor="text1"/>
          <w:szCs w:val="32"/>
          <w14:textFill>
            <w14:solidFill>
              <w14:schemeClr w14:val="tx1"/>
            </w14:solidFill>
          </w14:textFill>
        </w:rPr>
        <w:t>МС</w:t>
      </w:r>
      <w:r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  <w:t>;</w:t>
      </w:r>
    </w:p>
    <w:p w14:paraId="42A50F1C">
      <w:pPr>
        <w:pStyle w:val="31"/>
        <w:numPr>
          <w:ilvl w:val="0"/>
          <w:numId w:val="3"/>
        </w:numPr>
        <w:spacing w:after="0"/>
        <w:ind w:left="1843"/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eastAsiaTheme="majorEastAsia" w:cstheme="majorBidi"/>
          <w:bCs/>
          <w:color w:val="000000" w:themeColor="text1"/>
          <w:szCs w:val="32"/>
          <w14:textFill>
            <w14:solidFill>
              <w14:schemeClr w14:val="tx1"/>
            </w14:solidFill>
          </w14:textFill>
        </w:rPr>
        <w:t>Барьеры</w:t>
      </w:r>
      <w:r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  <w:t>:</w:t>
      </w:r>
    </w:p>
    <w:p w14:paraId="26E895E0">
      <w:pPr>
        <w:pStyle w:val="31"/>
        <w:numPr>
          <w:ilvl w:val="0"/>
          <w:numId w:val="5"/>
        </w:numPr>
        <w:spacing w:after="0"/>
        <w:ind w:left="2552" w:hanging="284"/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</w:pPr>
      <w:r>
        <w:t xml:space="preserve">Материал - </w:t>
      </w:r>
      <w:r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  <w:t>AlAs;</w:t>
      </w:r>
    </w:p>
    <w:p w14:paraId="78DFE287">
      <w:pPr>
        <w:pStyle w:val="31"/>
        <w:numPr>
          <w:ilvl w:val="0"/>
          <w:numId w:val="5"/>
        </w:numPr>
        <w:spacing w:after="0"/>
        <w:ind w:left="2552" w:hanging="284"/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  <w:t xml:space="preserve">11 </w:t>
      </w:r>
      <w:r>
        <w:rPr>
          <w:rFonts w:eastAsiaTheme="majorEastAsia" w:cstheme="majorBidi"/>
          <w:bCs/>
          <w:color w:val="000000" w:themeColor="text1"/>
          <w:szCs w:val="32"/>
          <w14:textFill>
            <w14:solidFill>
              <w14:schemeClr w14:val="tx1"/>
            </w14:solidFill>
          </w14:textFill>
        </w:rPr>
        <w:t>МС</w:t>
      </w:r>
      <w:r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  <w:t>;</w:t>
      </w:r>
    </w:p>
    <w:p w14:paraId="2F32B08E">
      <w:pPr>
        <w:pStyle w:val="31"/>
        <w:numPr>
          <w:ilvl w:val="0"/>
          <w:numId w:val="3"/>
        </w:numPr>
        <w:spacing w:after="0"/>
        <w:ind w:left="1843"/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eastAsiaTheme="majorEastAsia" w:cstheme="majorBidi"/>
          <w:bCs/>
          <w:color w:val="000000" w:themeColor="text1"/>
          <w:szCs w:val="32"/>
          <w14:textFill>
            <w14:solidFill>
              <w14:schemeClr w14:val="tx1"/>
            </w14:solidFill>
          </w14:textFill>
        </w:rPr>
        <w:t>Спейсеры</w:t>
      </w:r>
      <w:r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  <w:t>:</w:t>
      </w:r>
    </w:p>
    <w:p w14:paraId="2A85A0A2">
      <w:pPr>
        <w:pStyle w:val="31"/>
        <w:numPr>
          <w:ilvl w:val="0"/>
          <w:numId w:val="6"/>
        </w:numPr>
        <w:spacing w:after="0"/>
        <w:ind w:left="2552" w:hanging="284"/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</w:pPr>
      <w:r>
        <w:t xml:space="preserve">Материал - </w:t>
      </w:r>
      <w:r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  <w:t>GaAs;</w:t>
      </w:r>
    </w:p>
    <w:p w14:paraId="1861C45F">
      <w:pPr>
        <w:pStyle w:val="31"/>
        <w:numPr>
          <w:ilvl w:val="0"/>
          <w:numId w:val="6"/>
        </w:numPr>
        <w:spacing w:after="0"/>
        <w:ind w:left="2552" w:hanging="284"/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eastAsiaTheme="majorEastAsia" w:cstheme="majorBidi"/>
          <w:bCs/>
          <w:color w:val="000000" w:themeColor="text1"/>
          <w:szCs w:val="32"/>
          <w14:textFill>
            <w14:solidFill>
              <w14:schemeClr w14:val="tx1"/>
            </w14:solidFill>
          </w14:textFill>
        </w:rPr>
        <w:t>8 МС</w:t>
      </w:r>
      <w:r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  <w:t>;</w:t>
      </w:r>
    </w:p>
    <w:p w14:paraId="68CD3DC4">
      <w:pPr>
        <w:pStyle w:val="31"/>
        <w:numPr>
          <w:ilvl w:val="0"/>
          <w:numId w:val="2"/>
        </w:numPr>
        <w:spacing w:after="0"/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eastAsiaTheme="majorEastAsia" w:cstheme="majorBidi"/>
          <w:bCs/>
          <w:color w:val="000000" w:themeColor="text1"/>
          <w:szCs w:val="32"/>
          <w14:textFill>
            <w14:solidFill>
              <w14:schemeClr w14:val="tx1"/>
            </w14:solidFill>
          </w14:textFill>
        </w:rPr>
        <w:t>Диаметр мезы – 20 мкм</w:t>
      </w:r>
      <w:r>
        <w:rPr>
          <w:rFonts w:eastAsiaTheme="majorEastAsia" w:cstheme="majorBidi"/>
          <w:bCs/>
          <w:color w:val="000000" w:themeColor="text1"/>
          <w:szCs w:val="32"/>
          <w:lang w:val="en-US"/>
          <w14:textFill>
            <w14:solidFill>
              <w14:schemeClr w14:val="tx1"/>
            </w14:solidFill>
          </w14:textFill>
        </w:rPr>
        <w:t>;</w:t>
      </w:r>
    </w:p>
    <w:p w14:paraId="5A2BE0DA">
      <w:pPr>
        <w:pStyle w:val="31"/>
        <w:numPr>
          <w:ilvl w:val="0"/>
          <w:numId w:val="7"/>
        </w:numPr>
        <w:spacing w:after="0"/>
      </w:pPr>
      <w:r>
        <w:t>Тип смесителя – субгармонический смеситель (СГСМ);</w:t>
      </w:r>
    </w:p>
    <w:p w14:paraId="75A32685">
      <w:pPr>
        <w:pStyle w:val="31"/>
        <w:numPr>
          <w:ilvl w:val="0"/>
          <w:numId w:val="7"/>
        </w:numPr>
        <w:spacing w:after="0"/>
      </w:pPr>
      <w:r>
        <w:t>Омические контакты:</w:t>
      </w:r>
    </w:p>
    <w:p w14:paraId="4DC89002">
      <w:pPr>
        <w:pStyle w:val="31"/>
        <w:numPr>
          <w:ilvl w:val="0"/>
          <w:numId w:val="8"/>
        </w:numPr>
        <w:spacing w:after="0"/>
        <w:ind w:left="1843" w:hanging="425"/>
      </w:pPr>
      <w:r>
        <w:t xml:space="preserve">Материал - </w:t>
      </w:r>
      <w:r>
        <w:rPr>
          <w:lang w:val="en-US"/>
        </w:rPr>
        <w:t>AuGeNi</w:t>
      </w:r>
    </w:p>
    <w:p w14:paraId="7570A033">
      <w:pPr>
        <w:pStyle w:val="31"/>
        <w:numPr>
          <w:ilvl w:val="0"/>
          <w:numId w:val="8"/>
        </w:numPr>
        <w:spacing w:after="0"/>
        <w:ind w:left="1843" w:hanging="425"/>
      </w:pPr>
      <w:r>
        <w:t>Площадь верхнего омического контакта: 314 км. мкм;</w:t>
      </w:r>
    </w:p>
    <w:p w14:paraId="18092F4D">
      <w:pPr>
        <w:pStyle w:val="31"/>
        <w:numPr>
          <w:ilvl w:val="0"/>
          <w:numId w:val="8"/>
        </w:numPr>
        <w:spacing w:after="0"/>
        <w:ind w:left="1843" w:hanging="425"/>
      </w:pPr>
      <w:r>
        <w:t>Площадь нижнего омического контакта: 1231 км. мкм;</w:t>
      </w:r>
    </w:p>
    <w:p w14:paraId="7C4481F8">
      <w:pPr>
        <w:pStyle w:val="31"/>
        <w:numPr>
          <w:ilvl w:val="0"/>
          <w:numId w:val="9"/>
        </w:numPr>
        <w:spacing w:after="0"/>
        <w:ind w:left="851" w:hanging="425"/>
        <w:rPr>
          <w:lang w:val="en-US"/>
        </w:rPr>
      </w:pPr>
      <w:r>
        <w:t>Размер выборки</w:t>
      </w:r>
      <w:r>
        <w:rPr>
          <w:lang w:val="en-US"/>
        </w:rPr>
        <w:t>: 100</w:t>
      </w:r>
      <w:r>
        <w:t xml:space="preserve"> элементов</w:t>
      </w:r>
      <w:r>
        <w:rPr>
          <w:lang w:val="en-US"/>
        </w:rPr>
        <w:t>;</w:t>
      </w:r>
    </w:p>
    <w:p w14:paraId="0B9EF5A9">
      <w:pPr>
        <w:pStyle w:val="31"/>
        <w:numPr>
          <w:ilvl w:val="0"/>
          <w:numId w:val="9"/>
        </w:numPr>
        <w:spacing w:after="0"/>
        <w:ind w:left="851" w:hanging="425"/>
      </w:pPr>
      <w:r>
        <w:t>Разброс РТС по толщине +/- 1 МС;</w:t>
      </w:r>
    </w:p>
    <w:p w14:paraId="2618ADB7">
      <w:pPr>
        <w:pStyle w:val="31"/>
        <w:numPr>
          <w:ilvl w:val="0"/>
          <w:numId w:val="9"/>
        </w:numPr>
        <w:spacing w:after="0"/>
        <w:ind w:left="851" w:hanging="425"/>
        <w:rPr>
          <w:lang w:eastAsia="zh-CN"/>
        </w:rPr>
      </w:pPr>
      <w:r>
        <w:t xml:space="preserve">Разброс РТС по доле </w:t>
      </w:r>
      <w:r>
        <w:rPr>
          <w:lang w:val="en-US"/>
        </w:rPr>
        <w:t>Al</w:t>
      </w:r>
      <w:r>
        <w:t xml:space="preserve"> в барьерах +/</w:t>
      </w:r>
      <w:r>
        <w:rPr>
          <w:lang w:eastAsia="zh-CN"/>
        </w:rPr>
        <w:t>- 5%;</w:t>
      </w:r>
    </w:p>
    <w:p w14:paraId="220252D3">
      <w:pPr>
        <w:pStyle w:val="31"/>
        <w:numPr>
          <w:ilvl w:val="0"/>
          <w:numId w:val="9"/>
        </w:numPr>
        <w:spacing w:after="0"/>
        <w:ind w:left="851" w:hanging="425"/>
        <w:rPr>
          <w:lang w:eastAsia="zh-CN"/>
        </w:rPr>
      </w:pPr>
      <w:r>
        <w:rPr>
          <w:lang w:eastAsia="zh-CN"/>
        </w:rPr>
        <w:t>Разброс площади ОК и мезы +/- 1 мкм;</w:t>
      </w:r>
    </w:p>
    <w:p w14:paraId="2EAEE486">
      <w:pPr>
        <w:pStyle w:val="31"/>
        <w:numPr>
          <w:ilvl w:val="0"/>
          <w:numId w:val="9"/>
        </w:numPr>
        <w:spacing w:after="0"/>
        <w:ind w:left="851" w:hanging="425"/>
        <w:rPr>
          <w:lang w:eastAsia="zh-CN"/>
        </w:rPr>
      </w:pPr>
      <w:r>
        <w:rPr>
          <w:lang w:eastAsia="zh-CN"/>
        </w:rPr>
        <w:t>Разброс удельного контактного сопротивления +/- 0.25 мкОм</w:t>
      </w:r>
      <m:oMath>
        <m:r>
          <m:rPr/>
          <w:rPr>
            <w:rFonts w:ascii="Cambria Math" w:hAnsi="Cambria Math"/>
            <w:lang w:eastAsia="zh-CN"/>
          </w:rPr>
          <m:t>⋅</m:t>
        </m:r>
      </m:oMath>
      <w:r>
        <w:rPr>
          <w:lang w:eastAsia="zh-CN"/>
        </w:rPr>
        <w:t>см</w:t>
      </w:r>
      <w:r>
        <w:rPr>
          <w:vertAlign w:val="superscript"/>
          <w:lang w:eastAsia="zh-CN"/>
        </w:rPr>
        <w:t>2</w:t>
      </w:r>
      <w:r>
        <w:rPr>
          <w:lang w:eastAsia="zh-CN"/>
        </w:rPr>
        <w:t>;</w:t>
      </w:r>
    </w:p>
    <w:p w14:paraId="48671701">
      <w:pPr>
        <w:pStyle w:val="31"/>
        <w:numPr>
          <w:ilvl w:val="0"/>
          <w:numId w:val="9"/>
        </w:numPr>
        <w:spacing w:after="0"/>
        <w:ind w:left="851" w:hanging="425"/>
        <w:rPr>
          <w:lang w:eastAsia="zh-CN"/>
        </w:rPr>
      </w:pPr>
      <w:r>
        <w:rPr>
          <w:lang w:eastAsia="zh-CN"/>
        </w:rPr>
        <w:t xml:space="preserve">Температурное воздействие </w:t>
      </w:r>
      <m:oMath>
        <m:r>
          <m:rPr/>
          <w:rPr>
            <w:rFonts w:ascii="Cambria Math" w:hAnsi="Cambria Math"/>
            <w:lang w:eastAsia="zh-CN"/>
          </w:rPr>
          <m:t>+125 ℃</m:t>
        </m:r>
      </m:oMath>
      <w:r>
        <w:rPr>
          <w:lang w:val="en-US" w:eastAsia="zh-CN"/>
        </w:rPr>
        <w:t>;</w:t>
      </w:r>
    </w:p>
    <w:p w14:paraId="0EBF8817">
      <w:pPr>
        <w:pStyle w:val="31"/>
        <w:numPr>
          <w:ilvl w:val="0"/>
          <w:numId w:val="9"/>
        </w:numPr>
        <w:spacing w:after="0"/>
        <w:ind w:left="851" w:hanging="425"/>
        <w:rPr>
          <w:lang w:eastAsia="zh-CN"/>
        </w:rPr>
      </w:pPr>
      <w:r>
        <w:rPr>
          <w:lang w:eastAsia="zh-CN"/>
        </w:rPr>
        <w:t xml:space="preserve">Критерий отказа – коэффициент передачи </w:t>
      </w:r>
      <m:oMath>
        <m:r>
          <m:rPr/>
          <w:rPr>
            <w:rFonts w:ascii="Cambria Math" w:hAnsi="Cambria Math"/>
            <w:lang w:eastAsia="zh-CN"/>
          </w:rPr>
          <m:t>≤−16</m:t>
        </m:r>
      </m:oMath>
      <w:r>
        <w:rPr>
          <w:lang w:eastAsia="zh-CN"/>
        </w:rPr>
        <w:t xml:space="preserve"> дБ</w:t>
      </w:r>
    </w:p>
    <w:p w14:paraId="1F2C77A3">
      <w:pPr>
        <w:spacing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  <w14:textFill>
            <w14:solidFill>
              <w14:schemeClr w14:val="tx1"/>
            </w14:solidFill>
          </w14:textFill>
        </w:rPr>
      </w:pPr>
    </w:p>
    <w:p w14:paraId="3E235F3E">
      <w:pPr>
        <w:spacing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  <w14:textFill>
            <w14:solidFill>
              <w14:schemeClr w14:val="tx1"/>
            </w14:solidFill>
          </w14:textFill>
        </w:rPr>
      </w:pPr>
      <w:r>
        <w:br w:type="page"/>
      </w:r>
    </w:p>
    <w:p w14:paraId="2FD4B43F">
      <w:pPr>
        <w:pStyle w:val="2"/>
      </w:pPr>
      <w:bookmarkStart w:id="1" w:name="_Toc185601678"/>
      <w:r>
        <w:t>Моделирование номинальных характеристик</w:t>
      </w:r>
      <w:bookmarkEnd w:id="1"/>
    </w:p>
    <w:p w14:paraId="3D9F9E9B">
      <w:r>
        <w:t>Схема исследуемого субгармонического смесителя представлена на рисунке 1.</w:t>
      </w:r>
    </w:p>
    <w:p w14:paraId="0034A20E">
      <w:pPr>
        <w:ind w:firstLine="0"/>
        <w:jc w:val="center"/>
      </w:pPr>
      <w:r>
        <w:drawing>
          <wp:inline distT="0" distB="0" distL="0" distR="0">
            <wp:extent cx="5607050" cy="29851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7" cy="298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EFC1">
      <w:pPr>
        <w:ind w:firstLine="0"/>
        <w:jc w:val="center"/>
      </w:pPr>
      <w:r>
        <w:t>Рис. 1 - Субгармонический смеситель</w:t>
      </w:r>
    </w:p>
    <w:p w14:paraId="356954E6">
      <w:r>
        <w:t>Полученная в программе для заданных параметров номинальная ВАХ РТД представлена на рисунке 2.</w:t>
      </w:r>
    </w:p>
    <w:p w14:paraId="289DEC11">
      <w:pPr>
        <w:spacing w:after="0"/>
        <w:ind w:firstLine="0"/>
        <w:rPr>
          <w:lang w:val="en-US"/>
        </w:rPr>
      </w:pPr>
      <w:r>
        <w:drawing>
          <wp:inline distT="0" distB="0" distL="0" distR="0">
            <wp:extent cx="5940425" cy="33458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42CA">
      <w:pPr>
        <w:spacing w:after="0"/>
        <w:ind w:firstLine="0"/>
        <w:jc w:val="center"/>
      </w:pPr>
      <w:r>
        <w:t>Рис. 2 – номинальная ВАХ РТД в программе</w:t>
      </w:r>
    </w:p>
    <w:p w14:paraId="3EC2355D">
      <w:pPr>
        <w:spacing w:after="0"/>
        <w:ind w:firstLine="0"/>
      </w:pPr>
      <w:r>
        <w:tab/>
      </w:r>
      <w:r>
        <w:t xml:space="preserve">Полиноминальная аппроксимация была выполнена в </w:t>
      </w:r>
      <w:r>
        <w:rPr>
          <w:lang w:val="en-US"/>
        </w:rPr>
        <w:t>Matlab</w:t>
      </w:r>
      <w:r>
        <w:t>. В результате были получены значения коэффициентов полинома 5 степени.</w:t>
      </w:r>
    </w:p>
    <w:p w14:paraId="02D9E9F5">
      <w:pPr>
        <w:pStyle w:val="36"/>
      </w:pPr>
      <w:r>
        <w:rPr>
          <w:color w:val="008013"/>
        </w:rPr>
        <w:t>%Данные с графика программы</w:t>
      </w:r>
    </w:p>
    <w:p w14:paraId="474D6EF6">
      <w:pPr>
        <w:pStyle w:val="36"/>
      </w:pPr>
      <w:r>
        <w:t>U_plus = [0.05102 0.1531 0.2551 0.3571 0.4592 0.5612 0.6633 0.7653 0.8673 0.9694 1.071</w:t>
      </w:r>
      <w:r>
        <w:rPr>
          <w:color w:val="0E00FF"/>
        </w:rPr>
        <w:t xml:space="preserve"> </w:t>
      </w:r>
      <w:r>
        <w:t>1.173 1.276 1.378 1.48 1.582 1.684 1.786 1.888 1.99 2.092 2.194 2.296 2.398 2.5];</w:t>
      </w:r>
    </w:p>
    <w:p w14:paraId="61506FFC">
      <w:pPr>
        <w:pStyle w:val="36"/>
        <w:rPr>
          <w:lang w:val="en-US"/>
        </w:rPr>
      </w:pPr>
      <w:r>
        <w:rPr>
          <w:lang w:val="en-US"/>
        </w:rPr>
        <w:t>I_plus = [1.369e-5 4.395e-5 8.289e-5 0.0001365 0.0002111 0.0003134 0.0004505 0.0006304</w:t>
      </w:r>
      <w:r>
        <w:rPr>
          <w:color w:val="0E00FF"/>
          <w:lang w:val="en-US"/>
        </w:rPr>
        <w:t xml:space="preserve"> </w:t>
      </w:r>
      <w:r>
        <w:rPr>
          <w:lang w:val="en-US"/>
        </w:rPr>
        <w:t>0.0008618 0.001154 0.001518 0.001965 0.002508 .003162 0.003942 0.004865 0.005951 0.007221</w:t>
      </w:r>
      <w:r>
        <w:rPr>
          <w:color w:val="0E00FF"/>
          <w:lang w:val="en-US"/>
        </w:rPr>
        <w:t xml:space="preserve"> </w:t>
      </w:r>
      <w:r>
        <w:rPr>
          <w:lang w:val="en-US"/>
        </w:rPr>
        <w:t>0.008697 0.0104 0.01237 0.01462 0.0172 0.02013 0.02345];</w:t>
      </w:r>
    </w:p>
    <w:p w14:paraId="65E50AA5">
      <w:pPr>
        <w:pStyle w:val="36"/>
        <w:rPr>
          <w:lang w:val="en-US"/>
        </w:rPr>
      </w:pPr>
      <w:r>
        <w:rPr>
          <w:lang w:val="en-US"/>
        </w:rPr>
        <w:t>I_minus = -1.*wrev(I_plus);</w:t>
      </w:r>
    </w:p>
    <w:p w14:paraId="1ED65A46">
      <w:pPr>
        <w:pStyle w:val="36"/>
        <w:rPr>
          <w:lang w:val="en-US"/>
        </w:rPr>
      </w:pPr>
      <w:r>
        <w:rPr>
          <w:lang w:val="en-US"/>
        </w:rPr>
        <w:t>U_minus = -1.*wrev(U_plus);</w:t>
      </w:r>
    </w:p>
    <w:p w14:paraId="2051EC59">
      <w:pPr>
        <w:pStyle w:val="36"/>
        <w:rPr>
          <w:lang w:val="en-US"/>
        </w:rPr>
      </w:pPr>
      <w:r>
        <w:rPr>
          <w:lang w:val="en-US"/>
        </w:rPr>
        <w:t>I = [I_minus 0 I_plus];</w:t>
      </w:r>
    </w:p>
    <w:p w14:paraId="01E4DFAA">
      <w:pPr>
        <w:pStyle w:val="36"/>
        <w:rPr>
          <w:lang w:val="en-US"/>
        </w:rPr>
      </w:pPr>
      <w:r>
        <w:rPr>
          <w:lang w:val="en-US"/>
        </w:rPr>
        <w:t>U = [U_minus 0 U_plus];</w:t>
      </w:r>
    </w:p>
    <w:p w14:paraId="44651B41">
      <w:pPr>
        <w:pStyle w:val="36"/>
        <w:rPr>
          <w:lang w:val="en-US"/>
        </w:rPr>
      </w:pPr>
    </w:p>
    <w:p w14:paraId="75D363AE">
      <w:pPr>
        <w:pStyle w:val="36"/>
      </w:pPr>
      <w:r>
        <w:rPr>
          <w:color w:val="008013"/>
        </w:rPr>
        <w:t>%Аппроксимация полиномом 5 степени</w:t>
      </w:r>
    </w:p>
    <w:p w14:paraId="49A3FD9A">
      <w:pPr>
        <w:pStyle w:val="36"/>
      </w:pPr>
      <w:r>
        <w:t>coeffs = polyfit(U, I, 5);</w:t>
      </w:r>
    </w:p>
    <w:p w14:paraId="3344CC4C">
      <w:pPr>
        <w:pStyle w:val="36"/>
        <w:rPr>
          <w:lang w:val="en-US"/>
        </w:rPr>
      </w:pPr>
      <w:r>
        <w:rPr>
          <w:lang w:val="en-US"/>
        </w:rPr>
        <w:t>I_fit = polyval(coeffs, U);</w:t>
      </w:r>
    </w:p>
    <w:p w14:paraId="715E40CB">
      <w:pPr>
        <w:pStyle w:val="36"/>
        <w:rPr>
          <w:lang w:val="en-US"/>
        </w:rPr>
      </w:pPr>
    </w:p>
    <w:p w14:paraId="47E8ACFF">
      <w:pPr>
        <w:pStyle w:val="36"/>
        <w:rPr>
          <w:lang w:val="en-US"/>
        </w:rPr>
      </w:pPr>
      <w:r>
        <w:rPr>
          <w:color w:val="0E00FF"/>
          <w:lang w:val="en-US"/>
        </w:rPr>
        <w:t xml:space="preserve">for </w:t>
      </w:r>
      <w:r>
        <w:rPr>
          <w:lang w:val="en-US"/>
        </w:rPr>
        <w:t>i = length(coeffs):-1:1</w:t>
      </w:r>
    </w:p>
    <w:p w14:paraId="44419937">
      <w:pPr>
        <w:pStyle w:val="36"/>
        <w:rPr>
          <w:lang w:val="en-US"/>
        </w:rPr>
      </w:pPr>
      <w:r>
        <w:rPr>
          <w:lang w:val="en-US"/>
        </w:rPr>
        <w:t xml:space="preserve">    fprintf(</w:t>
      </w:r>
      <w:r>
        <w:rPr>
          <w:color w:val="A709F5"/>
          <w:lang w:val="en-US"/>
        </w:rPr>
        <w:t>'</w:t>
      </w:r>
      <w:r>
        <w:rPr>
          <w:color w:val="A709F5"/>
        </w:rPr>
        <w:t>Коэффициент</w:t>
      </w:r>
      <w:r>
        <w:rPr>
          <w:color w:val="A709F5"/>
          <w:lang w:val="en-US"/>
        </w:rPr>
        <w:t xml:space="preserve"> %d: %.8f\n'</w:t>
      </w:r>
      <w:r>
        <w:rPr>
          <w:lang w:val="en-US"/>
        </w:rPr>
        <w:t>, length(coeffs) - i, coeffs(i));</w:t>
      </w:r>
    </w:p>
    <w:p w14:paraId="239FA002">
      <w:pPr>
        <w:pStyle w:val="36"/>
      </w:pPr>
      <w:r>
        <w:rPr>
          <w:color w:val="0E00FF"/>
        </w:rPr>
        <w:t>end</w:t>
      </w:r>
    </w:p>
    <w:p w14:paraId="3DCA3C13">
      <w:pPr>
        <w:spacing w:after="0"/>
        <w:rPr>
          <w:rFonts w:ascii="Consolas" w:hAnsi="Consolas" w:eastAsia="Times New Roman"/>
          <w:color w:val="212121"/>
          <w:sz w:val="18"/>
          <w:szCs w:val="18"/>
        </w:rPr>
      </w:pPr>
      <w:r>
        <w:rPr>
          <w:rFonts w:ascii="Consolas" w:hAnsi="Consolas" w:eastAsia="Times New Roman"/>
          <w:color w:val="212121"/>
          <w:sz w:val="18"/>
          <w:szCs w:val="18"/>
        </w:rPr>
        <w:t>Коэффициент 0: 0.00000000</w:t>
      </w:r>
    </w:p>
    <w:p w14:paraId="126F8C75">
      <w:pPr>
        <w:spacing w:after="0"/>
        <w:rPr>
          <w:rFonts w:ascii="Consolas" w:hAnsi="Consolas" w:eastAsia="Times New Roman"/>
          <w:color w:val="212121"/>
          <w:sz w:val="18"/>
          <w:szCs w:val="18"/>
        </w:rPr>
      </w:pPr>
      <w:r>
        <w:rPr>
          <w:rFonts w:ascii="Consolas" w:hAnsi="Consolas" w:eastAsia="Times New Roman"/>
          <w:color w:val="212121"/>
          <w:sz w:val="18"/>
          <w:szCs w:val="18"/>
        </w:rPr>
        <w:t>Коэффициент 1: 0.00026878</w:t>
      </w:r>
    </w:p>
    <w:p w14:paraId="5C6C1907">
      <w:pPr>
        <w:spacing w:after="0"/>
        <w:rPr>
          <w:rFonts w:ascii="Consolas" w:hAnsi="Consolas" w:eastAsia="Times New Roman"/>
          <w:color w:val="212121"/>
          <w:sz w:val="18"/>
          <w:szCs w:val="18"/>
        </w:rPr>
      </w:pPr>
      <w:r>
        <w:rPr>
          <w:rFonts w:ascii="Consolas" w:hAnsi="Consolas" w:eastAsia="Times New Roman"/>
          <w:color w:val="212121"/>
          <w:sz w:val="18"/>
          <w:szCs w:val="18"/>
        </w:rPr>
        <w:t>Коэффициент 2: 0.00000000</w:t>
      </w:r>
    </w:p>
    <w:p w14:paraId="3A09080C">
      <w:pPr>
        <w:spacing w:after="0"/>
        <w:rPr>
          <w:rFonts w:ascii="Consolas" w:hAnsi="Consolas" w:eastAsia="Times New Roman"/>
          <w:color w:val="212121"/>
          <w:sz w:val="18"/>
          <w:szCs w:val="18"/>
        </w:rPr>
      </w:pPr>
      <w:r>
        <w:rPr>
          <w:rFonts w:ascii="Consolas" w:hAnsi="Consolas" w:eastAsia="Times New Roman"/>
          <w:color w:val="212121"/>
          <w:sz w:val="18"/>
          <w:szCs w:val="18"/>
        </w:rPr>
        <w:t>Коэффициент 3: 0.00089660</w:t>
      </w:r>
    </w:p>
    <w:p w14:paraId="07867A6C">
      <w:pPr>
        <w:spacing w:after="0"/>
        <w:rPr>
          <w:rFonts w:ascii="Consolas" w:hAnsi="Consolas" w:eastAsia="Times New Roman"/>
          <w:color w:val="212121"/>
          <w:sz w:val="18"/>
          <w:szCs w:val="18"/>
        </w:rPr>
      </w:pPr>
      <w:r>
        <w:rPr>
          <w:rFonts w:ascii="Consolas" w:hAnsi="Consolas" w:eastAsia="Times New Roman"/>
          <w:color w:val="212121"/>
          <w:sz w:val="18"/>
          <w:szCs w:val="18"/>
        </w:rPr>
        <w:t>Коэффициент 4: 0.00000000</w:t>
      </w:r>
    </w:p>
    <w:p w14:paraId="73E5A6C7">
      <w:pPr>
        <w:spacing w:after="0"/>
        <w:rPr>
          <w:rFonts w:ascii="Consolas" w:hAnsi="Consolas" w:eastAsia="Times New Roman"/>
          <w:color w:val="212121"/>
          <w:sz w:val="18"/>
          <w:szCs w:val="18"/>
        </w:rPr>
      </w:pPr>
      <w:r>
        <w:rPr>
          <w:rFonts w:ascii="Consolas" w:hAnsi="Consolas" w:eastAsia="Times New Roman"/>
          <w:color w:val="212121"/>
          <w:sz w:val="18"/>
          <w:szCs w:val="18"/>
        </w:rPr>
        <w:t>Коэффициент 5: 0.00008979</w:t>
      </w:r>
    </w:p>
    <w:p w14:paraId="4C3C2511">
      <w:pPr>
        <w:pStyle w:val="36"/>
      </w:pPr>
      <w:r>
        <w:rPr>
          <w:color w:val="008013"/>
        </w:rPr>
        <w:t>%Сравнение результатов на графике</w:t>
      </w:r>
    </w:p>
    <w:p w14:paraId="3A66D1EC">
      <w:pPr>
        <w:pStyle w:val="36"/>
        <w:rPr>
          <w:lang w:val="en-US"/>
        </w:rPr>
      </w:pPr>
      <w:r>
        <w:rPr>
          <w:lang w:val="en-US"/>
        </w:rPr>
        <w:t xml:space="preserve">plot(U, I, </w:t>
      </w:r>
      <w:r>
        <w:rPr>
          <w:color w:val="A709F5"/>
          <w:lang w:val="en-US"/>
        </w:rPr>
        <w:t>'k'</w:t>
      </w:r>
      <w:r>
        <w:rPr>
          <w:lang w:val="en-US"/>
        </w:rPr>
        <w:t xml:space="preserve">, </w:t>
      </w:r>
      <w:r>
        <w:rPr>
          <w:color w:val="A709F5"/>
          <w:lang w:val="en-US"/>
        </w:rPr>
        <w:t>'LineWidth'</w:t>
      </w:r>
      <w:r>
        <w:rPr>
          <w:lang w:val="en-US"/>
        </w:rPr>
        <w:t>, 2);</w:t>
      </w:r>
    </w:p>
    <w:p w14:paraId="15900EEC">
      <w:pPr>
        <w:pStyle w:val="36"/>
        <w:rPr>
          <w:lang w:val="en-US"/>
        </w:rPr>
      </w:pPr>
      <w:r>
        <w:rPr>
          <w:lang w:val="en-US"/>
        </w:rPr>
        <w:t xml:space="preserve">grid </w:t>
      </w:r>
      <w:r>
        <w:rPr>
          <w:color w:val="A709F5"/>
          <w:lang w:val="en-US"/>
        </w:rPr>
        <w:t>on</w:t>
      </w:r>
      <w:r>
        <w:rPr>
          <w:lang w:val="en-US"/>
        </w:rPr>
        <w:t>; box;</w:t>
      </w:r>
    </w:p>
    <w:p w14:paraId="52993273">
      <w:pPr>
        <w:pStyle w:val="36"/>
        <w:rPr>
          <w:lang w:val="en-US"/>
        </w:rPr>
      </w:pPr>
      <w:r>
        <w:rPr>
          <w:lang w:val="en-US"/>
        </w:rPr>
        <w:t xml:space="preserve">hold </w:t>
      </w:r>
      <w:r>
        <w:rPr>
          <w:color w:val="A709F5"/>
          <w:lang w:val="en-US"/>
        </w:rPr>
        <w:t>on</w:t>
      </w:r>
    </w:p>
    <w:p w14:paraId="5A3140E4">
      <w:pPr>
        <w:pStyle w:val="36"/>
        <w:rPr>
          <w:lang w:val="en-US"/>
        </w:rPr>
      </w:pPr>
      <w:r>
        <w:rPr>
          <w:lang w:val="en-US"/>
        </w:rPr>
        <w:t xml:space="preserve">plot(U, I_fit, </w:t>
      </w:r>
      <w:r>
        <w:rPr>
          <w:color w:val="A709F5"/>
          <w:lang w:val="en-US"/>
        </w:rPr>
        <w:t>'ro'</w:t>
      </w:r>
      <w:r>
        <w:rPr>
          <w:lang w:val="en-US"/>
        </w:rPr>
        <w:t>);</w:t>
      </w:r>
    </w:p>
    <w:p w14:paraId="2E933FE0">
      <w:pPr>
        <w:pStyle w:val="36"/>
        <w:rPr>
          <w:lang w:val="en-US"/>
        </w:rPr>
      </w:pPr>
      <w:r>
        <w:rPr>
          <w:lang w:val="en-US"/>
        </w:rPr>
        <w:t>legend(</w:t>
      </w:r>
      <w:r>
        <w:rPr>
          <w:color w:val="A709F5"/>
          <w:lang w:val="en-US"/>
        </w:rPr>
        <w:t>'</w:t>
      </w:r>
      <w:r>
        <w:rPr>
          <w:color w:val="A709F5"/>
        </w:rPr>
        <w:t>Номинальная</w:t>
      </w:r>
      <w:r>
        <w:rPr>
          <w:color w:val="A709F5"/>
          <w:lang w:val="en-US"/>
        </w:rPr>
        <w:t xml:space="preserve"> </w:t>
      </w:r>
      <w:r>
        <w:rPr>
          <w:color w:val="A709F5"/>
        </w:rPr>
        <w:t>ВАХ</w:t>
      </w:r>
      <w:r>
        <w:rPr>
          <w:color w:val="A709F5"/>
          <w:lang w:val="en-US"/>
        </w:rPr>
        <w:t>'</w:t>
      </w:r>
      <w:r>
        <w:rPr>
          <w:lang w:val="en-US"/>
        </w:rPr>
        <w:t xml:space="preserve">, </w:t>
      </w:r>
      <w:r>
        <w:rPr>
          <w:color w:val="A709F5"/>
          <w:lang w:val="en-US"/>
        </w:rPr>
        <w:t>'</w:t>
      </w:r>
      <w:r>
        <w:rPr>
          <w:color w:val="A709F5"/>
        </w:rPr>
        <w:t>Аппроксимация</w:t>
      </w:r>
      <w:r>
        <w:rPr>
          <w:color w:val="A709F5"/>
          <w:lang w:val="en-US"/>
        </w:rPr>
        <w:t>'</w:t>
      </w:r>
      <w:r>
        <w:rPr>
          <w:lang w:val="en-US"/>
        </w:rPr>
        <w:t xml:space="preserve">, </w:t>
      </w:r>
      <w:r>
        <w:rPr>
          <w:color w:val="A709F5"/>
          <w:lang w:val="en-US"/>
        </w:rPr>
        <w:t>'Location'</w:t>
      </w:r>
      <w:r>
        <w:rPr>
          <w:lang w:val="en-US"/>
        </w:rPr>
        <w:t>,</w:t>
      </w:r>
      <w:r>
        <w:rPr>
          <w:color w:val="A709F5"/>
          <w:lang w:val="en-US"/>
        </w:rPr>
        <w:t>'northwest'</w:t>
      </w:r>
      <w:r>
        <w:rPr>
          <w:lang w:val="en-US"/>
        </w:rPr>
        <w:t>);</w:t>
      </w:r>
    </w:p>
    <w:p w14:paraId="13140A40">
      <w:pPr>
        <w:spacing w:after="0"/>
        <w:ind w:firstLine="0"/>
        <w:jc w:val="center"/>
        <w:rPr>
          <w:rFonts w:ascii="Consolas" w:hAnsi="Consolas" w:eastAsia="Times New Roman"/>
          <w:color w:val="404040"/>
          <w:sz w:val="24"/>
          <w:szCs w:val="24"/>
        </w:rPr>
      </w:pPr>
      <w:r>
        <w:rPr>
          <w:rFonts w:ascii="Consolas" w:hAnsi="Consolas" w:eastAsia="Times New Roman"/>
          <w:color w:val="404040"/>
        </w:rPr>
        <w:drawing>
          <wp:inline distT="0" distB="0" distL="0" distR="0">
            <wp:extent cx="4861560" cy="3648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857" cy="365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AC1F6">
      <w:pPr>
        <w:spacing w:after="0"/>
        <w:ind w:firstLine="0"/>
        <w:jc w:val="center"/>
      </w:pPr>
      <w:r>
        <w:t>Рис. 3 – Проверка результатов аппроксимации ВАХ полиномом</w:t>
      </w:r>
    </w:p>
    <w:p w14:paraId="6F7D3DBC">
      <w:pPr>
        <w:ind w:firstLine="0"/>
      </w:pPr>
      <w:r>
        <w:tab/>
      </w:r>
      <w:r>
        <w:t>Вычисленные коэффициенты полинома 5 степени внесены в модель нелинейного сопротивления, что представлено на рисунке 4.</w:t>
      </w:r>
    </w:p>
    <w:p w14:paraId="2E16E296">
      <w:pPr>
        <w:spacing w:after="0"/>
        <w:ind w:firstLine="0"/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5753735" cy="2762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8756" cy="276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BDA1">
      <w:pPr>
        <w:spacing w:after="0"/>
        <w:ind w:firstLine="0"/>
        <w:jc w:val="center"/>
      </w:pPr>
      <w:r>
        <w:t>Рис. 4 – Свойства элемента «Нелинейное сопротивление»</w:t>
      </w:r>
    </w:p>
    <w:p w14:paraId="1A0172AC">
      <w:pPr>
        <w:ind w:firstLine="0"/>
      </w:pPr>
      <w:r>
        <w:tab/>
      </w:r>
      <w:r>
        <w:t>В результате моделирования схемы была получена ВАХ РТД, представленная на рисунке 5. Результат моделирования совпадает с номинальной ВАХ, полученной расчётом в программе.</w:t>
      </w:r>
    </w:p>
    <w:p w14:paraId="0570773C">
      <w:pPr>
        <w:spacing w:after="0"/>
        <w:ind w:firstLine="0"/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5285740" cy="35312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474" cy="3536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3540EE">
      <w:pPr>
        <w:spacing w:after="0"/>
        <w:ind w:firstLine="0"/>
        <w:jc w:val="center"/>
      </w:pPr>
      <w:r>
        <w:t>Рис. 5 – номинальная ВАХ РТД</w:t>
      </w:r>
    </w:p>
    <w:p w14:paraId="4F7AFD29">
      <w:pPr>
        <w:spacing w:line="259" w:lineRule="auto"/>
        <w:ind w:firstLine="0"/>
        <w:jc w:val="left"/>
      </w:pPr>
      <w:r>
        <w:tab/>
      </w:r>
      <w:r>
        <w:t>К параметрам СГСМ относятся следующие зависимости:</w:t>
      </w:r>
    </w:p>
    <w:p w14:paraId="76FEA02D">
      <w:pPr>
        <w:pStyle w:val="31"/>
        <w:numPr>
          <w:ilvl w:val="0"/>
          <w:numId w:val="10"/>
        </w:numPr>
        <w:spacing w:after="0"/>
        <w:ind w:left="0" w:firstLine="432"/>
      </w:pPr>
      <w:r>
        <w:t xml:space="preserve">Коэффициент передачи (потери передачи, </w:t>
      </w:r>
      <w:r>
        <w:rPr>
          <w:lang w:val="en-US"/>
        </w:rPr>
        <w:t>trans</w:t>
      </w:r>
      <w:r>
        <w:rPr>
          <w:lang w:val="en-US" w:eastAsia="zh-CN"/>
        </w:rPr>
        <w:t>mission</w:t>
      </w:r>
      <w:r>
        <w:rPr>
          <w:lang w:eastAsia="zh-CN"/>
        </w:rPr>
        <w:t xml:space="preserve"> </w:t>
      </w:r>
      <w:r>
        <w:rPr>
          <w:lang w:val="en-US"/>
        </w:rPr>
        <w:t>loss</w:t>
      </w:r>
      <w:r>
        <w:t>);</w:t>
      </w:r>
    </w:p>
    <w:p w14:paraId="32E44F22">
      <w:pPr>
        <w:pStyle w:val="31"/>
        <w:numPr>
          <w:ilvl w:val="0"/>
          <w:numId w:val="10"/>
        </w:numPr>
        <w:spacing w:after="0"/>
        <w:ind w:left="0" w:firstLine="432"/>
      </w:pPr>
      <w:r>
        <w:t>1 дБ компрессии (точка на характеристике усилителя, при которой выходной сигнал становится нелинейным и уменьшается на 1 дБ по сравнению с линейной характеристикой усиления.);</w:t>
      </w:r>
    </w:p>
    <w:p w14:paraId="34EE7543">
      <w:pPr>
        <w:pStyle w:val="31"/>
        <w:numPr>
          <w:ilvl w:val="0"/>
          <w:numId w:val="10"/>
        </w:numPr>
        <w:spacing w:after="0"/>
        <w:ind w:left="0" w:firstLine="432"/>
      </w:pPr>
      <w:r>
        <w:rPr>
          <w:lang w:val="en-US"/>
        </w:rPr>
        <w:t>IP</w:t>
      </w:r>
      <w:r>
        <w:t xml:space="preserve">3 от частоты сигнала, </w:t>
      </w:r>
      <w:r>
        <w:rPr>
          <w:lang w:val="en-US"/>
        </w:rPr>
        <w:t>IP</w:t>
      </w:r>
      <w:r>
        <w:t xml:space="preserve">3 от мощности сигнала. Точка </w:t>
      </w:r>
      <w:r>
        <w:rPr>
          <w:lang w:val="en-US"/>
        </w:rPr>
        <w:t>IP</w:t>
      </w:r>
      <w:r>
        <w:t>3 – продукт интермодуляционных искажений наиболее опасный для смесителей, так как имеет самую высокую мощность среди возможных интермодуляционных продуктов и расположен близко к основным частотам.</w:t>
      </w:r>
    </w:p>
    <w:p w14:paraId="64D1D1E1">
      <w:pPr>
        <w:spacing w:after="0"/>
      </w:pPr>
      <w:r>
        <w:t xml:space="preserve">Зависимость коэффициента передачи от частоты представлена на рисунке 6. </w:t>
      </w:r>
    </w:p>
    <w:p w14:paraId="646172C2">
      <w:pPr>
        <w:spacing w:after="0"/>
        <w:ind w:firstLine="0"/>
        <w:jc w:val="center"/>
      </w:pPr>
      <w:r>
        <w:drawing>
          <wp:inline distT="0" distB="0" distL="0" distR="0">
            <wp:extent cx="4693285" cy="31394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564" cy="3154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4B0E2F">
      <w:pPr>
        <w:spacing w:after="0"/>
        <w:ind w:firstLine="0"/>
        <w:jc w:val="center"/>
      </w:pPr>
      <w:r>
        <w:t>Рис. 6 – Зависимость коэффициента передачи СГСМ от частоты сигнала</w:t>
      </w:r>
    </w:p>
    <w:p w14:paraId="1A9776E3">
      <w:pPr>
        <w:ind w:firstLine="0"/>
      </w:pPr>
      <w:r>
        <w:tab/>
      </w:r>
      <w:r>
        <w:t>Представленная зависимость показывает, что коэффициент передачи сигнала в полосе 10-11 ГГц не меньше -14 дБ. СГСМ является пассивным прибором, поэтому усиление сигнала (получение положительных дБ) невозможно. В идеальном случае коэффициент передачи на всём диапазоне должен равняться 0 дБ (усиление в 1 раз, то есть сохранение изначальной мощности).</w:t>
      </w:r>
    </w:p>
    <w:p w14:paraId="1662466A">
      <w:pPr>
        <w:ind w:firstLine="0"/>
      </w:pPr>
      <w:r>
        <w:tab/>
      </w:r>
      <w:r>
        <w:t>Зависимость выходной мощности от входной представлена на рисунке 7. Данный график используется для определения точки 1 дБ компрессии.</w:t>
      </w:r>
    </w:p>
    <w:p w14:paraId="70BA5826">
      <w:pPr>
        <w:spacing w:after="0"/>
        <w:ind w:firstLine="0"/>
        <w:jc w:val="center"/>
      </w:pPr>
      <w:r>
        <w:drawing>
          <wp:inline distT="0" distB="0" distL="0" distR="0">
            <wp:extent cx="4488180" cy="30022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4484" cy="3006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65CBE1">
      <w:pPr>
        <w:spacing w:after="0"/>
        <w:ind w:firstLine="0"/>
        <w:jc w:val="center"/>
      </w:pPr>
      <w:r>
        <w:t>Рис. 7 – Зависимость выходной мощности от входной</w:t>
      </w:r>
    </w:p>
    <w:p w14:paraId="0A709C3F">
      <w:pPr>
        <w:spacing w:after="0"/>
        <w:ind w:firstLine="0"/>
      </w:pPr>
      <w:r>
        <w:tab/>
      </w:r>
      <w:r>
        <w:t xml:space="preserve">По графику определяем, что данная точка (для центральной частоты диапазона, 10.5 ГГц) достигается при входной мощности </w:t>
      </w:r>
      <m:oMath>
        <m:r>
          <m:rPr/>
          <w:rPr>
            <w:rFonts w:ascii="Cambria Math" w:hAnsi="Cambria Math"/>
          </w:rPr>
          <m:t>≈10 дБм</m:t>
        </m:r>
      </m:oMath>
      <w:r>
        <w:t>, что соответствует 10 мВт.</w:t>
      </w:r>
    </w:p>
    <w:p w14:paraId="2CBFB12F">
      <w:pPr>
        <w:spacing w:after="0"/>
        <w:ind w:firstLine="0"/>
      </w:pPr>
      <w:r>
        <w:tab/>
      </w:r>
      <w:r>
        <w:t xml:space="preserve">На рисунке 8 представлена зависимость мощности точки </w:t>
      </w:r>
      <w:r>
        <w:rPr>
          <w:lang w:val="en-US"/>
        </w:rPr>
        <w:t>IP</w:t>
      </w:r>
      <w:r>
        <w:t>3 от частоты сигнала при мощности входного полезного сигнала -20 дБм (0,01 мВт).</w:t>
      </w:r>
    </w:p>
    <w:p w14:paraId="78E911C5">
      <w:pPr>
        <w:spacing w:after="0"/>
        <w:ind w:firstLine="0"/>
        <w:jc w:val="center"/>
      </w:pPr>
      <w:r>
        <w:drawing>
          <wp:inline distT="0" distB="0" distL="0" distR="0">
            <wp:extent cx="4665980" cy="3098800"/>
            <wp:effectExtent l="0" t="0" r="127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743" cy="3116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FC8F3E">
      <w:pPr>
        <w:spacing w:after="0"/>
        <w:ind w:firstLine="0"/>
        <w:jc w:val="center"/>
      </w:pPr>
      <w:r>
        <w:t xml:space="preserve">Рис. 8 – Зависимость мощности точки </w:t>
      </w:r>
      <w:r>
        <w:rPr>
          <w:lang w:val="en-US"/>
        </w:rPr>
        <w:t>IP</w:t>
      </w:r>
      <w:r>
        <w:t>3 от частоты сигнала</w:t>
      </w:r>
    </w:p>
    <w:p w14:paraId="4A3C0116">
      <w:pPr>
        <w:spacing w:after="0"/>
        <w:ind w:firstLine="0"/>
      </w:pPr>
      <w:r>
        <w:tab/>
      </w:r>
      <w:r>
        <w:t xml:space="preserve">Если связывать график коэффициента передачи и данный график, то можно объяснить его поведение: в начале коэффициент передачи изменяется нелинейно, что выражается в малых значениях </w:t>
      </w:r>
      <w:r>
        <w:rPr>
          <w:lang w:val="en-US"/>
        </w:rPr>
        <w:t>IP</w:t>
      </w:r>
      <w:r>
        <w:t xml:space="preserve">3; далее следует подобие линейного участка работы (то есть уменьшаются нелинейные искажения), что повышает значение точки </w:t>
      </w:r>
      <w:r>
        <w:rPr>
          <w:lang w:val="en-US"/>
        </w:rPr>
        <w:t>IP</w:t>
      </w:r>
      <w:r>
        <w:t xml:space="preserve">3; в конце вновь нелинейность и начало понижения </w:t>
      </w:r>
      <w:r>
        <w:rPr>
          <w:lang w:val="en-US"/>
        </w:rPr>
        <w:t>IP</w:t>
      </w:r>
      <w:r>
        <w:t>3.</w:t>
      </w:r>
    </w:p>
    <w:p w14:paraId="0732ADF0">
      <w:pPr>
        <w:spacing w:after="0"/>
        <w:ind w:firstLine="0"/>
      </w:pPr>
      <w:r>
        <w:tab/>
      </w:r>
      <w:r>
        <w:t xml:space="preserve">Зависимость </w:t>
      </w:r>
      <w:r>
        <w:rPr>
          <w:lang w:val="en-US"/>
        </w:rPr>
        <w:t>IP</w:t>
      </w:r>
      <w:r>
        <w:t>3 от мощности полезного входного сигнала представлена на рисунке 9.</w:t>
      </w:r>
    </w:p>
    <w:p w14:paraId="6B514A7D">
      <w:pPr>
        <w:spacing w:after="0"/>
        <w:ind w:firstLine="0"/>
        <w:jc w:val="center"/>
      </w:pPr>
      <w:r>
        <w:drawing>
          <wp:inline distT="0" distB="0" distL="0" distR="0">
            <wp:extent cx="4739640" cy="320738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6968" cy="321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54EF5A">
      <w:pPr>
        <w:spacing w:after="0"/>
        <w:ind w:firstLine="0"/>
        <w:jc w:val="center"/>
      </w:pPr>
      <w:r>
        <w:t xml:space="preserve">Рис. 9 – Зависимость </w:t>
      </w:r>
      <w:r>
        <w:rPr>
          <w:lang w:val="en-US"/>
        </w:rPr>
        <w:t>IP</w:t>
      </w:r>
      <w:r>
        <w:t>3 от мощности полезного сигнала на входе</w:t>
      </w:r>
    </w:p>
    <w:p w14:paraId="07D542EA">
      <w:pPr>
        <w:spacing w:after="0"/>
        <w:ind w:firstLine="0"/>
      </w:pPr>
      <w:r>
        <w:tab/>
      </w:r>
      <w:r>
        <w:t>В начале зависимость имеет вид почти горизонтальной прямой, но затем начинает резко возрастать.</w:t>
      </w:r>
    </w:p>
    <w:p w14:paraId="51FF88DC">
      <w:pPr>
        <w:spacing w:after="0"/>
        <w:ind w:firstLine="0"/>
      </w:pPr>
      <w:r>
        <w:tab/>
      </w:r>
      <w:r>
        <w:t xml:space="preserve">Целью задачи оптимизации стоит получение коэффициента передачи в рабочем диапазоне частот не ниже -16 дБ. По рисунку 5 можно сделать вывод, что данное требование выполняется. Несмотря на это, была проведена оптимизация с целью улучшения характеристик смесителя. Полученные зависимости представлена на рисунках 10-13 и имеют аналогичные обоснования по их поведению. </w:t>
      </w:r>
    </w:p>
    <w:p w14:paraId="086272FD">
      <w:pPr>
        <w:spacing w:after="0"/>
        <w:ind w:firstLine="0"/>
        <w:jc w:val="center"/>
      </w:pPr>
      <w:r>
        <w:drawing>
          <wp:inline distT="0" distB="0" distL="0" distR="0">
            <wp:extent cx="5596255" cy="3762375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7564" cy="378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64F4">
      <w:pPr>
        <w:spacing w:after="0"/>
        <w:ind w:firstLine="0"/>
        <w:jc w:val="center"/>
      </w:pPr>
      <w:r>
        <w:t>Рис. 10 – Зависимость коэффициента передачи СГСМ от частоты сигнала</w:t>
      </w:r>
    </w:p>
    <w:p w14:paraId="60D3A6BA">
      <w:pPr>
        <w:spacing w:after="0"/>
        <w:ind w:firstLine="0"/>
        <w:jc w:val="center"/>
      </w:pPr>
      <w:r>
        <w:drawing>
          <wp:inline distT="0" distB="0" distL="0" distR="0">
            <wp:extent cx="5473700" cy="3657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349" cy="3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B00F5A">
      <w:pPr>
        <w:spacing w:after="0"/>
        <w:ind w:firstLine="0"/>
        <w:jc w:val="center"/>
      </w:pPr>
      <w:r>
        <w:t>Рис. 11 – Зависимость выходной мощности от входной</w:t>
      </w:r>
    </w:p>
    <w:p w14:paraId="5501BBB9">
      <w:pPr>
        <w:spacing w:after="0"/>
        <w:ind w:firstLine="0"/>
      </w:pPr>
    </w:p>
    <w:p w14:paraId="3E8B9E25">
      <w:pPr>
        <w:spacing w:after="0"/>
        <w:ind w:firstLine="0"/>
        <w:jc w:val="center"/>
      </w:pPr>
      <w:r>
        <w:drawing>
          <wp:inline distT="0" distB="0" distL="0" distR="0">
            <wp:extent cx="4975225" cy="3321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4337" cy="3327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2DA1E0">
      <w:pPr>
        <w:spacing w:after="0"/>
        <w:ind w:firstLine="0"/>
        <w:jc w:val="center"/>
      </w:pPr>
      <w:r>
        <w:t xml:space="preserve">Рис. 12 – Зависимость мощности точки </w:t>
      </w:r>
      <w:r>
        <w:rPr>
          <w:lang w:val="en-US"/>
        </w:rPr>
        <w:t>IP</w:t>
      </w:r>
      <w:r>
        <w:t>3 от частоты сигнала</w:t>
      </w:r>
    </w:p>
    <w:p w14:paraId="6EA7C9DE">
      <w:pPr>
        <w:spacing w:after="0"/>
        <w:ind w:firstLine="0"/>
        <w:jc w:val="center"/>
      </w:pPr>
      <w:r>
        <w:drawing>
          <wp:inline distT="0" distB="0" distL="0" distR="0">
            <wp:extent cx="4777105" cy="3180715"/>
            <wp:effectExtent l="0" t="0" r="444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4782" cy="3192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FF43C7">
      <w:pPr>
        <w:spacing w:after="0"/>
        <w:ind w:firstLine="0"/>
        <w:jc w:val="center"/>
      </w:pPr>
      <w:r>
        <w:t xml:space="preserve">Рис. 13 – Зависимость </w:t>
      </w:r>
      <w:r>
        <w:rPr>
          <w:lang w:val="en-US"/>
        </w:rPr>
        <w:t>IP</w:t>
      </w:r>
      <w:r>
        <w:t>3 от мощности полезного сигнала на входе</w:t>
      </w:r>
    </w:p>
    <w:p w14:paraId="49189A49">
      <w:pPr>
        <w:ind w:firstLine="708"/>
        <w:rPr>
          <w:i/>
        </w:rPr>
      </w:pPr>
      <w:r>
        <w:t xml:space="preserve">Так как целью работы является нахождение </w:t>
      </w:r>
      <m:oMath>
        <m:r>
          <m:rPr/>
          <w:rPr>
            <w:rFonts w:ascii="Cambria Math" w:hAnsi="Cambria Math"/>
          </w:rPr>
          <m:t>γ %</m:t>
        </m:r>
      </m:oMath>
      <w:r>
        <w:t xml:space="preserve"> наработки (при этом критерием отказа является уменьшение коэффициента передачи до -16 дБ), то оптимальным выбором согласно рисунку 10 будет частот 11 ГГц, так как это соответствует наихудшему случаю и отказ прибора на ней произойдет раньше.</w:t>
      </w:r>
    </w:p>
    <w:p w14:paraId="60E8E171">
      <w:pPr>
        <w:pStyle w:val="2"/>
      </w:pPr>
      <w:bookmarkStart w:id="2" w:name="_Toc185601679"/>
      <w:r>
        <w:t>Моделирование статических распределений</w:t>
      </w:r>
      <w:bookmarkEnd w:id="2"/>
    </w:p>
    <w:p w14:paraId="0BC63395">
      <w:pPr>
        <w:spacing w:after="0"/>
      </w:pPr>
      <w:r>
        <w:t xml:space="preserve">В качестве рабочей точки РТД была выбрана точка, лежащая на нелинейном участке ВАХ РТД, так как именно на нём и решается основная задача смесителя. Выбранная рабочая точка: </w:t>
      </w:r>
      <m:oMath>
        <m:r>
          <m:rPr/>
          <w:rPr>
            <w:rFonts w:ascii="Cambria Math" w:hAnsi="Cambria Math"/>
            <w:lang w:val="en-US"/>
          </w:rPr>
          <m:t>U</m:t>
        </m:r>
        <m:r>
          <m:rPr/>
          <w:rPr>
            <w:rFonts w:ascii="Cambria Math" w:hAnsi="Cambria Math"/>
          </w:rPr>
          <m:t xml:space="preserve">=2В, </m:t>
        </m:r>
        <m:r>
          <m:rPr/>
          <w:rPr>
            <w:rFonts w:ascii="Cambria Math" w:hAnsi="Cambria Math"/>
            <w:lang w:val="en-US"/>
          </w:rPr>
          <m:t>I</m:t>
        </m:r>
        <m:r>
          <m:rPr/>
          <w:rPr>
            <w:rFonts w:ascii="Cambria Math" w:hAnsi="Cambria Math"/>
          </w:rPr>
          <m:t>≈10,6 мА</m:t>
        </m:r>
      </m:oMath>
      <w:r>
        <w:t>.</w:t>
      </w:r>
    </w:p>
    <w:p w14:paraId="3F59C577">
      <w:r>
        <w:t>На рисунке 14 представлен результат статического моделирования распределения тока рабочей точки в зависимости от технологического разброса параметров РТД, указанных в задании.</w:t>
      </w:r>
    </w:p>
    <w:p w14:paraId="62A8892D">
      <w:pPr>
        <w:ind w:firstLine="0"/>
        <w:rPr>
          <w:i/>
        </w:rPr>
      </w:pPr>
      <w:r>
        <w:rPr>
          <w:i/>
        </w:rPr>
        <w:drawing>
          <wp:inline distT="0" distB="0" distL="0" distR="0">
            <wp:extent cx="5940425" cy="33343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7570">
      <w:pPr>
        <w:spacing w:after="0"/>
        <w:ind w:firstLine="0"/>
        <w:jc w:val="center"/>
      </w:pPr>
      <w:r>
        <w:t>Рис. 14 – Результат статического моделирования распределения тока рабочей точки в программе</w:t>
      </w:r>
    </w:p>
    <w:p w14:paraId="5FFE9F68">
      <w:pPr>
        <w:spacing w:after="0"/>
        <w:ind w:firstLine="0"/>
      </w:pPr>
      <w:r>
        <w:tab/>
      </w:r>
      <w:r>
        <w:t xml:space="preserve">Проанализируем полученное распределение, определив следующие характеристики: выборочное среднее, СКО, дисперсию, коэффициенты вариации и асимметрии. Результат расчёта данных характеристик был произведён в </w:t>
      </w:r>
      <w:r>
        <w:rPr>
          <w:lang w:val="en-US"/>
        </w:rPr>
        <w:t>Matlab</w:t>
      </w:r>
      <w:r>
        <w:t xml:space="preserve">. </w:t>
      </w:r>
    </w:p>
    <w:p w14:paraId="5ADCC696">
      <w:pPr>
        <w:pStyle w:val="36"/>
      </w:pPr>
      <w:r>
        <w:rPr>
          <w:lang w:val="en-US"/>
        </w:rPr>
        <w:t>I</w:t>
      </w:r>
      <w:r>
        <w:t>_</w:t>
      </w:r>
      <w:r>
        <w:rPr>
          <w:lang w:val="en-US"/>
        </w:rPr>
        <w:t>centres</w:t>
      </w:r>
      <w:r>
        <w:t xml:space="preserve"> = [0.00343, 0.00668, 0.00994, 0.0132, 0.0164, 0.0197, 0.0229];</w:t>
      </w:r>
    </w:p>
    <w:p w14:paraId="11891244">
      <w:pPr>
        <w:pStyle w:val="36"/>
      </w:pPr>
      <w:r>
        <w:rPr>
          <w:lang w:val="en-US"/>
        </w:rPr>
        <w:t>num</w:t>
      </w:r>
      <w:r>
        <w:t xml:space="preserve"> = [19, 22, 41, 12, 4, 1, 1];</w:t>
      </w:r>
    </w:p>
    <w:p w14:paraId="528E7020">
      <w:pPr>
        <w:pStyle w:val="36"/>
      </w:pPr>
      <w:r>
        <w:rPr>
          <w:color w:val="008013"/>
        </w:rPr>
        <w:t>% Построение гистограммы распределения</w:t>
      </w:r>
    </w:p>
    <w:p w14:paraId="3D706905">
      <w:pPr>
        <w:pStyle w:val="36"/>
      </w:pPr>
      <w:r>
        <w:rPr>
          <w:lang w:val="en-US"/>
        </w:rPr>
        <w:t>figure</w:t>
      </w:r>
      <w:r>
        <w:t>;</w:t>
      </w:r>
    </w:p>
    <w:p w14:paraId="1C79C627">
      <w:pPr>
        <w:pStyle w:val="36"/>
        <w:rPr>
          <w:lang w:val="en-US"/>
        </w:rPr>
      </w:pPr>
      <w:r>
        <w:rPr>
          <w:lang w:val="en-US"/>
        </w:rPr>
        <w:t>bar(I_centres, num);</w:t>
      </w:r>
    </w:p>
    <w:p w14:paraId="06B377C6">
      <w:pPr>
        <w:pStyle w:val="36"/>
        <w:rPr>
          <w:lang w:val="en-US"/>
        </w:rPr>
      </w:pPr>
      <w:r>
        <w:rPr>
          <w:lang w:val="en-US"/>
        </w:rPr>
        <w:t>xlabel(</w:t>
      </w:r>
      <w:r>
        <w:rPr>
          <w:color w:val="A709F5"/>
          <w:lang w:val="en-US"/>
        </w:rPr>
        <w:t>'</w:t>
      </w:r>
      <w:r>
        <w:rPr>
          <w:color w:val="A709F5"/>
        </w:rPr>
        <w:t>Ток</w:t>
      </w:r>
      <w:r>
        <w:rPr>
          <w:color w:val="A709F5"/>
          <w:lang w:val="en-US"/>
        </w:rPr>
        <w:t xml:space="preserve"> (A)'</w:t>
      </w:r>
      <w:r>
        <w:rPr>
          <w:lang w:val="en-US"/>
        </w:rPr>
        <w:t>);</w:t>
      </w:r>
    </w:p>
    <w:p w14:paraId="2E06A3D9">
      <w:pPr>
        <w:pStyle w:val="36"/>
      </w:pPr>
      <w:r>
        <w:t>ylabel(</w:t>
      </w:r>
      <w:r>
        <w:rPr>
          <w:color w:val="A709F5"/>
        </w:rPr>
        <w:t>'Количество реализаций'</w:t>
      </w:r>
      <w:r>
        <w:t>);</w:t>
      </w:r>
    </w:p>
    <w:p w14:paraId="4FC88928">
      <w:pPr>
        <w:pStyle w:val="36"/>
      </w:pPr>
      <w:r>
        <w:t>title(</w:t>
      </w:r>
      <w:r>
        <w:rPr>
          <w:color w:val="A709F5"/>
        </w:rPr>
        <w:t>'Распределение тока в рабочей точке РТД'</w:t>
      </w:r>
      <w:r>
        <w:t>);</w:t>
      </w:r>
    </w:p>
    <w:p w14:paraId="5B42AEC1">
      <w:pPr>
        <w:pStyle w:val="36"/>
      </w:pPr>
      <w:r>
        <w:t xml:space="preserve">grid </w:t>
      </w:r>
      <w:r>
        <w:rPr>
          <w:color w:val="A709F5"/>
        </w:rPr>
        <w:t>on</w:t>
      </w:r>
      <w:r>
        <w:t>; box;</w:t>
      </w:r>
    </w:p>
    <w:p w14:paraId="2836F92F">
      <w:pPr>
        <w:spacing w:after="0"/>
        <w:jc w:val="center"/>
        <w:rPr>
          <w:rFonts w:ascii="Consolas" w:hAnsi="Consolas" w:eastAsia="Times New Roman"/>
          <w:color w:val="404040"/>
          <w:sz w:val="24"/>
          <w:szCs w:val="24"/>
        </w:rPr>
      </w:pPr>
      <w:r>
        <w:rPr>
          <w:rFonts w:ascii="Consolas" w:hAnsi="Consolas" w:eastAsia="Times New Roman"/>
          <w:color w:val="404040"/>
        </w:rPr>
        <w:drawing>
          <wp:inline distT="0" distB="0" distL="0" distR="0">
            <wp:extent cx="3999230" cy="299783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3619">
      <w:pPr>
        <w:spacing w:after="0"/>
        <w:jc w:val="center"/>
        <w:rPr>
          <w:rFonts w:eastAsia="Times New Roman" w:cs="Times New Roman"/>
          <w:color w:val="404040"/>
          <w:szCs w:val="28"/>
        </w:rPr>
      </w:pPr>
      <w:r>
        <w:rPr>
          <w:rFonts w:eastAsia="Times New Roman" w:cs="Times New Roman"/>
          <w:color w:val="404040"/>
          <w:szCs w:val="28"/>
        </w:rPr>
        <w:t>Рис. 15 – Гистограмма распределения тока в рабочей точке</w:t>
      </w:r>
    </w:p>
    <w:p w14:paraId="4FE2357F">
      <w:pPr>
        <w:pStyle w:val="36"/>
      </w:pPr>
      <w:r>
        <w:rPr>
          <w:color w:val="008013"/>
        </w:rPr>
        <w:t>% Преобразование данных в массив реализаций</w:t>
      </w:r>
    </w:p>
    <w:p w14:paraId="342B2FDD">
      <w:pPr>
        <w:pStyle w:val="36"/>
      </w:pPr>
      <w:r>
        <w:t>data = repelem(I_centres, num);</w:t>
      </w:r>
    </w:p>
    <w:p w14:paraId="77D80C3F">
      <w:pPr>
        <w:pStyle w:val="36"/>
      </w:pPr>
    </w:p>
    <w:p w14:paraId="365ABA5C">
      <w:pPr>
        <w:pStyle w:val="36"/>
      </w:pPr>
      <w:r>
        <w:rPr>
          <w:color w:val="008013"/>
        </w:rPr>
        <w:t>% Расчёт выборочного среднего</w:t>
      </w:r>
    </w:p>
    <w:p w14:paraId="51AC1D6F">
      <w:pPr>
        <w:pStyle w:val="36"/>
      </w:pPr>
      <w:r>
        <w:t>mean_val = mean(data);</w:t>
      </w:r>
    </w:p>
    <w:p w14:paraId="52F20623">
      <w:pPr>
        <w:pStyle w:val="36"/>
      </w:pPr>
    </w:p>
    <w:p w14:paraId="29E24C40">
      <w:pPr>
        <w:pStyle w:val="36"/>
      </w:pPr>
      <w:r>
        <w:rPr>
          <w:color w:val="008013"/>
        </w:rPr>
        <w:t>% Расчёт стандартного отклонения (СКО)</w:t>
      </w:r>
    </w:p>
    <w:p w14:paraId="6993FD6D">
      <w:pPr>
        <w:pStyle w:val="36"/>
      </w:pPr>
      <w:r>
        <w:t>std_dev = std(data);</w:t>
      </w:r>
    </w:p>
    <w:p w14:paraId="6D6E380E">
      <w:pPr>
        <w:pStyle w:val="36"/>
      </w:pPr>
    </w:p>
    <w:p w14:paraId="38695BC9">
      <w:pPr>
        <w:pStyle w:val="36"/>
        <w:rPr>
          <w:lang w:val="en-US"/>
        </w:rPr>
      </w:pPr>
      <w:r>
        <w:rPr>
          <w:color w:val="008013"/>
          <w:lang w:val="en-US"/>
        </w:rPr>
        <w:t xml:space="preserve">% </w:t>
      </w:r>
      <w:r>
        <w:rPr>
          <w:color w:val="008013"/>
        </w:rPr>
        <w:t>Расчёт</w:t>
      </w:r>
      <w:r>
        <w:rPr>
          <w:color w:val="008013"/>
          <w:lang w:val="en-US"/>
        </w:rPr>
        <w:t xml:space="preserve"> </w:t>
      </w:r>
      <w:r>
        <w:rPr>
          <w:color w:val="008013"/>
        </w:rPr>
        <w:t>дисперсии</w:t>
      </w:r>
    </w:p>
    <w:p w14:paraId="3CF2FAAC">
      <w:pPr>
        <w:pStyle w:val="36"/>
        <w:rPr>
          <w:lang w:val="en-US"/>
        </w:rPr>
      </w:pPr>
      <w:r>
        <w:rPr>
          <w:lang w:val="en-US"/>
        </w:rPr>
        <w:t>variance = var(data);</w:t>
      </w:r>
    </w:p>
    <w:p w14:paraId="50876B5B">
      <w:pPr>
        <w:pStyle w:val="36"/>
        <w:rPr>
          <w:lang w:val="en-US"/>
        </w:rPr>
      </w:pPr>
    </w:p>
    <w:p w14:paraId="762E57D9">
      <w:pPr>
        <w:pStyle w:val="36"/>
        <w:rPr>
          <w:lang w:val="en-US"/>
        </w:rPr>
      </w:pPr>
      <w:r>
        <w:rPr>
          <w:color w:val="008013"/>
          <w:lang w:val="en-US"/>
        </w:rPr>
        <w:t xml:space="preserve">% </w:t>
      </w:r>
      <w:r>
        <w:rPr>
          <w:color w:val="008013"/>
        </w:rPr>
        <w:t>Расчёт</w:t>
      </w:r>
      <w:r>
        <w:rPr>
          <w:color w:val="008013"/>
          <w:lang w:val="en-US"/>
        </w:rPr>
        <w:t xml:space="preserve"> </w:t>
      </w:r>
      <w:r>
        <w:rPr>
          <w:color w:val="008013"/>
        </w:rPr>
        <w:t>коэффициента</w:t>
      </w:r>
      <w:r>
        <w:rPr>
          <w:color w:val="008013"/>
          <w:lang w:val="en-US"/>
        </w:rPr>
        <w:t xml:space="preserve"> </w:t>
      </w:r>
      <w:r>
        <w:rPr>
          <w:color w:val="008013"/>
        </w:rPr>
        <w:t>вариации</w:t>
      </w:r>
    </w:p>
    <w:p w14:paraId="6AED1F35">
      <w:pPr>
        <w:pStyle w:val="36"/>
        <w:rPr>
          <w:lang w:val="en-US"/>
        </w:rPr>
      </w:pPr>
      <w:r>
        <w:rPr>
          <w:lang w:val="en-US"/>
        </w:rPr>
        <w:t>coeff_variation = std_dev / mean_val;</w:t>
      </w:r>
    </w:p>
    <w:p w14:paraId="25D32C5E">
      <w:pPr>
        <w:pStyle w:val="36"/>
        <w:rPr>
          <w:lang w:val="en-US"/>
        </w:rPr>
      </w:pPr>
    </w:p>
    <w:p w14:paraId="3159CC38">
      <w:pPr>
        <w:pStyle w:val="36"/>
        <w:rPr>
          <w:lang w:val="en-US"/>
        </w:rPr>
      </w:pPr>
      <w:r>
        <w:rPr>
          <w:color w:val="008013"/>
          <w:lang w:val="en-US"/>
        </w:rPr>
        <w:t xml:space="preserve">% </w:t>
      </w:r>
      <w:r>
        <w:rPr>
          <w:color w:val="008013"/>
        </w:rPr>
        <w:t>Расчёт</w:t>
      </w:r>
      <w:r>
        <w:rPr>
          <w:color w:val="008013"/>
          <w:lang w:val="en-US"/>
        </w:rPr>
        <w:t xml:space="preserve"> </w:t>
      </w:r>
      <w:r>
        <w:rPr>
          <w:color w:val="008013"/>
        </w:rPr>
        <w:t>коэффициента</w:t>
      </w:r>
      <w:r>
        <w:rPr>
          <w:color w:val="008013"/>
          <w:lang w:val="en-US"/>
        </w:rPr>
        <w:t xml:space="preserve"> </w:t>
      </w:r>
      <w:r>
        <w:rPr>
          <w:color w:val="008013"/>
        </w:rPr>
        <w:t>асимметрии</w:t>
      </w:r>
    </w:p>
    <w:p w14:paraId="5CFC516A">
      <w:pPr>
        <w:pStyle w:val="36"/>
        <w:rPr>
          <w:lang w:val="en-US"/>
        </w:rPr>
      </w:pPr>
      <w:r>
        <w:rPr>
          <w:lang w:val="en-US"/>
        </w:rPr>
        <w:t>skewness_coeff = skewness(data);</w:t>
      </w:r>
    </w:p>
    <w:p w14:paraId="56CC3DE0">
      <w:pPr>
        <w:pStyle w:val="36"/>
        <w:rPr>
          <w:lang w:val="en-US"/>
        </w:rPr>
      </w:pPr>
    </w:p>
    <w:p w14:paraId="746EA991">
      <w:pPr>
        <w:pStyle w:val="36"/>
      </w:pPr>
      <w:r>
        <w:rPr>
          <w:color w:val="008013"/>
        </w:rPr>
        <w:t>% Вывод результатов</w:t>
      </w:r>
    </w:p>
    <w:p w14:paraId="546C0ECB">
      <w:pPr>
        <w:pStyle w:val="36"/>
      </w:pPr>
      <w:r>
        <w:t>fprintf(</w:t>
      </w:r>
      <w:r>
        <w:rPr>
          <w:color w:val="A709F5"/>
        </w:rPr>
        <w:t>'Выборочное среднее: %.5f A\n'</w:t>
      </w:r>
      <w:r>
        <w:t>, mean_val);</w:t>
      </w:r>
    </w:p>
    <w:p w14:paraId="508069F8">
      <w:pPr>
        <w:rPr>
          <w:rFonts w:ascii="Consolas" w:hAnsi="Consolas" w:eastAsia="Times New Roman"/>
          <w:color w:val="212121"/>
          <w:sz w:val="18"/>
          <w:szCs w:val="18"/>
        </w:rPr>
      </w:pPr>
      <w:r>
        <w:rPr>
          <w:rFonts w:ascii="Consolas" w:hAnsi="Consolas" w:eastAsia="Times New Roman"/>
          <w:color w:val="212121"/>
          <w:sz w:val="18"/>
          <w:szCs w:val="18"/>
        </w:rPr>
        <w:t>Выборочное среднее: 0.00886 A</w:t>
      </w:r>
    </w:p>
    <w:p w14:paraId="696E4255">
      <w:pPr>
        <w:pStyle w:val="36"/>
      </w:pPr>
      <w:r>
        <w:t>fprintf(</w:t>
      </w:r>
      <w:r>
        <w:rPr>
          <w:color w:val="A709F5"/>
        </w:rPr>
        <w:t>'Стандартное отклонение: %.5f A\n'</w:t>
      </w:r>
      <w:r>
        <w:t>, std_dev);</w:t>
      </w:r>
    </w:p>
    <w:p w14:paraId="45F39EA8">
      <w:pPr>
        <w:rPr>
          <w:rFonts w:ascii="Consolas" w:hAnsi="Consolas" w:eastAsia="Times New Roman"/>
          <w:color w:val="212121"/>
          <w:sz w:val="18"/>
          <w:szCs w:val="18"/>
        </w:rPr>
      </w:pPr>
      <w:r>
        <w:rPr>
          <w:rFonts w:ascii="Consolas" w:hAnsi="Consolas" w:eastAsia="Times New Roman"/>
          <w:color w:val="212121"/>
          <w:sz w:val="18"/>
          <w:szCs w:val="18"/>
        </w:rPr>
        <w:t>Стандартное отклонение: 0.00387 A</w:t>
      </w:r>
    </w:p>
    <w:p w14:paraId="2E1A5C76">
      <w:pPr>
        <w:pStyle w:val="36"/>
      </w:pPr>
      <w:r>
        <w:t>fprintf(</w:t>
      </w:r>
      <w:r>
        <w:rPr>
          <w:color w:val="A709F5"/>
        </w:rPr>
        <w:t>'Дисперсия: %.5f (A^2)\n'</w:t>
      </w:r>
      <w:r>
        <w:t>, variance);</w:t>
      </w:r>
    </w:p>
    <w:p w14:paraId="4459F502">
      <w:pPr>
        <w:rPr>
          <w:rFonts w:ascii="Consolas" w:hAnsi="Consolas" w:eastAsia="Times New Roman"/>
          <w:color w:val="212121"/>
          <w:sz w:val="18"/>
          <w:szCs w:val="18"/>
        </w:rPr>
      </w:pPr>
      <w:r>
        <w:rPr>
          <w:rFonts w:ascii="Consolas" w:hAnsi="Consolas" w:eastAsia="Times New Roman"/>
          <w:color w:val="212121"/>
          <w:sz w:val="18"/>
          <w:szCs w:val="18"/>
        </w:rPr>
        <w:t>Дисперсия: 0.00001 (A^2)</w:t>
      </w:r>
    </w:p>
    <w:p w14:paraId="4A1914E8">
      <w:pPr>
        <w:pStyle w:val="36"/>
      </w:pPr>
      <w:r>
        <w:t>fprintf(</w:t>
      </w:r>
      <w:r>
        <w:rPr>
          <w:color w:val="A709F5"/>
        </w:rPr>
        <w:t>'Коэффициент вариации: %.5f\n'</w:t>
      </w:r>
      <w:r>
        <w:t>, coeff_variation);</w:t>
      </w:r>
    </w:p>
    <w:p w14:paraId="3F43F78D">
      <w:pPr>
        <w:rPr>
          <w:rFonts w:ascii="Consolas" w:hAnsi="Consolas" w:eastAsia="Times New Roman"/>
          <w:color w:val="212121"/>
          <w:sz w:val="18"/>
          <w:szCs w:val="18"/>
        </w:rPr>
      </w:pPr>
      <w:r>
        <w:rPr>
          <w:rFonts w:ascii="Consolas" w:hAnsi="Consolas" w:eastAsia="Times New Roman"/>
          <w:color w:val="212121"/>
          <w:sz w:val="18"/>
          <w:szCs w:val="18"/>
        </w:rPr>
        <w:t>Коэффициент вариации: 0.43636</w:t>
      </w:r>
    </w:p>
    <w:p w14:paraId="2D7CABF3">
      <w:pPr>
        <w:pStyle w:val="36"/>
      </w:pPr>
      <w:r>
        <w:t>fprintf(</w:t>
      </w:r>
      <w:r>
        <w:rPr>
          <w:color w:val="A709F5"/>
        </w:rPr>
        <w:t>'Коэффициент асимметрии: %.5f\n'</w:t>
      </w:r>
      <w:r>
        <w:t>, skewness_coeff);</w:t>
      </w:r>
    </w:p>
    <w:p w14:paraId="22DD46F2">
      <w:pPr>
        <w:rPr>
          <w:rFonts w:ascii="Consolas" w:hAnsi="Consolas" w:eastAsia="Times New Roman"/>
          <w:color w:val="212121"/>
          <w:sz w:val="18"/>
          <w:szCs w:val="18"/>
        </w:rPr>
      </w:pPr>
      <w:r>
        <w:rPr>
          <w:rFonts w:ascii="Consolas" w:hAnsi="Consolas" w:eastAsia="Times New Roman"/>
          <w:color w:val="212121"/>
          <w:sz w:val="18"/>
          <w:szCs w:val="18"/>
        </w:rPr>
        <w:t>Коэффициент асимметрии: 0.61549</w:t>
      </w:r>
    </w:p>
    <w:p w14:paraId="6CB23C4E">
      <w:pPr>
        <w:spacing w:line="259" w:lineRule="auto"/>
        <w:ind w:firstLine="708"/>
        <w:jc w:val="left"/>
      </w:pPr>
      <w:r>
        <w:t>Результат расчёта характеристик распределения приведён в таблице 1.</w:t>
      </w:r>
    </w:p>
    <w:p w14:paraId="48B17AB5">
      <w:pPr>
        <w:spacing w:line="259" w:lineRule="auto"/>
        <w:ind w:firstLine="0"/>
        <w:jc w:val="left"/>
      </w:pPr>
      <w:r>
        <w:t>Таблица 1 – Характеристики распределения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9"/>
        <w:gridCol w:w="2114"/>
        <w:gridCol w:w="1621"/>
        <w:gridCol w:w="1872"/>
        <w:gridCol w:w="1872"/>
      </w:tblGrid>
      <w:tr w14:paraId="58A751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9" w:type="dxa"/>
            <w:vAlign w:val="center"/>
          </w:tcPr>
          <w:p w14:paraId="4DFBC7AB">
            <w:pPr>
              <w:spacing w:after="0" w:line="259" w:lineRule="auto"/>
              <w:ind w:firstLine="0"/>
              <w:jc w:val="center"/>
            </w:pPr>
            <w:r>
              <w:t>Выборочное среднее</w:t>
            </w:r>
          </w:p>
        </w:tc>
        <w:tc>
          <w:tcPr>
            <w:tcW w:w="2114" w:type="dxa"/>
            <w:vAlign w:val="center"/>
          </w:tcPr>
          <w:p w14:paraId="4F27C0C3">
            <w:pPr>
              <w:spacing w:after="0" w:line="259" w:lineRule="auto"/>
              <w:ind w:firstLine="0"/>
              <w:jc w:val="center"/>
            </w:pPr>
            <w:r>
              <w:t>Среднее квадратическое отклонения</w:t>
            </w:r>
          </w:p>
        </w:tc>
        <w:tc>
          <w:tcPr>
            <w:tcW w:w="1621" w:type="dxa"/>
            <w:vAlign w:val="center"/>
          </w:tcPr>
          <w:p w14:paraId="431AEA48">
            <w:pPr>
              <w:spacing w:after="0" w:line="259" w:lineRule="auto"/>
              <w:ind w:firstLine="0"/>
              <w:jc w:val="center"/>
            </w:pPr>
            <w:r>
              <w:t>Дисперсия</w:t>
            </w:r>
          </w:p>
        </w:tc>
        <w:tc>
          <w:tcPr>
            <w:tcW w:w="1872" w:type="dxa"/>
            <w:vAlign w:val="center"/>
          </w:tcPr>
          <w:p w14:paraId="7A9AA624">
            <w:pPr>
              <w:spacing w:after="0" w:line="259" w:lineRule="auto"/>
              <w:ind w:firstLine="0"/>
              <w:jc w:val="center"/>
            </w:pPr>
            <w:r>
              <w:t>Коэффициент вариации</w:t>
            </w:r>
          </w:p>
        </w:tc>
        <w:tc>
          <w:tcPr>
            <w:tcW w:w="1872" w:type="dxa"/>
            <w:vAlign w:val="center"/>
          </w:tcPr>
          <w:p w14:paraId="19E4B90D">
            <w:pPr>
              <w:spacing w:after="0" w:line="259" w:lineRule="auto"/>
              <w:ind w:firstLine="0"/>
              <w:jc w:val="center"/>
            </w:pPr>
            <w:r>
              <w:t>Коэффициент асимметрии</w:t>
            </w:r>
          </w:p>
        </w:tc>
      </w:tr>
      <w:tr w14:paraId="0E9A9F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9" w:type="dxa"/>
            <w:vAlign w:val="center"/>
          </w:tcPr>
          <w:p w14:paraId="26011BC5">
            <w:pPr>
              <w:spacing w:after="0" w:line="259" w:lineRule="auto"/>
              <w:ind w:firstLine="0"/>
              <w:jc w:val="center"/>
            </w:pPr>
            <w:r>
              <w:t>8,86 мА</w:t>
            </w:r>
          </w:p>
        </w:tc>
        <w:tc>
          <w:tcPr>
            <w:tcW w:w="2114" w:type="dxa"/>
            <w:vAlign w:val="center"/>
          </w:tcPr>
          <w:p w14:paraId="13932BA3">
            <w:pPr>
              <w:spacing w:after="0" w:line="259" w:lineRule="auto"/>
              <w:ind w:firstLine="0"/>
              <w:jc w:val="center"/>
            </w:pPr>
            <w:r>
              <w:t>3,87 мА</w:t>
            </w:r>
          </w:p>
        </w:tc>
        <w:tc>
          <w:tcPr>
            <w:tcW w:w="1621" w:type="dxa"/>
            <w:vAlign w:val="center"/>
          </w:tcPr>
          <w:p w14:paraId="0FFDC23E">
            <w:pPr>
              <w:spacing w:after="0" w:line="259" w:lineRule="auto"/>
              <w:ind w:firstLine="0"/>
              <w:jc w:val="center"/>
            </w:pPr>
            <w:r>
              <w:t xml:space="preserve">0,00001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</w:rPr>
                    <m:t>А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</m:sSup>
              <m:r>
                <m:rPr/>
                <w:rPr>
                  <w:rFonts w:ascii="Cambria Math" w:hAnsi="Cambria Math"/>
                  <w:lang w:val="en-US"/>
                </w:rPr>
                <m:t xml:space="preserve"> </m:t>
              </m:r>
            </m:oMath>
            <w:r>
              <w:t xml:space="preserve"> </w:t>
            </w:r>
          </w:p>
        </w:tc>
        <w:tc>
          <w:tcPr>
            <w:tcW w:w="1872" w:type="dxa"/>
            <w:vAlign w:val="center"/>
          </w:tcPr>
          <w:p w14:paraId="15117694">
            <w:pPr>
              <w:spacing w:after="0" w:line="259" w:lineRule="auto"/>
              <w:ind w:firstLine="0"/>
              <w:jc w:val="center"/>
            </w:pPr>
            <w:r>
              <w:t>43,636 %</w:t>
            </w:r>
          </w:p>
        </w:tc>
        <w:tc>
          <w:tcPr>
            <w:tcW w:w="1872" w:type="dxa"/>
            <w:vAlign w:val="center"/>
          </w:tcPr>
          <w:p w14:paraId="59FECC21">
            <w:pPr>
              <w:spacing w:after="0" w:line="259" w:lineRule="auto"/>
              <w:ind w:firstLine="0"/>
              <w:jc w:val="center"/>
            </w:pPr>
            <w:r>
              <w:t>0,61</w:t>
            </w:r>
          </w:p>
        </w:tc>
      </w:tr>
    </w:tbl>
    <w:p w14:paraId="4A5BD08D">
      <w:pPr>
        <w:spacing w:before="240"/>
        <w:ind w:firstLine="708"/>
      </w:pPr>
      <w:r>
        <w:t xml:space="preserve">В </w:t>
      </w:r>
      <w:r>
        <w:rPr>
          <w:lang w:val="en-US"/>
        </w:rPr>
        <w:t>Microwave</w:t>
      </w:r>
      <w:r>
        <w:t xml:space="preserve"> </w:t>
      </w:r>
      <w:r>
        <w:rPr>
          <w:lang w:val="en-US"/>
        </w:rPr>
        <w:t>office</w:t>
      </w:r>
      <w:r>
        <w:t xml:space="preserve"> смоделируем влияние технологического разброса параметров конструкции на потери преобразования путём использования </w:t>
      </w:r>
      <w:r>
        <w:rPr>
          <w:lang w:val="en-US"/>
        </w:rPr>
        <w:t>yield</w:t>
      </w:r>
      <w:r>
        <w:t xml:space="preserve"> </w:t>
      </w:r>
      <w:r>
        <w:rPr>
          <w:lang w:val="en-US"/>
        </w:rPr>
        <w:t>analysis</w:t>
      </w:r>
      <w:r>
        <w:t>. Полученное распределение представлено на рисунке 16.</w:t>
      </w:r>
    </w:p>
    <w:p w14:paraId="02712FE1">
      <w:pPr>
        <w:spacing w:after="0"/>
        <w:ind w:firstLine="0"/>
        <w:jc w:val="center"/>
        <w:rPr>
          <w:iCs/>
        </w:rPr>
      </w:pPr>
      <w:r>
        <w:rPr>
          <w:iCs/>
        </w:rPr>
        <w:drawing>
          <wp:inline distT="0" distB="0" distL="0" distR="0">
            <wp:extent cx="5351145" cy="3554095"/>
            <wp:effectExtent l="0" t="0" r="190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7601" cy="357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24AA94">
      <w:pPr>
        <w:ind w:firstLine="0"/>
        <w:jc w:val="center"/>
        <w:rPr>
          <w:iCs/>
        </w:rPr>
      </w:pPr>
      <w:r>
        <w:rPr>
          <w:iCs/>
        </w:rPr>
        <w:t>Рис. 16 – Гистограмма распределения потерь преобразования в зависимости от технологического разброса параметров конструкции</w:t>
      </w:r>
    </w:p>
    <w:p w14:paraId="161890FD">
      <w:pPr>
        <w:ind w:firstLine="0"/>
        <w:rPr>
          <w:iCs/>
        </w:rPr>
      </w:pPr>
      <w:r>
        <w:rPr>
          <w:iCs/>
        </w:rPr>
        <w:tab/>
      </w:r>
      <w:r>
        <w:t>Асимметрия распределения в правую сторону обусловлена тем, что была произведена оптимизация: значения параметров МПЛ уже лежат в оптимальной области.</w:t>
      </w:r>
    </w:p>
    <w:p w14:paraId="1C2CCC4E">
      <w:pPr>
        <w:ind w:firstLine="0"/>
        <w:rPr>
          <w:iCs/>
        </w:rPr>
      </w:pPr>
      <w:r>
        <w:rPr>
          <w:iCs/>
        </w:rPr>
        <w:tab/>
      </w:r>
      <w:r>
        <w:rPr>
          <w:iCs/>
        </w:rPr>
        <w:t xml:space="preserve">Недостатком данного моделирования является то, что не учитываются параметры технологического разброса конструкции РТД.  Они могут быть учтены путём построения аналогичных распределений для РТД, ВАХ которого будет откорректирована с учётом полученной редуцированной выборки, представленной на рисунках 14 и 15. </w:t>
      </w:r>
    </w:p>
    <w:p w14:paraId="16372EBF">
      <w:pPr>
        <w:ind w:firstLine="708"/>
        <w:rPr>
          <w:iCs/>
          <w:lang w:eastAsia="zh-CN"/>
        </w:rPr>
      </w:pPr>
      <w:r>
        <w:rPr>
          <w:iCs/>
        </w:rPr>
        <w:t xml:space="preserve">Форма ВАХ будет отличаться также, как отличается размерный коэффициент тока в рабочей точке, поэтому для модели РТД достаточно изменять масштабный коэффициент полинома. </w:t>
      </w:r>
      <w:r>
        <w:rPr>
          <w:iCs/>
          <w:lang w:val="en-US"/>
        </w:rPr>
        <w:t>Yield</w:t>
      </w:r>
      <w:r>
        <w:rPr>
          <w:iCs/>
        </w:rPr>
        <w:t xml:space="preserve"> </w:t>
      </w:r>
      <w:r>
        <w:rPr>
          <w:iCs/>
          <w:lang w:val="en-US"/>
        </w:rPr>
        <w:t>analysis</w:t>
      </w:r>
      <w:r>
        <w:rPr>
          <w:iCs/>
        </w:rPr>
        <w:t xml:space="preserve"> будет проводиться для размера выборки, соответствующей столбцам редуцированной выборки, что основано на простой логике: если в результате моделирования в программе для РТД вероятность попадания тока рабочей точки в 1 столбец равна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m:rPr/>
              <w:rPr>
                <w:rFonts w:ascii="Cambria Math" w:hAnsi="Cambria Math"/>
              </w:rPr>
              <m:t>19</m:t>
            </m:r>
            <m:ctrlPr>
              <w:rPr>
                <w:rFonts w:ascii="Cambria Math" w:hAnsi="Cambria Math"/>
                <w:i/>
                <w:iCs/>
              </w:rPr>
            </m:ctrlPr>
          </m:num>
          <m:den>
            <m:r>
              <m:rPr/>
              <w:rPr>
                <w:rFonts w:ascii="Cambria Math" w:hAnsi="Cambria Math"/>
              </w:rPr>
              <m:t>100</m:t>
            </m:r>
            <m:ctrlPr>
              <w:rPr>
                <w:rFonts w:ascii="Cambria Math" w:hAnsi="Cambria Math"/>
                <w:i/>
                <w:iCs/>
              </w:rPr>
            </m:ctrlPr>
          </m:den>
        </m:f>
      </m:oMath>
      <w:r>
        <w:rPr>
          <w:iCs/>
          <w:lang w:eastAsia="zh-CN"/>
        </w:rPr>
        <w:t xml:space="preserve">  (</w:t>
      </w:r>
      <w:r>
        <w:rPr>
          <w:rFonts w:hint="eastAsia"/>
          <w:iCs/>
          <w:lang w:eastAsia="zh-CN"/>
        </w:rPr>
        <w:t>1</w:t>
      </w:r>
      <w:r>
        <w:rPr>
          <w:iCs/>
          <w:lang w:eastAsia="zh-CN"/>
        </w:rPr>
        <w:t>9 в первом столбце, 100 – вся выборка</w:t>
      </w:r>
      <w:r>
        <w:rPr>
          <w:rFonts w:hint="eastAsia"/>
          <w:iCs/>
          <w:lang w:eastAsia="zh-CN"/>
        </w:rPr>
        <w:t>）</w:t>
      </w:r>
      <w:r>
        <w:rPr>
          <w:iCs/>
          <w:lang w:eastAsia="zh-CN"/>
        </w:rPr>
        <w:t>, то и доля значений в гистограмме разброса параметров подложки и МПЛ должна быть такая же.</w:t>
      </w:r>
    </w:p>
    <w:p w14:paraId="7AC39F66">
      <w:pPr>
        <w:ind w:firstLine="708"/>
        <w:rPr>
          <w:iCs/>
          <w:lang w:eastAsia="zh-CN"/>
        </w:rPr>
      </w:pPr>
      <w:r>
        <w:rPr>
          <w:iCs/>
          <w:lang w:eastAsia="zh-CN"/>
        </w:rPr>
        <w:t xml:space="preserve">Рабочая точка относится к столбцу со средним значением </w:t>
      </w:r>
      <m:oMath>
        <m:r>
          <m:rPr/>
          <w:rPr>
            <w:rFonts w:ascii="Cambria Math" w:hAnsi="Cambria Math"/>
            <w:lang w:eastAsia="zh-CN"/>
          </w:rPr>
          <m:t>9,94</m:t>
        </m:r>
      </m:oMath>
      <w:r>
        <w:rPr>
          <w:iCs/>
          <w:lang w:eastAsia="zh-CN"/>
        </w:rPr>
        <w:t xml:space="preserve"> мА. Полученные коэффициенты масштабирования для остальных столбцов:</w:t>
      </w:r>
    </w:p>
    <w:p w14:paraId="5FE62870">
      <w:pPr>
        <w:ind w:firstLine="708"/>
        <w:rPr>
          <w:iCs/>
          <w:sz w:val="24"/>
          <w:szCs w:val="24"/>
          <w:lang w:eastAsia="zh-CN"/>
        </w:rPr>
      </w:pPr>
      <m:oMathPara>
        <m:oMath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S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SubPr>
            <m:e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C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e>
            <m:sub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1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ub>
          </m:sSub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fPr>
            <m:num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3,43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num>
            <m:den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9,94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den>
          </m:f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=0,3451,  S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SubPr>
            <m:e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C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e>
            <m:sub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2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ub>
          </m:sSub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fPr>
            <m:num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3,68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num>
            <m:den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9,94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den>
          </m:f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=0,6720,  S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SubPr>
            <m:e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C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e>
            <m:sub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3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ub>
          </m:sSub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fPr>
            <m:num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9,94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num>
            <m:den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9,94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den>
          </m:f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=1, S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SubPr>
            <m:e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C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e>
            <m:sub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4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ub>
          </m:sSub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fPr>
            <m:num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13,2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num>
            <m:den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9,94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den>
          </m:f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=1,3280</m:t>
          </m:r>
        </m:oMath>
      </m:oMathPara>
    </w:p>
    <w:p w14:paraId="22D8BCBE">
      <w:pPr>
        <w:ind w:firstLine="708"/>
        <w:rPr>
          <w:sz w:val="24"/>
          <w:szCs w:val="24"/>
          <w:lang w:eastAsia="zh-CN"/>
        </w:rPr>
      </w:pPr>
      <m:oMathPara>
        <m:oMath>
          <m:r>
            <m:rPr/>
            <w:rPr>
              <w:rFonts w:ascii="Cambria Math" w:hAnsi="Cambria Math"/>
              <w:sz w:val="24"/>
              <w:szCs w:val="24"/>
              <w:lang w:eastAsia="zh-CN"/>
            </w:rPr>
            <m:t xml:space="preserve"> S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SubPr>
            <m:e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C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e>
            <m:sub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5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ub>
          </m:sSub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fPr>
            <m:num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16,4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num>
            <m:den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9,94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den>
          </m:f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=1,6499, S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SubPr>
            <m:e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C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e>
            <m:sub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6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ub>
          </m:sSub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fPr>
            <m:num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19,7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num>
            <m:den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9,94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den>
          </m:f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=1,9819, S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SubPr>
            <m:e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C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e>
            <m:sub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7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ub>
          </m:sSub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fPr>
            <m:num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22,9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num>
            <m:den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9,94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den>
          </m:f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=2,3038</m:t>
          </m:r>
        </m:oMath>
      </m:oMathPara>
    </w:p>
    <w:p w14:paraId="454F0733">
      <w:pPr>
        <w:ind w:firstLine="708"/>
        <w:rPr>
          <w:iCs/>
        </w:rPr>
      </w:pPr>
      <w:r>
        <w:rPr>
          <w:iCs/>
        </w:rPr>
        <w:t>Для каждого столбца построим гистограммы, а затем объединим в единую. Результат представлен на рисунке 17.</w:t>
      </w:r>
    </w:p>
    <w:p w14:paraId="65FD1C98">
      <w:pPr>
        <w:ind w:firstLine="0"/>
        <w:jc w:val="center"/>
        <w:rPr>
          <w:iCs/>
          <w:lang w:val="en-US"/>
        </w:rPr>
      </w:pPr>
      <w:r>
        <w:rPr>
          <w:iCs/>
          <w:lang w:val="en-US"/>
        </w:rPr>
        <w:drawing>
          <wp:inline distT="0" distB="0" distL="0" distR="0">
            <wp:extent cx="4244340" cy="3181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904" cy="318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E3CCE">
      <w:pPr>
        <w:ind w:firstLine="0"/>
        <w:jc w:val="center"/>
        <w:rPr>
          <w:iCs/>
        </w:rPr>
      </w:pPr>
      <w:r>
        <w:rPr>
          <w:iCs/>
        </w:rPr>
        <w:t>Рис. 17 - Гистограмма распределения потерь преобразования в зависимости от технологических разбросов параметров конструкции СГСМ</w:t>
      </w:r>
    </w:p>
    <w:p w14:paraId="782C9D66">
      <w:pPr>
        <w:ind w:firstLine="708"/>
      </w:pPr>
      <w:r>
        <w:t>На рисунке помимо гистограммы представлена аппроксимированная полиномом 5 степени кривая, которая будет использована в дальнейших рассуждениях. Результат расчёта характеристик распределения приведён в таблице 1.</w:t>
      </w:r>
    </w:p>
    <w:p w14:paraId="629F381B">
      <w:pPr>
        <w:spacing w:line="259" w:lineRule="auto"/>
        <w:ind w:firstLine="708"/>
        <w:jc w:val="left"/>
      </w:pPr>
      <w:r>
        <w:t xml:space="preserve">Таблица </w:t>
      </w:r>
      <w:r>
        <w:rPr>
          <w:lang w:val="en-US"/>
        </w:rPr>
        <w:t>2</w:t>
      </w:r>
      <w:r>
        <w:t xml:space="preserve"> – Характеристики распределения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9"/>
        <w:gridCol w:w="2114"/>
        <w:gridCol w:w="1621"/>
        <w:gridCol w:w="1872"/>
        <w:gridCol w:w="1872"/>
      </w:tblGrid>
      <w:tr w14:paraId="5A0440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9" w:type="dxa"/>
            <w:vAlign w:val="center"/>
          </w:tcPr>
          <w:p w14:paraId="11384CF0">
            <w:pPr>
              <w:spacing w:after="0" w:line="259" w:lineRule="auto"/>
              <w:ind w:firstLine="0"/>
              <w:jc w:val="center"/>
            </w:pPr>
            <w:r>
              <w:t>Выборочное среднее</w:t>
            </w:r>
          </w:p>
        </w:tc>
        <w:tc>
          <w:tcPr>
            <w:tcW w:w="2114" w:type="dxa"/>
            <w:vAlign w:val="center"/>
          </w:tcPr>
          <w:p w14:paraId="37EC4098">
            <w:pPr>
              <w:spacing w:after="0" w:line="259" w:lineRule="auto"/>
              <w:ind w:firstLine="0"/>
              <w:jc w:val="center"/>
            </w:pPr>
            <w:r>
              <w:t>Среднее квадратическое отклонения</w:t>
            </w:r>
          </w:p>
        </w:tc>
        <w:tc>
          <w:tcPr>
            <w:tcW w:w="1621" w:type="dxa"/>
            <w:vAlign w:val="center"/>
          </w:tcPr>
          <w:p w14:paraId="7D76E3E7">
            <w:pPr>
              <w:spacing w:after="0" w:line="259" w:lineRule="auto"/>
              <w:ind w:firstLine="0"/>
              <w:jc w:val="center"/>
            </w:pPr>
            <w:r>
              <w:t>Дисперсия</w:t>
            </w:r>
          </w:p>
        </w:tc>
        <w:tc>
          <w:tcPr>
            <w:tcW w:w="1872" w:type="dxa"/>
            <w:vAlign w:val="center"/>
          </w:tcPr>
          <w:p w14:paraId="55120935">
            <w:pPr>
              <w:spacing w:after="0" w:line="259" w:lineRule="auto"/>
              <w:ind w:firstLine="0"/>
              <w:jc w:val="center"/>
            </w:pPr>
            <w:r>
              <w:t>Коэффициент вариации</w:t>
            </w:r>
          </w:p>
        </w:tc>
        <w:tc>
          <w:tcPr>
            <w:tcW w:w="1872" w:type="dxa"/>
            <w:vAlign w:val="center"/>
          </w:tcPr>
          <w:p w14:paraId="2FF80C7F">
            <w:pPr>
              <w:spacing w:after="0" w:line="259" w:lineRule="auto"/>
              <w:ind w:firstLine="0"/>
              <w:jc w:val="center"/>
            </w:pPr>
            <w:r>
              <w:t>Коэффициент асимметрии</w:t>
            </w:r>
          </w:p>
        </w:tc>
      </w:tr>
      <w:tr w14:paraId="27507B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09" w:type="dxa"/>
            <w:vAlign w:val="center"/>
          </w:tcPr>
          <w:p w14:paraId="702F0CF7">
            <w:pPr>
              <w:spacing w:after="0" w:line="259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-14</w:t>
            </w:r>
            <w:r>
              <w:t>,</w:t>
            </w:r>
            <w:r>
              <w:rPr>
                <w:lang w:val="en-US"/>
              </w:rPr>
              <w:t>14</w:t>
            </w:r>
            <w:r>
              <w:t xml:space="preserve"> дБ</w:t>
            </w:r>
          </w:p>
        </w:tc>
        <w:tc>
          <w:tcPr>
            <w:tcW w:w="2114" w:type="dxa"/>
            <w:vAlign w:val="center"/>
          </w:tcPr>
          <w:p w14:paraId="58114256">
            <w:pPr>
              <w:spacing w:after="0" w:line="259" w:lineRule="auto"/>
              <w:ind w:firstLine="0"/>
              <w:jc w:val="center"/>
            </w:pPr>
            <w:r>
              <w:t>0,69 дБ</w:t>
            </w:r>
          </w:p>
        </w:tc>
        <w:tc>
          <w:tcPr>
            <w:tcW w:w="1621" w:type="dxa"/>
            <w:vAlign w:val="center"/>
          </w:tcPr>
          <w:p w14:paraId="292AB895">
            <w:pPr>
              <w:spacing w:after="0" w:line="259" w:lineRule="auto"/>
              <w:ind w:firstLine="0"/>
              <w:jc w:val="center"/>
            </w:pPr>
            <w:r>
              <w:t xml:space="preserve">0,48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m:rPr/>
                    <w:rPr>
                      <w:rFonts w:ascii="Cambria Math" w:hAnsi="Cambria Math"/>
                    </w:rPr>
                    <m:t>А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</m:sSup>
              <m:r>
                <m:rPr/>
                <w:rPr>
                  <w:rFonts w:ascii="Cambria Math" w:hAnsi="Cambria Math"/>
                  <w:lang w:val="en-US"/>
                </w:rPr>
                <m:t xml:space="preserve"> </m:t>
              </m:r>
            </m:oMath>
            <w:r>
              <w:t xml:space="preserve"> </w:t>
            </w:r>
          </w:p>
        </w:tc>
        <w:tc>
          <w:tcPr>
            <w:tcW w:w="1872" w:type="dxa"/>
            <w:vAlign w:val="center"/>
          </w:tcPr>
          <w:p w14:paraId="66F7EFB6">
            <w:pPr>
              <w:spacing w:after="0" w:line="259" w:lineRule="auto"/>
              <w:ind w:firstLine="0"/>
              <w:jc w:val="center"/>
            </w:pPr>
            <w:r>
              <w:t>5 %</w:t>
            </w:r>
          </w:p>
        </w:tc>
        <w:tc>
          <w:tcPr>
            <w:tcW w:w="1872" w:type="dxa"/>
            <w:vAlign w:val="center"/>
          </w:tcPr>
          <w:p w14:paraId="50B4132D">
            <w:pPr>
              <w:spacing w:after="0" w:line="259" w:lineRule="auto"/>
              <w:ind w:firstLine="0"/>
              <w:jc w:val="center"/>
            </w:pPr>
            <w:r>
              <w:t>-0,28</w:t>
            </w:r>
          </w:p>
        </w:tc>
      </w:tr>
    </w:tbl>
    <w:p w14:paraId="17A4792A">
      <w:pPr>
        <w:spacing w:before="240"/>
        <w:ind w:firstLine="0"/>
        <w:rPr>
          <w:iCs/>
        </w:rPr>
      </w:pPr>
      <w:r>
        <w:rPr>
          <w:iCs/>
        </w:rPr>
        <w:tab/>
      </w:r>
      <w:r>
        <w:rPr>
          <w:iCs/>
        </w:rPr>
        <w:t xml:space="preserve">Таким образом, из гистограммы имеем, что лишь 1 реализация вышла за пределы -16 дБ и поэтому «отказала» по нашему критерию. </w:t>
      </w:r>
    </w:p>
    <w:p w14:paraId="6A60B878">
      <w:pPr>
        <w:spacing w:line="259" w:lineRule="auto"/>
        <w:ind w:firstLine="0"/>
        <w:jc w:val="left"/>
        <w:rPr>
          <w:iCs/>
        </w:rPr>
      </w:pPr>
      <w:r>
        <w:rPr>
          <w:iCs/>
        </w:rPr>
        <w:br w:type="page"/>
      </w:r>
    </w:p>
    <w:p w14:paraId="2DDEB2C2">
      <w:pPr>
        <w:pStyle w:val="2"/>
      </w:pPr>
      <w:bookmarkStart w:id="3" w:name="_Toc185601680"/>
      <w:r>
        <w:t>Моделирование кинетики</w:t>
      </w:r>
      <w:bookmarkEnd w:id="3"/>
    </w:p>
    <w:p w14:paraId="0AB8FCE4">
      <w:pPr>
        <w:ind w:firstLine="708"/>
      </w:pPr>
      <w:r>
        <w:t>Считаем, что РТД и смеситель произведены в одних и тех же условиях, эксплуатация производится также в одинаковых условиях, поэтому форма полученных распределений меняться не будет. Деградационный процесс РТД приводит к смещению распределения тока в рабочей в точке, при этом смещая за собой и распределение потерь преобразования. Таким образом, на определенной наработке часть СГСМ окажутся вне поля допуска потерь преобразования.</w:t>
      </w:r>
    </w:p>
    <w:p w14:paraId="284B320A">
      <w:r>
        <w:t>С помощью программы для моделирования РТД получим номинальную ВАХ при указанном температурном режиме (</w:t>
      </w:r>
      <m:oMath>
        <m:r>
          <m:rPr/>
          <w:rPr>
            <w:rFonts w:ascii="Cambria Math" w:hAnsi="Cambria Math"/>
          </w:rPr>
          <m:t>+125</m:t>
        </m:r>
        <m:r>
          <m:rPr>
            <m:sty m:val="p"/>
          </m:rPr>
          <w:rPr>
            <w:rFonts w:ascii="Cambria Math" w:hAnsi="Cambria Math"/>
          </w:rPr>
          <m:t>°</m:t>
        </m:r>
        <m:r>
          <m:rPr/>
          <w:rPr>
            <w:rFonts w:ascii="Cambria Math" w:hAnsi="Cambria Math"/>
          </w:rPr>
          <m:t>С</m:t>
        </m:r>
      </m:oMath>
      <w:r>
        <w:t xml:space="preserve">) на заданной наработке. После чего вычислим коэффициенты </w:t>
      </w:r>
      <w:r>
        <w:rPr>
          <w:lang w:val="en-US"/>
        </w:rPr>
        <w:t>SC</w:t>
      </w:r>
      <w:r>
        <w:t xml:space="preserve"> для полинома, внесём их в модель РТД в </w:t>
      </w:r>
      <w:r>
        <w:rPr>
          <w:lang w:val="en-US"/>
        </w:rPr>
        <w:t>Microwave</w:t>
      </w:r>
      <w:r>
        <w:t xml:space="preserve"> </w:t>
      </w:r>
      <w:r>
        <w:rPr>
          <w:lang w:val="en-US"/>
        </w:rPr>
        <w:t>office</w:t>
      </w:r>
      <w:r>
        <w:t>, построим график потерь преобразования для нового номинала и узнаем, насколько ухудшились показатели назначения смесителя.</w:t>
      </w:r>
    </w:p>
    <w:p w14:paraId="0F7E3754">
      <w:r>
        <w:t>На рисунке 18 представлены полученные с помощью программы ВАХ после воздействия температуры.</w:t>
      </w:r>
    </w:p>
    <w:p w14:paraId="4A3D6983">
      <w:r>
        <w:drawing>
          <wp:inline distT="0" distB="0" distL="0" distR="0">
            <wp:extent cx="2445385" cy="17386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0834" cy="174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383155" cy="1752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6479" cy="1762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68359C">
      <w:r>
        <w:drawing>
          <wp:inline distT="0" distB="0" distL="0" distR="0">
            <wp:extent cx="2421255" cy="18224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166" cy="1829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59990" cy="182562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977" cy="1846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D91D10">
      <w:pPr>
        <w:jc w:val="center"/>
      </w:pPr>
      <w:r>
        <w:t>Рис. 18 – Моделирование кинетики ВАХ</w:t>
      </w:r>
    </w:p>
    <w:p w14:paraId="120C1D61">
      <w:r>
        <w:t xml:space="preserve">Коэффициенты </w:t>
      </w:r>
      <w:r>
        <w:rPr>
          <w:lang w:val="en-US"/>
        </w:rPr>
        <w:t>SC</w:t>
      </w:r>
      <w:r>
        <w:t xml:space="preserve"> составили:</w:t>
      </w:r>
    </w:p>
    <w:p w14:paraId="0D87128E">
      <w:pPr>
        <w:ind w:firstLine="708"/>
        <w:rPr>
          <w:iCs/>
          <w:sz w:val="24"/>
          <w:szCs w:val="24"/>
          <w:lang w:eastAsia="zh-CN"/>
        </w:rPr>
      </w:pPr>
      <m:oMathPara>
        <m:oMath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S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SubPr>
            <m:e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C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e>
            <m:sub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1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ub>
          </m:sSub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fPr>
            <m:num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8.9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num>
            <m:den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10.6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den>
          </m:f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=0.8396,  S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SubPr>
            <m:e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C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e>
            <m:sub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2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ub>
          </m:sSub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fPr>
            <m:num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7.2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num>
            <m:den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10</m:t>
              </m:r>
              <m:r>
                <m:rPr/>
                <w:rPr>
                  <w:rFonts w:ascii="Cambria Math" w:hAnsi="Cambria Math"/>
                  <w:sz w:val="24"/>
                  <w:szCs w:val="24"/>
                  <w:lang w:val="en-US" w:eastAsia="zh-CN"/>
                </w:rPr>
                <m:t>.6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den>
          </m:f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=0.6792,  S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SubPr>
            <m:e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C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e>
            <m:sub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3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ub>
          </m:sSub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fPr>
            <m:num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5.9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num>
            <m:den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10,6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den>
          </m:f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=0.5566,</m:t>
          </m:r>
        </m:oMath>
      </m:oMathPara>
    </w:p>
    <w:p w14:paraId="7C6DB2DB">
      <w:pPr>
        <w:ind w:firstLine="708"/>
        <w:rPr>
          <w:sz w:val="24"/>
          <w:szCs w:val="24"/>
          <w:lang w:eastAsia="zh-CN"/>
        </w:rPr>
      </w:pPr>
      <m:oMathPara>
        <m:oMath>
          <m:r>
            <m:rPr/>
            <w:rPr>
              <w:rFonts w:ascii="Cambria Math" w:hAnsi="Cambria Math"/>
              <w:sz w:val="24"/>
              <w:szCs w:val="24"/>
              <w:lang w:eastAsia="zh-CN"/>
            </w:rPr>
            <m:t xml:space="preserve">  S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SubPr>
            <m:e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C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e>
            <m:sub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4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sub>
          </m:sSub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fPr>
            <m:num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4.8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num>
            <m:den>
              <m:r>
                <m:rPr/>
                <w:rPr>
                  <w:rFonts w:ascii="Cambria Math" w:hAnsi="Cambria Math"/>
                  <w:sz w:val="24"/>
                  <w:szCs w:val="24"/>
                  <w:lang w:eastAsia="zh-CN"/>
                </w:rPr>
                <m:t>10.6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zh-CN"/>
                </w:rPr>
              </m:ctrlPr>
            </m:den>
          </m:f>
          <m:r>
            <m:rPr/>
            <w:rPr>
              <w:rFonts w:ascii="Cambria Math" w:hAnsi="Cambria Math"/>
              <w:sz w:val="24"/>
              <w:szCs w:val="24"/>
              <w:lang w:eastAsia="zh-CN"/>
            </w:rPr>
            <m:t>=0.4528</m:t>
          </m:r>
        </m:oMath>
      </m:oMathPara>
    </w:p>
    <w:p w14:paraId="72B29787">
      <w:pPr>
        <w:ind w:firstLine="708"/>
        <w:rPr>
          <w:szCs w:val="28"/>
          <w:lang w:eastAsia="zh-CN"/>
        </w:rPr>
      </w:pPr>
      <w:r>
        <w:rPr>
          <w:szCs w:val="28"/>
          <w:lang w:eastAsia="zh-CN"/>
        </w:rPr>
        <w:t>Полученные характеристики потерь преобразования представлены на рисунке 19.</w:t>
      </w:r>
    </w:p>
    <w:p w14:paraId="18C0FB1C">
      <w:pPr>
        <w:spacing w:after="0" w:line="240" w:lineRule="auto"/>
        <w:ind w:firstLine="0"/>
        <w:jc w:val="center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drawing>
          <wp:inline distT="0" distB="0" distL="0" distR="0">
            <wp:extent cx="2691765" cy="18135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5036" cy="18360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eastAsia="zh-CN"/>
        </w:rPr>
        <w:drawing>
          <wp:inline distT="0" distB="0" distL="0" distR="0">
            <wp:extent cx="2701925" cy="180086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1134" cy="18140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eastAsia="zh-CN"/>
        </w:rPr>
        <w:drawing>
          <wp:inline distT="0" distB="0" distL="0" distR="0">
            <wp:extent cx="2682875" cy="18167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0768" cy="18560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eastAsia="zh-CN"/>
        </w:rPr>
        <w:drawing>
          <wp:inline distT="0" distB="0" distL="0" distR="0">
            <wp:extent cx="2711450" cy="183261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9339" cy="18450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922B10">
      <w:pPr>
        <w:spacing w:after="0" w:line="240" w:lineRule="auto"/>
        <w:ind w:firstLine="0"/>
        <w:jc w:val="center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drawing>
          <wp:inline distT="0" distB="0" distL="0" distR="0">
            <wp:extent cx="2891790" cy="1940560"/>
            <wp:effectExtent l="0" t="0" r="381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7930" cy="1958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2B2CC7">
      <w:pPr>
        <w:spacing w:after="0"/>
        <w:ind w:firstLine="0"/>
        <w:jc w:val="center"/>
        <w:rPr>
          <w:szCs w:val="28"/>
          <w:lang w:eastAsia="zh-CN"/>
        </w:rPr>
      </w:pPr>
      <w:r>
        <w:rPr>
          <w:szCs w:val="28"/>
          <w:lang w:eastAsia="zh-CN"/>
        </w:rPr>
        <w:t xml:space="preserve">Рис. 19 - </w:t>
      </w:r>
      <w:r>
        <w:t>Зависимость коэффициента передачи СГСМ от частоты сигнала</w:t>
      </w:r>
    </w:p>
    <w:p w14:paraId="6C740965">
      <w:r>
        <w:t xml:space="preserve">Так как один прибор из выборки отказал ещё до учёта эксплуатационного фактора (температуры), то вместо 99% </w:t>
      </w:r>
      <m:oMath>
        <m:r>
          <m:rPr/>
          <w:rPr>
            <w:rFonts w:ascii="Cambria Math" w:hAnsi="Cambria Math"/>
          </w:rPr>
          <m:t>γ</m:t>
        </m:r>
      </m:oMath>
      <w:r>
        <w:t xml:space="preserve">-наработки на отказ будем находить 95% </w:t>
      </w:r>
      <m:oMath>
        <m:r>
          <m:rPr/>
          <w:rPr>
            <w:rFonts w:ascii="Cambria Math" w:hAnsi="Cambria Math"/>
          </w:rPr>
          <m:t>γ</m:t>
        </m:r>
      </m:oMath>
      <w:r>
        <w:t>-наработка на отказ.</w:t>
      </w:r>
    </w:p>
    <w:p w14:paraId="368810E2">
      <w:pPr>
        <w:spacing w:after="0"/>
      </w:pPr>
      <w:r>
        <w:t>На рисунке 20 представлена кинетика изменения коэффициента передачи в номинале.</w:t>
      </w:r>
    </w:p>
    <w:p w14:paraId="2C26DF22">
      <w:pPr>
        <w:spacing w:after="0"/>
        <w:jc w:val="center"/>
      </w:pPr>
      <w:r>
        <w:drawing>
          <wp:inline distT="0" distB="0" distL="0" distR="0">
            <wp:extent cx="3765550" cy="28225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7006" cy="283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CD5B7">
      <w:pPr>
        <w:ind w:firstLine="0"/>
        <w:jc w:val="center"/>
      </w:pPr>
      <w:r>
        <w:t>Рис. 20 – Кинетика коэффициента передачи СГСМ</w:t>
      </w:r>
    </w:p>
    <w:p w14:paraId="4E2BF5F9">
      <w:pPr>
        <w:spacing w:after="0"/>
      </w:pPr>
      <w:r>
        <w:t xml:space="preserve">На рисунке 21 представлена кинетика изменения коэффициента передачи для прибора с 5 по счёту наихудшим коэффициентом передачи из распределения на рисунке 17. Кинетика изменения коэффициента передачи аналогична кинетике его изменения в номинале (рис. 20), так считаем, что приборы были произведены, а также эксплуатируются в одинаковых условиях. </w:t>
      </w:r>
    </w:p>
    <w:p w14:paraId="6C8A4208">
      <w:pPr>
        <w:spacing w:after="0"/>
        <w:ind w:firstLine="0"/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4328160" cy="32473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5407" cy="326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6D10">
      <w:pPr>
        <w:ind w:firstLine="0"/>
        <w:jc w:val="center"/>
      </w:pPr>
      <w:r>
        <w:t>Рис. 21 – Кинетика коэффициента передачи СГСМ</w:t>
      </w:r>
    </w:p>
    <w:p w14:paraId="318BFA2F">
      <w:pPr>
        <w:spacing w:after="0"/>
      </w:pPr>
      <w:r>
        <w:t>При этом кинетика самого распределения из 100 приборов имеет вид, представленный на рисунке 21.</w:t>
      </w:r>
    </w:p>
    <w:p w14:paraId="3F12AAD8">
      <w:pPr>
        <w:spacing w:after="0"/>
        <w:ind w:firstLine="0"/>
        <w:jc w:val="center"/>
      </w:pPr>
      <w:r>
        <w:drawing>
          <wp:inline distT="0" distB="0" distL="0" distR="0">
            <wp:extent cx="3851910" cy="28898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6960" cy="290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68177">
      <w:pPr>
        <w:jc w:val="center"/>
      </w:pPr>
      <w:r>
        <w:t>Рис. 21 – Кинетика распределения потерь преобразования</w:t>
      </w:r>
    </w:p>
    <w:p w14:paraId="0E5C025D">
      <w:r>
        <w:t xml:space="preserve">Таким образом, отказ 5 приборов из 100 произойдет через </w:t>
      </w:r>
      <m:oMath>
        <m:r>
          <m:rPr/>
          <w:rPr>
            <w:rFonts w:ascii="Cambria Math" w:hAnsi="Cambria Math"/>
          </w:rPr>
          <m:t>≈10</m:t>
        </m:r>
      </m:oMath>
      <w:r>
        <w:t xml:space="preserve"> лет, что и соответствует 95% </w:t>
      </w:r>
      <m:oMath>
        <m:r>
          <m:rPr/>
          <w:rPr>
            <w:rFonts w:ascii="Cambria Math" w:hAnsi="Cambria Math"/>
          </w:rPr>
          <m:t>γ</m:t>
        </m:r>
      </m:oMath>
      <w:r>
        <w:t xml:space="preserve">-наработке, так как 95% </w:t>
      </w:r>
      <m:oMath>
        <m:r>
          <m:rPr/>
          <w:rPr>
            <w:rFonts w:ascii="Cambria Math" w:hAnsi="Cambria Math"/>
          </w:rPr>
          <m:t>γ</m:t>
        </m:r>
      </m:oMath>
      <w:r>
        <w:t xml:space="preserve">-наработка – наработка, в течение которой отказ не наступит с вероятностью 95%. </w:t>
      </w:r>
    </w:p>
    <w:p w14:paraId="0074D4A5">
      <w:pPr>
        <w:spacing w:line="259" w:lineRule="auto"/>
        <w:ind w:firstLine="0"/>
        <w:jc w:val="left"/>
      </w:pPr>
      <w:r>
        <w:br w:type="page"/>
      </w:r>
    </w:p>
    <w:p w14:paraId="7A834833">
      <w:pPr>
        <w:pStyle w:val="2"/>
      </w:pPr>
      <w:bookmarkStart w:id="4" w:name="_Toc185601681"/>
      <w:r>
        <w:t>Заключение</w:t>
      </w:r>
      <w:bookmarkEnd w:id="4"/>
    </w:p>
    <w:p w14:paraId="1DA16318">
      <w:pPr>
        <w:ind w:firstLine="0"/>
      </w:pPr>
      <w:r>
        <w:tab/>
      </w:r>
      <w:r>
        <w:t xml:space="preserve">В ходе работы было проанализировано влияние технологических разбросов конструкции СГСМ на показатели назначения. В результате моделирования была получена диаграмма распределения потерь преобразования 100 приборов, а также кинетика данного распределения в результате воздействия на приборы температуры эксплуатации, равной </w:t>
      </w:r>
      <m:oMath>
        <m:r>
          <m:rPr/>
          <w:rPr>
            <w:rFonts w:ascii="Cambria Math" w:hAnsi="Cambria Math"/>
          </w:rPr>
          <m:t>+125℃</m:t>
        </m:r>
      </m:oMath>
      <w:r>
        <w:t xml:space="preserve">. Как итог, было получено, что </w:t>
      </w:r>
      <m:oMath>
        <m:r>
          <m:rPr/>
          <w:rPr>
            <w:rFonts w:ascii="Cambria Math" w:hAnsi="Cambria Math"/>
          </w:rPr>
          <m:t>γ=</m:t>
        </m:r>
      </m:oMath>
      <w:r>
        <w:t>95% наработка составит 10 лет.</w:t>
      </w:r>
    </w:p>
    <w:p w14:paraId="667DED1D"/>
    <w:p w14:paraId="2F36DB96"/>
    <w:sectPr>
      <w:footerReference r:id="rId5" w:type="default"/>
      <w:pgSz w:w="11906" w:h="16838"/>
      <w:pgMar w:top="1134" w:right="850" w:bottom="1134" w:left="1701" w:header="708" w:footer="708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Yu Gothic Medium">
    <w:panose1 w:val="020B0500000000000000"/>
    <w:charset w:val="80"/>
    <w:family w:val="swiss"/>
    <w:pitch w:val="default"/>
    <w:sig w:usb0="E00002FF" w:usb1="2AC7FDFF" w:usb2="00000016" w:usb3="00000000" w:csb0="2002009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DengXian">
    <w:altName w:val="SimSu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DengXian Light">
    <w:altName w:val="SimSun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676255174"/>
      <w:docPartObj>
        <w:docPartGallery w:val="AutoText"/>
      </w:docPartObj>
    </w:sdtPr>
    <w:sdtContent>
      <w:p w14:paraId="511CFC27">
        <w:pPr>
          <w:pStyle w:val="1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F2D9FC"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36134D"/>
    <w:multiLevelType w:val="multilevel"/>
    <w:tmpl w:val="1436134D"/>
    <w:lvl w:ilvl="0" w:tentative="0">
      <w:start w:val="1"/>
      <w:numFmt w:val="bullet"/>
      <w:lvlText w:val=""/>
      <w:lvlJc w:val="left"/>
      <w:pPr>
        <w:ind w:left="2563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3283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4003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723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443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6163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883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603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8323" w:hanging="360"/>
      </w:pPr>
      <w:rPr>
        <w:rFonts w:hint="default" w:ascii="Wingdings" w:hAnsi="Wingdings"/>
      </w:rPr>
    </w:lvl>
  </w:abstractNum>
  <w:abstractNum w:abstractNumId="1">
    <w:nsid w:val="255C6406"/>
    <w:multiLevelType w:val="multilevel"/>
    <w:tmpl w:val="255C640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8E1046D"/>
    <w:multiLevelType w:val="multilevel"/>
    <w:tmpl w:val="28E1046D"/>
    <w:lvl w:ilvl="0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">
    <w:nsid w:val="349C071F"/>
    <w:multiLevelType w:val="multilevel"/>
    <w:tmpl w:val="349C071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39AC33C4"/>
    <w:multiLevelType w:val="multilevel"/>
    <w:tmpl w:val="39AC33C4"/>
    <w:lvl w:ilvl="0" w:tentative="0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nsid w:val="3C4E396F"/>
    <w:multiLevelType w:val="multilevel"/>
    <w:tmpl w:val="3C4E396F"/>
    <w:lvl w:ilvl="0" w:tentative="0">
      <w:start w:val="1"/>
      <w:numFmt w:val="bullet"/>
      <w:lvlText w:val=""/>
      <w:lvlJc w:val="left"/>
      <w:pPr>
        <w:ind w:left="792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12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32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52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72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92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12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32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52" w:hanging="360"/>
      </w:pPr>
      <w:rPr>
        <w:rFonts w:hint="default" w:ascii="Wingdings" w:hAnsi="Wingdings"/>
      </w:rPr>
    </w:lvl>
  </w:abstractNum>
  <w:abstractNum w:abstractNumId="6">
    <w:nsid w:val="3DF9299D"/>
    <w:multiLevelType w:val="multilevel"/>
    <w:tmpl w:val="3DF9299D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7">
    <w:nsid w:val="59B709A5"/>
    <w:multiLevelType w:val="multilevel"/>
    <w:tmpl w:val="59B709A5"/>
    <w:lvl w:ilvl="0" w:tentative="0">
      <w:start w:val="1"/>
      <w:numFmt w:val="bullet"/>
      <w:lvlText w:val="o"/>
      <w:lvlJc w:val="left"/>
      <w:pPr>
        <w:ind w:left="1429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8">
    <w:nsid w:val="74397B15"/>
    <w:multiLevelType w:val="multilevel"/>
    <w:tmpl w:val="74397B15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 w:eastAsiaTheme="minorEastAsia" w:cstheme="minorBidi"/>
        <w:b w:val="0"/>
        <w:color w:val="auto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9FA45C3"/>
    <w:multiLevelType w:val="multilevel"/>
    <w:tmpl w:val="79FA45C3"/>
    <w:lvl w:ilvl="0" w:tentative="0">
      <w:start w:val="1"/>
      <w:numFmt w:val="bullet"/>
      <w:lvlText w:val=""/>
      <w:lvlJc w:val="left"/>
      <w:pPr>
        <w:ind w:left="1843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563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83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003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723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43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63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83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603" w:hanging="360"/>
      </w:pPr>
      <w:rPr>
        <w:rFonts w:hint="default" w:ascii="Wingdings" w:hAnsi="Wingdings"/>
      </w:r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9"/>
  </w:num>
  <w:num w:numId="7">
    <w:abstractNumId w:val="3"/>
  </w:num>
  <w:num w:numId="8">
    <w:abstractNumId w:val="7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BD4"/>
    <w:rsid w:val="000025EE"/>
    <w:rsid w:val="0000524B"/>
    <w:rsid w:val="000153D7"/>
    <w:rsid w:val="000204A9"/>
    <w:rsid w:val="00021661"/>
    <w:rsid w:val="000244AC"/>
    <w:rsid w:val="00025879"/>
    <w:rsid w:val="000371C4"/>
    <w:rsid w:val="0003726C"/>
    <w:rsid w:val="0007168D"/>
    <w:rsid w:val="000816B9"/>
    <w:rsid w:val="000817CE"/>
    <w:rsid w:val="00081931"/>
    <w:rsid w:val="00082C22"/>
    <w:rsid w:val="0009362B"/>
    <w:rsid w:val="000A141D"/>
    <w:rsid w:val="000A2800"/>
    <w:rsid w:val="000A3A5D"/>
    <w:rsid w:val="000A7ECD"/>
    <w:rsid w:val="000D3F91"/>
    <w:rsid w:val="000D5CDA"/>
    <w:rsid w:val="000D6647"/>
    <w:rsid w:val="000D7433"/>
    <w:rsid w:val="000D775A"/>
    <w:rsid w:val="000E6740"/>
    <w:rsid w:val="000E70D2"/>
    <w:rsid w:val="000F4C4A"/>
    <w:rsid w:val="00101A9F"/>
    <w:rsid w:val="00104AB9"/>
    <w:rsid w:val="00107F85"/>
    <w:rsid w:val="0011207D"/>
    <w:rsid w:val="00114DCA"/>
    <w:rsid w:val="00116533"/>
    <w:rsid w:val="00123A60"/>
    <w:rsid w:val="001308E0"/>
    <w:rsid w:val="00141976"/>
    <w:rsid w:val="00142335"/>
    <w:rsid w:val="00144792"/>
    <w:rsid w:val="0015147A"/>
    <w:rsid w:val="00156262"/>
    <w:rsid w:val="00160131"/>
    <w:rsid w:val="00160B47"/>
    <w:rsid w:val="00166113"/>
    <w:rsid w:val="00166E1D"/>
    <w:rsid w:val="001705D8"/>
    <w:rsid w:val="00181299"/>
    <w:rsid w:val="001840D9"/>
    <w:rsid w:val="0018725D"/>
    <w:rsid w:val="00194566"/>
    <w:rsid w:val="001A735A"/>
    <w:rsid w:val="001D31A4"/>
    <w:rsid w:val="001D6DF8"/>
    <w:rsid w:val="001F137F"/>
    <w:rsid w:val="001F33F5"/>
    <w:rsid w:val="001F67E5"/>
    <w:rsid w:val="001F78DE"/>
    <w:rsid w:val="0023261F"/>
    <w:rsid w:val="00237634"/>
    <w:rsid w:val="002408C2"/>
    <w:rsid w:val="002464F0"/>
    <w:rsid w:val="00256C6D"/>
    <w:rsid w:val="002627B2"/>
    <w:rsid w:val="0026615C"/>
    <w:rsid w:val="00267A0D"/>
    <w:rsid w:val="00270B56"/>
    <w:rsid w:val="00272589"/>
    <w:rsid w:val="0027273B"/>
    <w:rsid w:val="00283FF7"/>
    <w:rsid w:val="00285FC0"/>
    <w:rsid w:val="00291899"/>
    <w:rsid w:val="002943BB"/>
    <w:rsid w:val="002B08E3"/>
    <w:rsid w:val="002B67AB"/>
    <w:rsid w:val="002C1CE6"/>
    <w:rsid w:val="002D3321"/>
    <w:rsid w:val="002D5769"/>
    <w:rsid w:val="002E3D93"/>
    <w:rsid w:val="002F77A3"/>
    <w:rsid w:val="003006B9"/>
    <w:rsid w:val="00313902"/>
    <w:rsid w:val="00314149"/>
    <w:rsid w:val="00315E6A"/>
    <w:rsid w:val="00320D18"/>
    <w:rsid w:val="00324253"/>
    <w:rsid w:val="00330278"/>
    <w:rsid w:val="003308A0"/>
    <w:rsid w:val="00333D06"/>
    <w:rsid w:val="003426C3"/>
    <w:rsid w:val="00344A8C"/>
    <w:rsid w:val="00357323"/>
    <w:rsid w:val="00366C3F"/>
    <w:rsid w:val="003715FE"/>
    <w:rsid w:val="00374782"/>
    <w:rsid w:val="003818BD"/>
    <w:rsid w:val="00387B2A"/>
    <w:rsid w:val="00390365"/>
    <w:rsid w:val="00392BAE"/>
    <w:rsid w:val="003A323C"/>
    <w:rsid w:val="003A4D76"/>
    <w:rsid w:val="003B62DB"/>
    <w:rsid w:val="003C0AAF"/>
    <w:rsid w:val="003D0CDF"/>
    <w:rsid w:val="003E3F7F"/>
    <w:rsid w:val="003E5E00"/>
    <w:rsid w:val="003F6E4F"/>
    <w:rsid w:val="0041196F"/>
    <w:rsid w:val="00423922"/>
    <w:rsid w:val="00426203"/>
    <w:rsid w:val="00426581"/>
    <w:rsid w:val="0043069C"/>
    <w:rsid w:val="004338AC"/>
    <w:rsid w:val="0043476B"/>
    <w:rsid w:val="00435C27"/>
    <w:rsid w:val="00443D3F"/>
    <w:rsid w:val="004456CA"/>
    <w:rsid w:val="00445F3D"/>
    <w:rsid w:val="00453FF7"/>
    <w:rsid w:val="004623E6"/>
    <w:rsid w:val="00470CAF"/>
    <w:rsid w:val="0047270E"/>
    <w:rsid w:val="00475451"/>
    <w:rsid w:val="00476C58"/>
    <w:rsid w:val="00482969"/>
    <w:rsid w:val="00486A9D"/>
    <w:rsid w:val="00490BEF"/>
    <w:rsid w:val="0049361E"/>
    <w:rsid w:val="004A21E1"/>
    <w:rsid w:val="004A41F5"/>
    <w:rsid w:val="004A759C"/>
    <w:rsid w:val="004B3887"/>
    <w:rsid w:val="004C2390"/>
    <w:rsid w:val="004C37EB"/>
    <w:rsid w:val="004D45C2"/>
    <w:rsid w:val="004D4FE0"/>
    <w:rsid w:val="004F3B4F"/>
    <w:rsid w:val="0050513D"/>
    <w:rsid w:val="00521DEE"/>
    <w:rsid w:val="00550AC3"/>
    <w:rsid w:val="0055241B"/>
    <w:rsid w:val="00555FBF"/>
    <w:rsid w:val="00556FAF"/>
    <w:rsid w:val="00574CB8"/>
    <w:rsid w:val="0058661A"/>
    <w:rsid w:val="0058709C"/>
    <w:rsid w:val="00591739"/>
    <w:rsid w:val="005925EA"/>
    <w:rsid w:val="005A2A85"/>
    <w:rsid w:val="005B0884"/>
    <w:rsid w:val="005C5AB6"/>
    <w:rsid w:val="005C6173"/>
    <w:rsid w:val="005C6A19"/>
    <w:rsid w:val="005D2660"/>
    <w:rsid w:val="005D73D7"/>
    <w:rsid w:val="005E1A8E"/>
    <w:rsid w:val="005F5A17"/>
    <w:rsid w:val="006057C0"/>
    <w:rsid w:val="00614D85"/>
    <w:rsid w:val="00617181"/>
    <w:rsid w:val="00617489"/>
    <w:rsid w:val="00622716"/>
    <w:rsid w:val="006244CB"/>
    <w:rsid w:val="0062473D"/>
    <w:rsid w:val="00625AA6"/>
    <w:rsid w:val="00630261"/>
    <w:rsid w:val="00635B98"/>
    <w:rsid w:val="006372F3"/>
    <w:rsid w:val="0064340F"/>
    <w:rsid w:val="00645499"/>
    <w:rsid w:val="00650636"/>
    <w:rsid w:val="00653B5A"/>
    <w:rsid w:val="006672F5"/>
    <w:rsid w:val="00667DC0"/>
    <w:rsid w:val="00676E11"/>
    <w:rsid w:val="00682C94"/>
    <w:rsid w:val="00682F98"/>
    <w:rsid w:val="00694C92"/>
    <w:rsid w:val="00697E0D"/>
    <w:rsid w:val="00697F33"/>
    <w:rsid w:val="006A06F2"/>
    <w:rsid w:val="006A1942"/>
    <w:rsid w:val="006B2214"/>
    <w:rsid w:val="006B27DF"/>
    <w:rsid w:val="006B32A0"/>
    <w:rsid w:val="006B5859"/>
    <w:rsid w:val="006C476B"/>
    <w:rsid w:val="006E26B2"/>
    <w:rsid w:val="006F1E2C"/>
    <w:rsid w:val="00706079"/>
    <w:rsid w:val="007139E3"/>
    <w:rsid w:val="007178FB"/>
    <w:rsid w:val="00722ACE"/>
    <w:rsid w:val="00726BD8"/>
    <w:rsid w:val="00734BD4"/>
    <w:rsid w:val="00762B48"/>
    <w:rsid w:val="00766EAE"/>
    <w:rsid w:val="00767C4D"/>
    <w:rsid w:val="00770084"/>
    <w:rsid w:val="0077428B"/>
    <w:rsid w:val="00780F4D"/>
    <w:rsid w:val="0078682E"/>
    <w:rsid w:val="00797DAC"/>
    <w:rsid w:val="007B3047"/>
    <w:rsid w:val="007B5A01"/>
    <w:rsid w:val="007C36EE"/>
    <w:rsid w:val="007C7777"/>
    <w:rsid w:val="007C7E1A"/>
    <w:rsid w:val="007D08B0"/>
    <w:rsid w:val="007D33DD"/>
    <w:rsid w:val="007D5AF9"/>
    <w:rsid w:val="007F3818"/>
    <w:rsid w:val="008007DD"/>
    <w:rsid w:val="008152F3"/>
    <w:rsid w:val="00820ADD"/>
    <w:rsid w:val="00821C6E"/>
    <w:rsid w:val="00823C1D"/>
    <w:rsid w:val="00823F29"/>
    <w:rsid w:val="00824507"/>
    <w:rsid w:val="008252AF"/>
    <w:rsid w:val="00827A9A"/>
    <w:rsid w:val="00832227"/>
    <w:rsid w:val="00842F52"/>
    <w:rsid w:val="00843C71"/>
    <w:rsid w:val="00862345"/>
    <w:rsid w:val="00870CDD"/>
    <w:rsid w:val="00872328"/>
    <w:rsid w:val="008750D3"/>
    <w:rsid w:val="008802C7"/>
    <w:rsid w:val="008872C0"/>
    <w:rsid w:val="008A1AF7"/>
    <w:rsid w:val="008A2F1E"/>
    <w:rsid w:val="008A6480"/>
    <w:rsid w:val="008B120B"/>
    <w:rsid w:val="008B3A8F"/>
    <w:rsid w:val="008B5052"/>
    <w:rsid w:val="008C0E3B"/>
    <w:rsid w:val="008C1AFD"/>
    <w:rsid w:val="008C4826"/>
    <w:rsid w:val="008D18C6"/>
    <w:rsid w:val="008E7E07"/>
    <w:rsid w:val="008F0A11"/>
    <w:rsid w:val="008F469D"/>
    <w:rsid w:val="008F5E06"/>
    <w:rsid w:val="008F7A86"/>
    <w:rsid w:val="00906C21"/>
    <w:rsid w:val="009264C8"/>
    <w:rsid w:val="00926EFB"/>
    <w:rsid w:val="009303EB"/>
    <w:rsid w:val="0093053C"/>
    <w:rsid w:val="009324A7"/>
    <w:rsid w:val="0093413A"/>
    <w:rsid w:val="00940164"/>
    <w:rsid w:val="00941C1C"/>
    <w:rsid w:val="0094625E"/>
    <w:rsid w:val="009515B3"/>
    <w:rsid w:val="009528B6"/>
    <w:rsid w:val="00952A7F"/>
    <w:rsid w:val="00962807"/>
    <w:rsid w:val="00962845"/>
    <w:rsid w:val="00963C4C"/>
    <w:rsid w:val="00964E92"/>
    <w:rsid w:val="00964FCC"/>
    <w:rsid w:val="00970532"/>
    <w:rsid w:val="00974BCD"/>
    <w:rsid w:val="00981749"/>
    <w:rsid w:val="009A1BBE"/>
    <w:rsid w:val="009A31F5"/>
    <w:rsid w:val="009A36BB"/>
    <w:rsid w:val="009A4B84"/>
    <w:rsid w:val="009A7567"/>
    <w:rsid w:val="009C29D4"/>
    <w:rsid w:val="009C5511"/>
    <w:rsid w:val="009C7EB2"/>
    <w:rsid w:val="009D1492"/>
    <w:rsid w:val="009D58A7"/>
    <w:rsid w:val="009E077B"/>
    <w:rsid w:val="009E4C9F"/>
    <w:rsid w:val="009E6361"/>
    <w:rsid w:val="009E744D"/>
    <w:rsid w:val="009F036A"/>
    <w:rsid w:val="009F34B1"/>
    <w:rsid w:val="00A04431"/>
    <w:rsid w:val="00A0696B"/>
    <w:rsid w:val="00A136A2"/>
    <w:rsid w:val="00A22CAE"/>
    <w:rsid w:val="00A2384F"/>
    <w:rsid w:val="00A2591A"/>
    <w:rsid w:val="00A374F3"/>
    <w:rsid w:val="00A46DE3"/>
    <w:rsid w:val="00A537C8"/>
    <w:rsid w:val="00A55D8C"/>
    <w:rsid w:val="00A61D9D"/>
    <w:rsid w:val="00A73988"/>
    <w:rsid w:val="00A87469"/>
    <w:rsid w:val="00A95DD3"/>
    <w:rsid w:val="00A974F7"/>
    <w:rsid w:val="00AA0012"/>
    <w:rsid w:val="00AB00DE"/>
    <w:rsid w:val="00AB3FE6"/>
    <w:rsid w:val="00AB48AD"/>
    <w:rsid w:val="00AB7211"/>
    <w:rsid w:val="00AC4F39"/>
    <w:rsid w:val="00AC66F2"/>
    <w:rsid w:val="00AD0C84"/>
    <w:rsid w:val="00AF3072"/>
    <w:rsid w:val="00AF5ADF"/>
    <w:rsid w:val="00B0330B"/>
    <w:rsid w:val="00B16941"/>
    <w:rsid w:val="00B2101A"/>
    <w:rsid w:val="00B25207"/>
    <w:rsid w:val="00B3186B"/>
    <w:rsid w:val="00B32ED2"/>
    <w:rsid w:val="00B36A09"/>
    <w:rsid w:val="00B636D2"/>
    <w:rsid w:val="00B6420D"/>
    <w:rsid w:val="00BA25E0"/>
    <w:rsid w:val="00BB453B"/>
    <w:rsid w:val="00BB5156"/>
    <w:rsid w:val="00BD2A05"/>
    <w:rsid w:val="00BD4A8F"/>
    <w:rsid w:val="00BE5CA6"/>
    <w:rsid w:val="00BF53FA"/>
    <w:rsid w:val="00BF5F75"/>
    <w:rsid w:val="00C00957"/>
    <w:rsid w:val="00C01D4C"/>
    <w:rsid w:val="00C03A89"/>
    <w:rsid w:val="00C04C1B"/>
    <w:rsid w:val="00C16E61"/>
    <w:rsid w:val="00C20557"/>
    <w:rsid w:val="00C41545"/>
    <w:rsid w:val="00C473D6"/>
    <w:rsid w:val="00C66550"/>
    <w:rsid w:val="00C945B7"/>
    <w:rsid w:val="00CB2DA4"/>
    <w:rsid w:val="00CB54B1"/>
    <w:rsid w:val="00CD3CF8"/>
    <w:rsid w:val="00CE759C"/>
    <w:rsid w:val="00CE7B8D"/>
    <w:rsid w:val="00CF2792"/>
    <w:rsid w:val="00D211A5"/>
    <w:rsid w:val="00D24631"/>
    <w:rsid w:val="00D252F8"/>
    <w:rsid w:val="00D314A3"/>
    <w:rsid w:val="00D37DD7"/>
    <w:rsid w:val="00D42E76"/>
    <w:rsid w:val="00D45D14"/>
    <w:rsid w:val="00D46173"/>
    <w:rsid w:val="00D602A0"/>
    <w:rsid w:val="00D6195A"/>
    <w:rsid w:val="00D64C40"/>
    <w:rsid w:val="00D7587F"/>
    <w:rsid w:val="00D8261E"/>
    <w:rsid w:val="00D84CDF"/>
    <w:rsid w:val="00D87118"/>
    <w:rsid w:val="00D87958"/>
    <w:rsid w:val="00D9227C"/>
    <w:rsid w:val="00D94BB3"/>
    <w:rsid w:val="00DA0E86"/>
    <w:rsid w:val="00DB0A3C"/>
    <w:rsid w:val="00DB1D59"/>
    <w:rsid w:val="00DC5601"/>
    <w:rsid w:val="00DD7B0B"/>
    <w:rsid w:val="00DE3351"/>
    <w:rsid w:val="00DF2714"/>
    <w:rsid w:val="00E00EB5"/>
    <w:rsid w:val="00E013AA"/>
    <w:rsid w:val="00E06F26"/>
    <w:rsid w:val="00E13CC3"/>
    <w:rsid w:val="00E20E97"/>
    <w:rsid w:val="00E2255E"/>
    <w:rsid w:val="00E3121C"/>
    <w:rsid w:val="00E37624"/>
    <w:rsid w:val="00E45241"/>
    <w:rsid w:val="00E52B99"/>
    <w:rsid w:val="00E56958"/>
    <w:rsid w:val="00E6297B"/>
    <w:rsid w:val="00E81EE7"/>
    <w:rsid w:val="00E860EC"/>
    <w:rsid w:val="00E87B2B"/>
    <w:rsid w:val="00E9627C"/>
    <w:rsid w:val="00E966EB"/>
    <w:rsid w:val="00EA1E32"/>
    <w:rsid w:val="00EA2D19"/>
    <w:rsid w:val="00EA2FE3"/>
    <w:rsid w:val="00EB57BA"/>
    <w:rsid w:val="00EC41C1"/>
    <w:rsid w:val="00EC4AED"/>
    <w:rsid w:val="00ED1390"/>
    <w:rsid w:val="00ED5499"/>
    <w:rsid w:val="00ED5F2E"/>
    <w:rsid w:val="00EF4710"/>
    <w:rsid w:val="00F0342C"/>
    <w:rsid w:val="00F07B2D"/>
    <w:rsid w:val="00F11A59"/>
    <w:rsid w:val="00F12BB4"/>
    <w:rsid w:val="00F12BB8"/>
    <w:rsid w:val="00F25638"/>
    <w:rsid w:val="00F338E3"/>
    <w:rsid w:val="00F469D3"/>
    <w:rsid w:val="00F81A81"/>
    <w:rsid w:val="00FA3A04"/>
    <w:rsid w:val="00FA4308"/>
    <w:rsid w:val="00FB4874"/>
    <w:rsid w:val="00FB5061"/>
    <w:rsid w:val="00FB519A"/>
    <w:rsid w:val="00FB71B4"/>
    <w:rsid w:val="00FD09B9"/>
    <w:rsid w:val="00FE08F1"/>
    <w:rsid w:val="00FE28E3"/>
    <w:rsid w:val="00FF17AA"/>
    <w:rsid w:val="00FF7821"/>
    <w:rsid w:val="72D25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360" w:lineRule="auto"/>
      <w:ind w:firstLine="709"/>
      <w:jc w:val="both"/>
    </w:pPr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  <w14:textFill>
        <w14:solidFill>
          <w14:schemeClr w14:val="tx1"/>
        </w14:solidFill>
      </w14:textFill>
    </w:rPr>
  </w:style>
  <w:style w:type="paragraph" w:styleId="3">
    <w:name w:val="heading 3"/>
    <w:basedOn w:val="1"/>
    <w:next w:val="1"/>
    <w:link w:val="28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4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5">
    <w:name w:val="heading 5"/>
    <w:basedOn w:val="1"/>
    <w:next w:val="1"/>
    <w:link w:val="29"/>
    <w:semiHidden/>
    <w:unhideWhenUsed/>
    <w:qFormat/>
    <w:uiPriority w:val="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597" w:themeColor="accent1" w:themeShade="BF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9">
    <w:name w:val="Strong"/>
    <w:basedOn w:val="6"/>
    <w:qFormat/>
    <w:uiPriority w:val="22"/>
    <w:rPr>
      <w:b/>
      <w:bCs/>
    </w:rPr>
  </w:style>
  <w:style w:type="paragraph" w:styleId="10">
    <w:name w:val="header"/>
    <w:basedOn w:val="1"/>
    <w:link w:val="40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2">
    <w:name w:val="Title"/>
    <w:basedOn w:val="1"/>
    <w:next w:val="1"/>
    <w:link w:val="19"/>
    <w:qFormat/>
    <w:uiPriority w:val="10"/>
    <w:pPr>
      <w:spacing w:after="0"/>
      <w:ind w:firstLine="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paragraph" w:styleId="13">
    <w:name w:val="footer"/>
    <w:basedOn w:val="1"/>
    <w:link w:val="4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Normal (Web)"/>
    <w:basedOn w:val="1"/>
    <w:unhideWhenUsed/>
    <w:qFormat/>
    <w:uiPriority w:val="9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5">
    <w:name w:val="HTML Preformatted"/>
    <w:basedOn w:val="1"/>
    <w:link w:val="43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  <w:lang w:eastAsia="zh-CN"/>
    </w:rPr>
  </w:style>
  <w:style w:type="table" w:styleId="16">
    <w:name w:val="Table Grid"/>
    <w:basedOn w:val="7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7">
    <w:name w:val="No Spacing"/>
    <w:qFormat/>
    <w:uiPriority w:val="1"/>
    <w:pPr>
      <w:spacing w:after="0" w:line="360" w:lineRule="auto"/>
      <w:jc w:val="both"/>
    </w:pPr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character" w:customStyle="1" w:styleId="18">
    <w:name w:val="Заголовок 1 Знак"/>
    <w:basedOn w:val="6"/>
    <w:link w:val="2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32"/>
      <w14:textFill>
        <w14:solidFill>
          <w14:schemeClr w14:val="tx1"/>
        </w14:solidFill>
      </w14:textFill>
    </w:rPr>
  </w:style>
  <w:style w:type="character" w:customStyle="1" w:styleId="19">
    <w:name w:val="Заголовок Знак"/>
    <w:basedOn w:val="6"/>
    <w:link w:val="12"/>
    <w:qFormat/>
    <w:uiPriority w:val="10"/>
    <w:rPr>
      <w:rFonts w:ascii="Times New Roman" w:hAnsi="Times New Roman" w:eastAsiaTheme="majorEastAsia" w:cstheme="majorBidi"/>
      <w:b/>
      <w:spacing w:val="-10"/>
      <w:kern w:val="28"/>
      <w:sz w:val="28"/>
      <w:szCs w:val="56"/>
    </w:rPr>
  </w:style>
  <w:style w:type="character" w:customStyle="1" w:styleId="20">
    <w:name w:val="Заголовок 4 Знак"/>
    <w:basedOn w:val="6"/>
    <w:link w:val="4"/>
    <w:semiHidden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  <w:sz w:val="28"/>
    </w:rPr>
  </w:style>
  <w:style w:type="character" w:customStyle="1" w:styleId="21">
    <w:name w:val="katex-mathml"/>
    <w:basedOn w:val="6"/>
    <w:qFormat/>
    <w:uiPriority w:val="0"/>
  </w:style>
  <w:style w:type="character" w:customStyle="1" w:styleId="22">
    <w:name w:val="mord"/>
    <w:basedOn w:val="6"/>
    <w:qFormat/>
    <w:uiPriority w:val="0"/>
  </w:style>
  <w:style w:type="character" w:customStyle="1" w:styleId="23">
    <w:name w:val="mopen"/>
    <w:basedOn w:val="6"/>
    <w:qFormat/>
    <w:uiPriority w:val="0"/>
  </w:style>
  <w:style w:type="character" w:customStyle="1" w:styleId="24">
    <w:name w:val="mbin"/>
    <w:basedOn w:val="6"/>
    <w:qFormat/>
    <w:uiPriority w:val="0"/>
  </w:style>
  <w:style w:type="character" w:customStyle="1" w:styleId="25">
    <w:name w:val="mclose"/>
    <w:basedOn w:val="6"/>
    <w:qFormat/>
    <w:uiPriority w:val="0"/>
  </w:style>
  <w:style w:type="character" w:customStyle="1" w:styleId="26">
    <w:name w:val="mrel"/>
    <w:basedOn w:val="6"/>
    <w:qFormat/>
    <w:uiPriority w:val="0"/>
  </w:style>
  <w:style w:type="character" w:styleId="27">
    <w:name w:val="Placeholder Text"/>
    <w:basedOn w:val="6"/>
    <w:semiHidden/>
    <w:qFormat/>
    <w:uiPriority w:val="99"/>
    <w:rPr>
      <w:color w:val="808080"/>
    </w:rPr>
  </w:style>
  <w:style w:type="character" w:customStyle="1" w:styleId="28">
    <w:name w:val="Заголовок 3 Знак"/>
    <w:basedOn w:val="6"/>
    <w:link w:val="3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customStyle="1" w:styleId="29">
    <w:name w:val="Заголовок 5 Знак"/>
    <w:basedOn w:val="6"/>
    <w:link w:val="5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28"/>
    </w:rPr>
  </w:style>
  <w:style w:type="character" w:customStyle="1" w:styleId="30">
    <w:name w:val="vlist-s"/>
    <w:basedOn w:val="6"/>
    <w:qFormat/>
    <w:uiPriority w:val="0"/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mspace"/>
    <w:basedOn w:val="6"/>
    <w:qFormat/>
    <w:uiPriority w:val="0"/>
  </w:style>
  <w:style w:type="character" w:customStyle="1" w:styleId="33">
    <w:name w:val="s435178ff41"/>
    <w:basedOn w:val="6"/>
    <w:qFormat/>
    <w:uiPriority w:val="0"/>
    <w:rPr>
      <w:color w:val="008013"/>
      <w:u w:val="none"/>
    </w:rPr>
  </w:style>
  <w:style w:type="character" w:customStyle="1" w:styleId="34">
    <w:name w:val="s435178ff0"/>
    <w:basedOn w:val="6"/>
    <w:qFormat/>
    <w:uiPriority w:val="0"/>
  </w:style>
  <w:style w:type="character" w:customStyle="1" w:styleId="35">
    <w:name w:val="s435178ff51"/>
    <w:basedOn w:val="6"/>
    <w:qFormat/>
    <w:uiPriority w:val="0"/>
    <w:rPr>
      <w:color w:val="0E00FF"/>
      <w:u w:val="none"/>
    </w:rPr>
  </w:style>
  <w:style w:type="paragraph" w:customStyle="1" w:styleId="36">
    <w:name w:val="Code"/>
    <w:qFormat/>
    <w:uiPriority w:val="0"/>
    <w:pPr>
      <w:pBdr>
        <w:top w:val="single" w:color="D8D8D8" w:themeColor="background1" w:themeShade="D9" w:sz="2" w:space="4"/>
        <w:left w:val="single" w:color="D8D8D8" w:themeColor="background1" w:themeShade="D9" w:sz="2" w:space="4"/>
        <w:bottom w:val="single" w:color="D8D8D8" w:themeColor="background1" w:themeShade="D9" w:sz="2" w:space="4"/>
        <w:right w:val="single" w:color="D8D8D8" w:themeColor="background1" w:themeShade="D9" w:sz="2" w:space="4"/>
      </w:pBdr>
      <w:shd w:val="clear" w:color="auto" w:fill="F1F1F1" w:themeFill="background1" w:themeFillShade="F2"/>
      <w:spacing w:before="140" w:after="140" w:line="280" w:lineRule="exact"/>
      <w:ind w:left="57" w:firstLine="113"/>
      <w:contextualSpacing/>
    </w:pPr>
    <w:rPr>
      <w:rFonts w:ascii="Consolas" w:hAnsi="Consolas" w:eastAsia="Yu Gothic Medium" w:cstheme="majorBidi"/>
      <w:sz w:val="21"/>
      <w:szCs w:val="20"/>
      <w:lang w:val="ru-RU" w:eastAsia="zh-CN" w:bidi="ar-SA"/>
    </w:rPr>
  </w:style>
  <w:style w:type="character" w:customStyle="1" w:styleId="37">
    <w:name w:val="s0383fcc10"/>
    <w:basedOn w:val="6"/>
    <w:qFormat/>
    <w:uiPriority w:val="0"/>
  </w:style>
  <w:style w:type="character" w:customStyle="1" w:styleId="38">
    <w:name w:val="s0383fcc141"/>
    <w:basedOn w:val="6"/>
    <w:qFormat/>
    <w:uiPriority w:val="0"/>
    <w:rPr>
      <w:color w:val="A709F5"/>
      <w:u w:val="none"/>
    </w:rPr>
  </w:style>
  <w:style w:type="paragraph" w:customStyle="1" w:styleId="39">
    <w:name w:val="TOC Heading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zh-CN"/>
    </w:rPr>
  </w:style>
  <w:style w:type="character" w:customStyle="1" w:styleId="40">
    <w:name w:val="Верхний колонтитул Знак"/>
    <w:basedOn w:val="6"/>
    <w:link w:val="10"/>
    <w:qFormat/>
    <w:uiPriority w:val="99"/>
    <w:rPr>
      <w:rFonts w:ascii="Times New Roman" w:hAnsi="Times New Roman"/>
      <w:sz w:val="28"/>
    </w:rPr>
  </w:style>
  <w:style w:type="character" w:customStyle="1" w:styleId="41">
    <w:name w:val="Нижний колонтитул Знак"/>
    <w:basedOn w:val="6"/>
    <w:link w:val="13"/>
    <w:qFormat/>
    <w:uiPriority w:val="99"/>
    <w:rPr>
      <w:rFonts w:ascii="Times New Roman" w:hAnsi="Times New Roman"/>
      <w:sz w:val="28"/>
    </w:rPr>
  </w:style>
  <w:style w:type="character" w:customStyle="1" w:styleId="42">
    <w:name w:val="vevariablevaluesummary"/>
    <w:basedOn w:val="6"/>
    <w:qFormat/>
    <w:uiPriority w:val="0"/>
  </w:style>
  <w:style w:type="character" w:customStyle="1" w:styleId="43">
    <w:name w:val="Стандартный HTML Знак"/>
    <w:basedOn w:val="6"/>
    <w:link w:val="15"/>
    <w:qFormat/>
    <w:uiPriority w:val="99"/>
    <w:rPr>
      <w:rFonts w:ascii="Courier New" w:hAnsi="Courier New" w:cs="Courier New"/>
      <w:sz w:val="20"/>
      <w:szCs w:val="20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numbering" Target="numbering.xml"/><Relationship Id="rId35" Type="http://schemas.openxmlformats.org/officeDocument/2006/relationships/image" Target="media/image29.emf"/><Relationship Id="rId34" Type="http://schemas.openxmlformats.org/officeDocument/2006/relationships/image" Target="media/image28.emf"/><Relationship Id="rId33" Type="http://schemas.openxmlformats.org/officeDocument/2006/relationships/image" Target="media/image27.emf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emf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8943B5-A19D-4C5A-BA7D-976E435EC56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Words>2142</Words>
  <Characters>12211</Characters>
  <Lines>101</Lines>
  <Paragraphs>28</Paragraphs>
  <TotalTime>1</TotalTime>
  <ScaleCrop>false</ScaleCrop>
  <LinksUpToDate>false</LinksUpToDate>
  <CharactersWithSpaces>14325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2024-12-20T12:41:00Z</dcterms:created>
  <dc:creator>Денис</dc:creator>
  <cp:lastModifiedBy>stepanfilimonov</cp:lastModifiedBy>
  <cp:lastPrinted>2024-12-23T08:57:00Z</cp:lastPrinted>
  <dcterms:modified xsi:type="dcterms:W3CDTF">2025-01-16T10:57:14Z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EC6B667D63074C089D506A14489DC1BF_12</vt:lpwstr>
  </property>
</Properties>
</file>