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grew 12.5% in Q3, reaching R1,250,000. Costs: 300; margin: 76%.</w:t>
      </w:r>
    </w:p>
    <w:p>
      <w:pPr>
        <w:pStyle w:val="Heading2"/>
      </w:pPr>
      <w:r>
        <w:t>Details</w:t>
      </w:r>
    </w:p>
    <w:p>
      <w:r>
        <w:t>Line one</w:t>
        <w:br/>
        <w:t>Line two after a soft break.</w:t>
      </w:r>
    </w:p>
    <w:p>
      <w:r>
        <w:t>Contact: sales@example.com, https://example.com/report, +27 82 123 4567.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