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INSIGHTS — ANÁLISIS DE ATRICIÓN DE EMPLEADOS</w:t>
      </w:r>
    </w:p>
    <w:p>
      <w:r>
        <w:rPr>
          <w:b/>
        </w:rPr>
        <w:t>Resumen del análisis</w:t>
      </w:r>
    </w:p>
    <w:p>
      <w:r>
        <w:t>El análisis del conjunto de datos de empleados permitió identificar patrones relacionados con la rotación (Attrition), los salarios, la satisfacción laboral, el equilibrio entre trabajo y vida personal y las horas extra.</w:t>
      </w:r>
    </w:p>
    <w:p>
      <w:r>
        <w:rPr>
          <w:b/>
        </w:rPr>
        <w:t>1. Indicadores generales</w:t>
      </w:r>
    </w:p>
    <w:p>
      <w:r>
        <w:t>El conjunto de datos contiene 1.470 empleados. De ellos, 237 abandonaron la empresa, lo que representa una tasa de atrición del 16,12 %. El ingreso mensual promedio es de 6.502,93 y el promedio de años totales de trabajo es de 11,28.</w:t>
      </w:r>
    </w:p>
    <w:p>
      <w:r>
        <w:rPr>
          <w:b/>
        </w:rPr>
        <w:t>2. Atrición y horas extra</w:t>
      </w:r>
    </w:p>
    <w:p>
      <w:r>
        <w:t>Las horas extra presentan una relación clara con la atrición. Entre los empleados que no realizan horas extra, la tasa de atrición es de aproximadamente 10,44 %, mientras que entre quienes realizan horas extra aumenta hasta 30,53 %. Esto indica que la carga laboral asociada con las horas extra podría estar relacionada con una mayor rotación.</w:t>
      </w:r>
    </w:p>
    <w:p>
      <w:r>
        <w:rPr>
          <w:b/>
        </w:rPr>
        <w:t>3. Atrición y satisfacción laboral</w:t>
      </w:r>
    </w:p>
    <w:p>
      <w:r>
        <w:t>La tasa de atrición es mayor entre los empleados con el nivel más bajo de satisfacción laboral (22,84 %) y disminuye hasta 11,33 % entre quienes presentan el nivel más alto de satisfacción. Los resultados sugieren que una menor satisfacción laboral está asociada con una mayor probabilidad de abandono.</w:t>
      </w:r>
    </w:p>
    <w:p>
      <w:r>
        <w:rPr>
          <w:b/>
        </w:rPr>
        <w:t>4. Atrición y equilibrio entre trabajo y vida personal</w:t>
      </w:r>
    </w:p>
    <w:p>
      <w:r>
        <w:t>El grupo con el nivel más bajo de equilibrio entre trabajo y vida personal presenta la mayor tasa de atrición, con 31,25 %. Los niveles 2, 3 y 4 presentan tasas de 16,86 %, 14,22 % y 17,65 %, respectivamente. El resultado destaca la importancia del equilibrio laboral dentro del análisis de rotación.</w:t>
      </w:r>
    </w:p>
    <w:p>
      <w:r>
        <w:rPr>
          <w:b/>
        </w:rPr>
        <w:t>5. Atrición por departamento</w:t>
      </w:r>
    </w:p>
    <w:p>
      <w:r>
        <w:t>El departamento de Ventas presenta la mayor tasa de atrición, con 20,63 %, seguido por Recursos Humanos con 19,05 % e Investigación y Desarrollo con 13,84 %. Aunque Investigación y Desarrollo concentra la mayor cantidad de empleados, su tasa de atrición es menor que la observada en Ventas.</w:t>
      </w:r>
    </w:p>
    <w:p>
      <w:r>
        <w:rPr>
          <w:b/>
        </w:rPr>
        <w:t>6. Atrición por puesto</w:t>
      </w:r>
    </w:p>
    <w:p>
      <w:r>
        <w:t>Los puestos con mayores tasas de atrición son Representante de Ventas (39,76 %), Técnico de Laboratorio (23,94 %) y Recursos Humanos (23,08 %). En contraste, Director de Investigación presenta una tasa de 2,50 %, mientras que los puestos de Gerente y Director de Manufactura presentan tasas de 4,90 % y 6,90 %, respectivamente.</w:t>
      </w:r>
    </w:p>
    <w:p>
      <w:r>
        <w:rPr>
          <w:b/>
        </w:rPr>
        <w:t>7. Ingresos y departamentos</w:t>
      </w:r>
    </w:p>
    <w:p>
      <w:r>
        <w:t>El ingreso mensual promedio es diferente entre departamentos. Ventas presenta un promedio de 6.959,17, Recursos Humanos 6.654,51 e Investigación y Desarrollo 6.281,25. Por puesto, los ingresos promedio más altos corresponden a Gerente (17.181,68) y Director de Investigación (16.033,55).</w:t>
      </w:r>
    </w:p>
    <w:p>
      <w:r>
        <w:rPr>
          <w:b/>
        </w:rPr>
        <w:t>8. Distribución de empleados</w:t>
      </w:r>
    </w:p>
    <w:p>
      <w:r>
        <w:t>Investigación y Desarrollo es el departamento con mayor cantidad de empleados, con 961 personas, seguido por Ventas con 446 y Recursos Humanos con 63. Esta distribución debe considerarse al interpretar los valores absolutos de atrición.</w:t>
      </w:r>
    </w:p>
    <w:p>
      <w:r>
        <w:rPr>
          <w:b/>
        </w:rPr>
        <w:t>Conclusión</w:t>
      </w:r>
    </w:p>
    <w:p>
      <w:r>
        <w:t>Los principales factores asociados con una mayor atrición en el conjunto de datos son las horas extra, los bajos niveles de satisfacción laboral y un menor equilibrio entre trabajo y vida personal. También se observan diferencias importantes entre departamentos y puestos. Estos resultados pueden ayudar a identificar grupos que requieren mayor atención y apoyar futuras estrategias de retención. Sin embargo, las relaciones observadas son asociaciones estadísticas y no demuestran por sí mismas una relación causal.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