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Healthcare No-Shows – Insights</w:t>
      </w:r>
    </w:p>
    <w:p>
      <w:pPr>
        <w:jc w:val="center"/>
      </w:pPr>
      <w:r>
        <w:rPr>
          <w:i/>
        </w:rPr>
        <w:t>VOLTIX Internship – Task 8 | Excel Dashboard Analysis</w:t>
      </w:r>
    </w:p>
    <w:p>
      <w:pPr>
        <w:pStyle w:val="Heading1"/>
      </w:pPr>
      <w:r>
        <w:t>1. Dataset Overview</w:t>
      </w:r>
    </w:p>
    <w:p>
      <w:r>
        <w:t>The dataset contains 106,987 medical appointments. Overall, 85,307 appointments were attended and 21,680 resulted in a no-show, representing an overall no-show rate of 20.26%.</w:t>
      </w:r>
    </w:p>
    <w:p>
      <w:r>
        <w:t>The average patient age is 38.32 years, while the average waiting time between scheduling and the appointment is 10.17 days.</w:t>
      </w:r>
    </w:p>
    <w:p>
      <w:pPr>
        <w:pStyle w:val="Heading1"/>
      </w:pPr>
      <w:r>
        <w:t>2. Attendance Insights</w:t>
      </w:r>
    </w:p>
    <w:p>
      <w:r>
        <w:t>No-shows account for 20.26% of all appointments. This indicates that missed appointments represent a meaningful share of scheduled healthcare visits and should be monitored when planning capacity and patient communication.</w:t>
      </w:r>
    </w:p>
    <w:p>
      <w:pPr>
        <w:pStyle w:val="Heading1"/>
      </w:pPr>
      <w:r>
        <w:t>3. Gender Patterns</w:t>
      </w:r>
    </w:p>
    <w:p>
      <w:r>
        <w:t>Gender F: 70,118 appointments with a no-show rate of 20.36%.</w:t>
      </w:r>
    </w:p>
    <w:p>
      <w:r>
        <w:t>Gender M: 36,869 appointments with a no-show rate of 20.08%.</w:t>
      </w:r>
    </w:p>
    <w:p>
      <w:r>
        <w:t>The observed no-show rates differ by gender in this dataset, with the highest observed rate among gender F (20.36%). These differences describe the dataset and do not establish a causal relationship.</w:t>
      </w:r>
    </w:p>
    <w:p>
      <w:pPr>
        <w:pStyle w:val="Heading1"/>
      </w:pPr>
      <w:r>
        <w:t>4. Age Group Patterns</w:t>
      </w:r>
    </w:p>
    <w:p>
      <w:r>
        <w:t>Age group 0-17: 23,840 appointments and a no-show rate of 22.47%.</w:t>
      </w:r>
    </w:p>
    <w:p>
      <w:r>
        <w:t>Age group 18-29: 16,731 appointments and a no-show rate of 24.65%.</w:t>
      </w:r>
    </w:p>
    <w:p>
      <w:r>
        <w:t>Age group 30-44: 22,022 appointments and a no-show rate of 21.82%.</w:t>
      </w:r>
    </w:p>
    <w:p>
      <w:r>
        <w:t>Age group 45-59: 23,221 appointments and a no-show rate of 17.87%.</w:t>
      </w:r>
    </w:p>
    <w:p>
      <w:r>
        <w:t>Age group 60-74: 15,237 appointments and a no-show rate of 15.04%.</w:t>
      </w:r>
    </w:p>
    <w:p>
      <w:r>
        <w:t>Age group 75+: 5,936 appointments and a no-show rate of 16.02%.</w:t>
      </w:r>
    </w:p>
    <w:p>
      <w:r>
        <w:t>The highest observed no-show rate occurs in the 18-29 age group (24.65%). Age-group comparisons can help identify segments that may require closer monitoring.</w:t>
      </w:r>
    </w:p>
    <w:p>
      <w:pPr>
        <w:pStyle w:val="Heading1"/>
      </w:pPr>
      <w:r>
        <w:t>5. SMS Reminder Pattern</w:t>
      </w:r>
    </w:p>
    <w:p>
      <w:r>
        <w:t>SMS not received: 72,402 appointments with a no-show rate of 16.73%.</w:t>
      </w:r>
    </w:p>
    <w:p>
      <w:r>
        <w:t>SMS received: 34,585 appointments with a no-show rate of 27.67%.</w:t>
      </w:r>
    </w:p>
    <w:p>
      <w:r>
        <w:t>The no-show rate was 27.67% among appointments with an SMS recorded and 16.73% among appointments without an SMS recorded. This is an observational comparison and should not be interpreted as evidence that SMS reminders caused a change in attendance.</w:t>
      </w:r>
    </w:p>
    <w:p>
      <w:pPr>
        <w:pStyle w:val="Heading1"/>
      </w:pPr>
      <w:r>
        <w:t>6. Appointment Weekday Patterns</w:t>
      </w:r>
    </w:p>
    <w:p>
      <w:r>
        <w:t>Monday: 21,903 appointments and a no-show rate of 20.61%.</w:t>
      </w:r>
    </w:p>
    <w:p>
      <w:r>
        <w:t>Tuesday: 24,831 appointments and a no-show rate of 20.23%.</w:t>
      </w:r>
    </w:p>
    <w:p>
      <w:r>
        <w:t>Wednesday: 25,090 appointments and a no-show rate of 19.72%.</w:t>
      </w:r>
    </w:p>
    <w:p>
      <w:r>
        <w:t>Thursday: 16,659 appointments and a no-show rate of 19.47%.</w:t>
      </w:r>
    </w:p>
    <w:p>
      <w:r>
        <w:t>Friday: 18,465 appointments and a no-show rate of 21.34%.</w:t>
      </w:r>
    </w:p>
    <w:p>
      <w:r>
        <w:t>Saturday: 39 appointments and a no-show rate of 23.08%.</w:t>
      </w:r>
    </w:p>
    <w:p>
      <w:r>
        <w:t>The highest observed weekday no-show rate is on Saturday (23.08%).</w:t>
      </w:r>
    </w:p>
    <w:p>
      <w:pPr>
        <w:pStyle w:val="Heading1"/>
      </w:pPr>
      <w:r>
        <w:t>7. Data Preparation</w:t>
      </w:r>
    </w:p>
    <w:p>
      <w:r>
        <w:t>The data was prepared before analysis by standardizing column names and text fields, converting date fields to valid date types, validating numeric fields, and creating analytical fields such as Age_Group, Wait_Days, Attendance_Status, SMS_Status, Appointment_Weekday, and Appointment_Month.</w:t>
      </w:r>
    </w:p>
    <w:p>
      <w:r>
        <w:t>5 records contained negative waiting-time values in the original Date.diff field. These values were corrected to zero during preparation.</w:t>
      </w:r>
    </w:p>
    <w:p>
      <w:pPr>
        <w:pStyle w:val="Heading1"/>
      </w:pPr>
      <w:r>
        <w:t>8. Actionable Conclusions</w:t>
      </w:r>
    </w:p>
    <w:p>
      <w:pPr>
        <w:pStyle w:val="ListBullet"/>
      </w:pPr>
      <w:r>
        <w:t>Monitor no-show rates regularly by age group, weekday, gender, and SMS status to identify segments with different attendance patterns.</w:t>
      </w:r>
    </w:p>
    <w:p>
      <w:pPr>
        <w:pStyle w:val="ListBullet"/>
      </w:pPr>
      <w:r>
        <w:t>Use the interactive Excel dashboard to compare filtered segments rather than relying only on the overall no-show rate.</w:t>
      </w:r>
    </w:p>
    <w:p>
      <w:pPr>
        <w:pStyle w:val="ListBullet"/>
      </w:pPr>
      <w:r>
        <w:t>Review appointment scheduling and reminder processes for groups or days showing higher observed no-show rates.</w:t>
      </w:r>
    </w:p>
    <w:p>
      <w:pPr>
        <w:pStyle w:val="ListBullet"/>
      </w:pPr>
      <w:r>
        <w:t>Use SMS status as an operational monitoring variable, while avoiding causal conclusions from this observational dataset alone.</w:t>
      </w:r>
    </w:p>
    <w:p>
      <w:pPr>
        <w:pStyle w:val="ListBullet"/>
      </w:pPr>
      <w:r>
        <w:t>Continue validating data quality before reporting KPIs so that date, age, and waiting-time inconsistencies do not distort the analysis.</w:t>
      </w:r>
    </w:p>
    <w:p>
      <w:pPr>
        <w:pStyle w:val="Heading1"/>
      </w:pPr>
      <w:r>
        <w:t>9. Key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appointments</w:t>
            </w:r>
          </w:p>
        </w:tc>
        <w:tc>
          <w:tcPr>
            <w:tcW w:type="dxa" w:w="4320"/>
          </w:tcPr>
          <w:p>
            <w:r>
              <w:t>106,987</w:t>
            </w:r>
          </w:p>
        </w:tc>
      </w:tr>
      <w:tr>
        <w:tc>
          <w:tcPr>
            <w:tcW w:type="dxa" w:w="4320"/>
          </w:tcPr>
          <w:p>
            <w:r>
              <w:t>Attended</w:t>
            </w:r>
          </w:p>
        </w:tc>
        <w:tc>
          <w:tcPr>
            <w:tcW w:type="dxa" w:w="4320"/>
          </w:tcPr>
          <w:p>
            <w:r>
              <w:t>85,307</w:t>
            </w:r>
          </w:p>
        </w:tc>
      </w:tr>
      <w:tr>
        <w:tc>
          <w:tcPr>
            <w:tcW w:type="dxa" w:w="4320"/>
          </w:tcPr>
          <w:p>
            <w:r>
              <w:t>No-shows</w:t>
            </w:r>
          </w:p>
        </w:tc>
        <w:tc>
          <w:tcPr>
            <w:tcW w:type="dxa" w:w="4320"/>
          </w:tcPr>
          <w:p>
            <w:r>
              <w:t>21,680</w:t>
            </w:r>
          </w:p>
        </w:tc>
      </w:tr>
      <w:tr>
        <w:tc>
          <w:tcPr>
            <w:tcW w:type="dxa" w:w="4320"/>
          </w:tcPr>
          <w:p>
            <w:r>
              <w:t>Overall no-show rate</w:t>
            </w:r>
          </w:p>
        </w:tc>
        <w:tc>
          <w:tcPr>
            <w:tcW w:type="dxa" w:w="4320"/>
          </w:tcPr>
          <w:p>
            <w:r>
              <w:t>20.26%</w:t>
            </w:r>
          </w:p>
        </w:tc>
      </w:tr>
      <w:tr>
        <w:tc>
          <w:tcPr>
            <w:tcW w:type="dxa" w:w="4320"/>
          </w:tcPr>
          <w:p>
            <w:r>
              <w:t>Average age</w:t>
            </w:r>
          </w:p>
        </w:tc>
        <w:tc>
          <w:tcPr>
            <w:tcW w:type="dxa" w:w="4320"/>
          </w:tcPr>
          <w:p>
            <w:r>
              <w:t>38.32 years</w:t>
            </w:r>
          </w:p>
        </w:tc>
      </w:tr>
      <w:tr>
        <w:tc>
          <w:tcPr>
            <w:tcW w:type="dxa" w:w="4320"/>
          </w:tcPr>
          <w:p>
            <w:r>
              <w:t>Average wait time</w:t>
            </w:r>
          </w:p>
        </w:tc>
        <w:tc>
          <w:tcPr>
            <w:tcW w:type="dxa" w:w="4320"/>
          </w:tcPr>
          <w:p>
            <w:r>
              <w:t>10.17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