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C2340"/>
          <w:sz w:val="40"/>
          <w:szCs w:val="40"/>
        </w:rPr>
        <w:t xml:space="preserve">iCFO Points</w:t>
      </w:r>
    </w:p>
    <w:p>
      <w:pPr>
        <w:spacing w:after="40"/>
        <w:jc w:val="center"/>
      </w:pPr>
      <w:r>
        <w:rPr>
          <w:b/>
          <w:bCs/>
          <w:color w:val="0C2340"/>
          <w:sz w:val="28"/>
          <w:szCs w:val="28"/>
        </w:rPr>
        <w:t xml:space="preserve">Program Rules &amp; Terms</w:t>
      </w:r>
    </w:p>
    <w:p>
      <w:pPr>
        <w:spacing w:after="200"/>
        <w:jc w:val="center"/>
      </w:pPr>
      <w:r>
        <w:rPr>
          <w:i/>
          <w:iCs/>
          <w:color w:val="5A6473"/>
          <w:sz w:val="20"/>
          <w:szCs w:val="20"/>
        </w:rPr>
        <w:t xml:space="preserve">DRAFT FOR COUNSEL REVIEW — iCFO Capital Global, Inc.</w:t>
      </w:r>
    </w:p>
    <w:p>
      <w:pPr>
        <w:pBdr>
          <w:top w:val="single" w:color="D0D5DD" w:sz="6" w:space="8"/>
          <w:bottom w:val="single" w:color="D0D5DD" w:sz="6" w:space="8"/>
        </w:pBdr>
        <w:spacing w:after="240"/>
      </w:pPr>
      <w:r>
        <w:rPr>
          <w:i/>
          <w:iCs/>
          <w:color w:val="5A6473"/>
          <w:sz w:val="18"/>
          <w:szCs w:val="18"/>
        </w:rPr>
        <w:t xml:space="preserve">Not legal advice. This draft was prepared to be reviewed by qualified securities and consumer-finance counsel before publication or launch. Bracketed items are decisions for iCFO to set. Please redline directly.</w:t>
      </w:r>
    </w:p>
    <w:p>
      <w:pPr>
        <w:pStyle w:val="Heading1"/>
        <w:spacing w:after="120" w:before="240"/>
      </w:pPr>
      <w:r>
        <w:rPr>
          <w:b/>
          <w:bCs/>
          <w:color w:val="0C2340"/>
        </w:rPr>
        <w:t xml:space="preserve">1. What iCFO Points are</w:t>
      </w:r>
    </w:p>
    <w:p>
      <w:pPr>
        <w:spacing w:after="120"/>
      </w:pPr>
      <w:r>
        <w:t xml:space="preserve">iCFO Points (“Points”) are a loyalty and engagement reward earned by participating in iCFO events and community activities, and redeemable for eligible iCFO products and services described below. Points are an internal rewards unit. </w:t>
      </w:r>
    </w:p>
    <w:p>
      <w:pPr>
        <w:spacing w:after="120"/>
      </w:pPr>
      <w:r>
        <w:rPr>
          <w:b/>
          <w:bCs/>
        </w:rPr>
        <w:t xml:space="preserve">They are not money, currency, legal tender, a stored-value instrument, a gift card, a security, or a deposit. Points have no cash value and are never redeemable for cash.</w:t>
      </w:r>
    </w:p>
    <w:p>
      <w:pPr>
        <w:pStyle w:val="Heading1"/>
        <w:spacing w:after="120" w:before="240"/>
      </w:pPr>
      <w:r>
        <w:rPr>
          <w:b/>
          <w:bCs/>
          <w:color w:val="0C2340"/>
        </w:rPr>
        <w:t xml:space="preserve">2. No cash value</w:t>
      </w:r>
    </w:p>
    <w:p>
      <w:pPr>
        <w:spacing w:after="120"/>
      </w:pPr>
      <w:r>
        <w:t xml:space="preserve">Points have no cash value and cannot be exchanged, redeemed, or refunded for cash; cannot be sold, transferred, assigned, gifted, pooled across accounts, or used as collateral; and confer no ownership, equity, or financial claim in iCFO, any issuer, or any offering. Points are not insured by any government agency and are not a bank product.</w:t>
      </w:r>
    </w:p>
    <w:p>
      <w:pPr>
        <w:pStyle w:val="Heading1"/>
        <w:spacing w:after="120" w:before="240"/>
      </w:pPr>
      <w:r>
        <w:rPr>
          <w:b/>
          <w:bCs/>
          <w:color w:val="0C2340"/>
        </w:rPr>
        <w:t xml:space="preserve">3. Eligibility</w:t>
      </w:r>
    </w:p>
    <w:p>
      <w:pPr>
        <w:spacing w:after="120"/>
      </w:pPr>
      <w:r>
        <w:t xml:space="preserve">Points are available to registered iCFO users in good standing who accept these terms. One rewards balance per verified account. We may exclude users, roles, or jurisdictions where the program is restricted.</w:t>
      </w:r>
    </w:p>
    <w:p>
      <w:pPr>
        <w:pStyle w:val="Heading1"/>
        <w:spacing w:after="120" w:before="240"/>
      </w:pPr>
      <w:r>
        <w:rPr>
          <w:b/>
          <w:bCs/>
          <w:color w:val="0C2340"/>
        </w:rPr>
        <w:t xml:space="preserve">4. How Points are earned</w:t>
      </w:r>
    </w:p>
    <w:p>
      <w:pPr>
        <w:spacing w:after="120"/>
      </w:pPr>
      <w:r>
        <w:t xml:space="preserve">Points are awarded for community and educational participation (see table). Point values are set by iCFO and may change. Points are </w:t>
      </w:r>
      <w:r>
        <w:rPr>
          <w:b/>
          <w:bCs/>
        </w:rPr>
        <w:t xml:space="preserve">not</w:t>
      </w:r>
      <w:r>
        <w:t xml:space="preserve"> awarded for making, referring, or facilitating any investment or securities-related activity. We may set caps, require verification, and reverse Points awarded in error or through abuse.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000"/>
        <w:gridCol w:w="2640"/>
      </w:tblGrid>
      <w:tr>
        <w:trPr>
          <w:tblHeader/>
        </w:trPr>
        <w:tc>
          <w:tcPr>
            <w:tcW w:type="dxa" w:w="6000"/>
            <w:shd w:fill="0C2340" w:val="clear"/>
          </w:tcPr>
          <w:p>
            <w:r>
              <w:rPr>
                <w:b/>
                <w:bCs/>
                <w:color w:val="FFFFFF"/>
              </w:rPr>
              <w:t xml:space="preserve">Action</w:t>
            </w:r>
          </w:p>
        </w:tc>
        <w:tc>
          <w:tcPr>
            <w:tcW w:type="dxa" w:w="2640"/>
            <w:shd w:fill="0C2340" w:val="clear"/>
          </w:tcPr>
          <w:p>
            <w:r>
              <w:rPr>
                <w:b/>
                <w:bCs/>
                <w:color w:val="FFFFFF"/>
              </w:rPr>
              <w:t xml:space="preserve">Points</w:t>
            </w:r>
          </w:p>
        </w:tc>
      </w:tr>
      <w:tr>
        <w:trPr>
          <w:tblHeader w:val="false"/>
        </w:trPr>
        <w:tc>
          <w:tcPr>
            <w:tcW w:type="dxa" w:w="6000"/>
          </w:tcPr>
          <w:p>
            <w:r>
              <w:rPr>
                <w:b w:val="false"/>
                <w:bCs w:val="false"/>
                <w:color w:val="000000"/>
              </w:rPr>
              <w:t xml:space="preserve">Register for an event</w:t>
            </w:r>
          </w:p>
        </w:tc>
        <w:tc>
          <w:tcPr>
            <w:tcW w:type="dxa" w:w="2640"/>
          </w:tcPr>
          <w:p>
            <w:r>
              <w:rPr>
                <w:b w:val="false"/>
                <w:bCs w:val="false"/>
                <w:color w:val="000000"/>
              </w:rPr>
              <w:t xml:space="preserve">[10]</w:t>
            </w:r>
          </w:p>
        </w:tc>
      </w:tr>
      <w:tr>
        <w:trPr>
          <w:tblHeader w:val="false"/>
        </w:trPr>
        <w:tc>
          <w:tcPr>
            <w:tcW w:type="dxa" w:w="6000"/>
          </w:tcPr>
          <w:p>
            <w:r>
              <w:rPr>
                <w:b w:val="false"/>
                <w:bCs w:val="false"/>
                <w:color w:val="000000"/>
              </w:rPr>
              <w:t xml:space="preserve">Watch a session</w:t>
            </w:r>
          </w:p>
        </w:tc>
        <w:tc>
          <w:tcPr>
            <w:tcW w:type="dxa" w:w="2640"/>
          </w:tcPr>
          <w:p>
            <w:r>
              <w:rPr>
                <w:b w:val="false"/>
                <w:bCs w:val="false"/>
                <w:color w:val="000000"/>
              </w:rPr>
              <w:t xml:space="preserve">[15]</w:t>
            </w:r>
          </w:p>
        </w:tc>
      </w:tr>
      <w:tr>
        <w:trPr>
          <w:tblHeader w:val="false"/>
        </w:trPr>
        <w:tc>
          <w:tcPr>
            <w:tcW w:type="dxa" w:w="6000"/>
          </w:tcPr>
          <w:p>
            <w:r>
              <w:rPr>
                <w:b w:val="false"/>
                <w:bCs w:val="false"/>
                <w:color w:val="000000"/>
              </w:rPr>
              <w:t xml:space="preserve">Apply to present</w:t>
            </w:r>
          </w:p>
        </w:tc>
        <w:tc>
          <w:tcPr>
            <w:tcW w:type="dxa" w:w="2640"/>
          </w:tcPr>
          <w:p>
            <w:r>
              <w:rPr>
                <w:b w:val="false"/>
                <w:bCs w:val="false"/>
                <w:color w:val="000000"/>
              </w:rPr>
              <w:t xml:space="preserve">[20]</w:t>
            </w:r>
          </w:p>
        </w:tc>
      </w:tr>
      <w:tr>
        <w:trPr>
          <w:tblHeader w:val="false"/>
        </w:trPr>
        <w:tc>
          <w:tcPr>
            <w:tcW w:type="dxa" w:w="6000"/>
          </w:tcPr>
          <w:p>
            <w:r>
              <w:rPr>
                <w:b w:val="false"/>
                <w:bCs w:val="false"/>
                <w:color w:val="000000"/>
              </w:rPr>
              <w:t xml:space="preserve">Get approved to present</w:t>
            </w:r>
          </w:p>
        </w:tc>
        <w:tc>
          <w:tcPr>
            <w:tcW w:type="dxa" w:w="2640"/>
          </w:tcPr>
          <w:p>
            <w:r>
              <w:rPr>
                <w:b w:val="false"/>
                <w:bCs w:val="false"/>
                <w:color w:val="000000"/>
              </w:rPr>
              <w:t xml:space="preserve">[50]</w:t>
            </w:r>
          </w:p>
        </w:tc>
      </w:tr>
      <w:tr>
        <w:trPr>
          <w:tblHeader w:val="false"/>
        </w:trPr>
        <w:tc>
          <w:tcPr>
            <w:tcW w:type="dxa" w:w="6000"/>
          </w:tcPr>
          <w:p>
            <w:r>
              <w:rPr>
                <w:b w:val="false"/>
                <w:bCs w:val="false"/>
                <w:color w:val="000000"/>
              </w:rPr>
              <w:t xml:space="preserve">Opt into networking</w:t>
            </w:r>
          </w:p>
        </w:tc>
        <w:tc>
          <w:tcPr>
            <w:tcW w:type="dxa" w:w="2640"/>
          </w:tcPr>
          <w:p>
            <w:r>
              <w:rPr>
                <w:b w:val="false"/>
                <w:bCs w:val="false"/>
                <w:color w:val="000000"/>
              </w:rPr>
              <w:t xml:space="preserve">[5]</w:t>
            </w:r>
          </w:p>
        </w:tc>
      </w:tr>
      <w:tr>
        <w:trPr>
          <w:tblHeader w:val="false"/>
        </w:trPr>
        <w:tc>
          <w:tcPr>
            <w:tcW w:type="dxa" w:w="6000"/>
          </w:tcPr>
          <w:p>
            <w:r>
              <w:rPr>
                <w:b w:val="false"/>
                <w:bCs w:val="false"/>
                <w:color w:val="000000"/>
              </w:rPr>
              <w:t xml:space="preserve">Accept a connection</w:t>
            </w:r>
          </w:p>
        </w:tc>
        <w:tc>
          <w:tcPr>
            <w:tcW w:type="dxa" w:w="2640"/>
          </w:tcPr>
          <w:p>
            <w:r>
              <w:rPr>
                <w:b w:val="false"/>
                <w:bCs w:val="false"/>
                <w:color w:val="000000"/>
              </w:rPr>
              <w:t xml:space="preserve">[15]</w:t>
            </w:r>
          </w:p>
        </w:tc>
      </w:tr>
      <w:tr>
        <w:trPr>
          <w:tblHeader w:val="false"/>
        </w:trPr>
        <w:tc>
          <w:tcPr>
            <w:tcW w:type="dxa" w:w="6000"/>
          </w:tcPr>
          <w:p>
            <w:r>
              <w:rPr>
                <w:b w:val="false"/>
                <w:bCs w:val="false"/>
                <w:color w:val="000000"/>
              </w:rPr>
              <w:t xml:space="preserve">Complete a mission (bundle of actions)</w:t>
            </w:r>
          </w:p>
        </w:tc>
        <w:tc>
          <w:tcPr>
            <w:tcW w:type="dxa" w:w="2640"/>
          </w:tcPr>
          <w:p>
            <w:r>
              <w:rPr>
                <w:b w:val="false"/>
                <w:bCs w:val="false"/>
                <w:color w:val="000000"/>
              </w:rPr>
              <w:t xml:space="preserve">[bonus, e.g. 25]</w:t>
            </w:r>
          </w:p>
        </w:tc>
      </w:tr>
    </w:tbl>
    <w:p>
      <w:pPr>
        <w:spacing w:after="120"/>
      </w:pPr>
    </w:p>
    <w:p>
      <w:pPr>
        <w:pStyle w:val="Heading1"/>
        <w:spacing w:after="120" w:before="240"/>
      </w:pPr>
      <w:r>
        <w:rPr>
          <w:b/>
          <w:bCs/>
          <w:color w:val="0C2340"/>
        </w:rPr>
        <w:t xml:space="preserve">5. How Points are redeemed</w:t>
      </w:r>
    </w:p>
    <w:p>
      <w:pPr>
        <w:spacing w:after="120"/>
      </w:pPr>
      <w:r>
        <w:t xml:space="preserve">Points may be redeemed only within the iCFO network, for a defined menu of eligible services set by iCFO. Redemption value is expressed as Points per service, not as a dollar amount. </w:t>
      </w:r>
      <w:r>
        <w:rPr>
          <w:b/>
          <w:bCs/>
        </w:rPr>
        <w:t xml:space="preserve">Points may not be redeemed toward, or used to offset,</w:t>
      </w:r>
      <w:r>
        <w:t xml:space="preserve"> the purchase of any security; investment, subscription, carry, or deal fees; SPV or fund costs; cash or cash-equivalents; or any amount owed in connection with an actual or prospective investment.</w:t>
      </w:r>
    </w:p>
    <w:p>
      <w:pPr>
        <w:pStyle w:val="Heading1"/>
        <w:spacing w:after="120" w:before="240"/>
      </w:pPr>
      <w:r>
        <w:rPr>
          <w:b/>
          <w:bCs/>
          <w:color w:val="0C2340"/>
        </w:rPr>
        <w:t xml:space="preserve">6. Carrying your balance</w:t>
      </w:r>
    </w:p>
    <w:p>
      <w:pPr>
        <w:spacing w:after="120"/>
      </w:pPr>
      <w:r>
        <w:t xml:space="preserve">Users may carry their Point balance across events and view it in their account. Your balance reflects Points earned minus Points redeemed, reversed, expired, or forfeited. iCFO’s records are final absent manifest error.</w:t>
      </w:r>
    </w:p>
    <w:p>
      <w:pPr>
        <w:pStyle w:val="Heading1"/>
        <w:spacing w:after="120" w:before="240"/>
      </w:pPr>
      <w:r>
        <w:rPr>
          <w:b/>
          <w:bCs/>
          <w:color w:val="0C2340"/>
        </w:rPr>
        <w:t xml:space="preserve">7. Expiration and forfeiture</w:t>
      </w:r>
    </w:p>
    <w:p>
      <w:pPr>
        <w:spacing w:after="120"/>
      </w:pPr>
      <w:r>
        <w:t xml:space="preserve">Points expire [12] months after they are earned, or after [12] months of account inactivity, whichever comes first. Unredeemed Points are forfeited without compensation upon expiration, account closure, or termination of the program. We may cancel Points obtained through error, fraud, abuse, or violation of these terms.</w:t>
      </w:r>
    </w:p>
    <w:p>
      <w:pPr>
        <w:pStyle w:val="Heading1"/>
        <w:spacing w:after="120" w:before="240"/>
      </w:pPr>
      <w:r>
        <w:rPr>
          <w:b/>
          <w:bCs/>
          <w:color w:val="0C2340"/>
        </w:rPr>
        <w:t xml:space="preserve">8. Non-transferability</w:t>
      </w:r>
    </w:p>
    <w:p>
      <w:pPr>
        <w:spacing w:after="120"/>
      </w:pPr>
      <w:r>
        <w:t xml:space="preserve">Points are personal to the earning account. They may not be transferred, pooled, inherited, or moved on death, dissolution, or bankruptcy. Any attempted transfer is void.</w:t>
      </w:r>
    </w:p>
    <w:p>
      <w:pPr>
        <w:pStyle w:val="Heading1"/>
        <w:spacing w:after="120" w:before="240"/>
      </w:pPr>
      <w:r>
        <w:rPr>
          <w:b/>
          <w:bCs/>
          <w:color w:val="0C2340"/>
        </w:rPr>
        <w:t xml:space="preserve">9. Taxes</w:t>
      </w:r>
    </w:p>
    <w:p>
      <w:pPr>
        <w:spacing w:after="120"/>
      </w:pPr>
      <w:r>
        <w:t xml:space="preserve">You are solely responsible for any taxes arising from earning or redeeming Points. Where required, iCFO may report the value of rewards and request tax information before redemption.</w:t>
      </w:r>
    </w:p>
    <w:p>
      <w:pPr>
        <w:pStyle w:val="Heading1"/>
        <w:spacing w:after="120" w:before="240"/>
      </w:pPr>
      <w:r>
        <w:rPr>
          <w:b/>
          <w:bCs/>
          <w:color w:val="0C2340"/>
        </w:rPr>
        <w:t xml:space="preserve">10. Not an offer of securities; no investment inducement</w:t>
      </w:r>
    </w:p>
    <w:p>
      <w:pPr>
        <w:spacing w:after="120"/>
      </w:pPr>
      <w:r>
        <w:t xml:space="preserve">The Points program is an engagement and education loyalty program. It is </w:t>
      </w:r>
      <w:r>
        <w:rPr>
          <w:b/>
          <w:bCs/>
        </w:rPr>
        <w:t xml:space="preserve">not</w:t>
      </w:r>
      <w:r>
        <w:t xml:space="preserve"> an offer, solicitation, inducement, or recommendation to buy, sell, or hold any security, and Points are not consideration for, or contingent on, any investment. Education and community — not an offer of securities.</w:t>
      </w:r>
    </w:p>
    <w:p>
      <w:pPr>
        <w:pStyle w:val="Heading1"/>
        <w:spacing w:after="120" w:before="240"/>
      </w:pPr>
      <w:r>
        <w:rPr>
          <w:b/>
          <w:bCs/>
          <w:color w:val="0C2340"/>
        </w:rPr>
        <w:t xml:space="preserve">11. Changes and termination</w:t>
      </w:r>
    </w:p>
    <w:p>
      <w:pPr>
        <w:spacing w:after="120"/>
      </w:pPr>
      <w:r>
        <w:t xml:space="preserve">iCFO may modify, suspend, or discontinue the program, catalog, earning actions, Point values, or these terms at any time, with or without notice. Continued participation constitutes acceptance. On termination, unredeemed Points are forfeited without compensation, subject to applicable law.</w:t>
      </w:r>
    </w:p>
    <w:p>
      <w:pPr>
        <w:pStyle w:val="Heading1"/>
        <w:spacing w:after="120" w:before="240"/>
      </w:pPr>
      <w:r>
        <w:rPr>
          <w:b/>
          <w:bCs/>
          <w:color w:val="0C2340"/>
        </w:rPr>
        <w:t xml:space="preserve">12. Limitation of liability</w:t>
      </w:r>
    </w:p>
    <w:p>
      <w:pPr>
        <w:spacing w:after="120"/>
      </w:pPr>
      <w:r>
        <w:t xml:space="preserve">To the maximum extent permitted by law, iCFO is not liable for any loss related to Points, including lost, expired, forfeited, or mis-awarded Points, or program changes. Points are provided “as is.”</w:t>
      </w:r>
    </w:p>
    <w:p>
      <w:pPr>
        <w:pStyle w:val="Heading1"/>
        <w:spacing w:after="120" w:before="240"/>
      </w:pPr>
      <w:r>
        <w:rPr>
          <w:b/>
          <w:bCs/>
          <w:color w:val="0C2340"/>
        </w:rPr>
        <w:t xml:space="preserve">13. Governing law and disputes</w:t>
      </w:r>
    </w:p>
    <w:p>
      <w:pPr>
        <w:spacing w:after="120"/>
      </w:pPr>
      <w:r>
        <w:t xml:space="preserve">These terms are governed by the laws of the State of [Delaware], without regard to conflict-of-law rules, and are subject to the dispute-resolution provisions of the iCapOS Terms of Service.</w:t>
      </w:r>
    </w:p>
    <w:p>
      <w:pPr>
        <w:pStyle w:val="Heading1"/>
        <w:spacing w:after="120" w:before="240"/>
      </w:pPr>
      <w:r>
        <w:rPr>
          <w:b/>
          <w:bCs/>
          <w:color w:val="0C2340"/>
        </w:rPr>
        <w:t xml:space="preserve">14. Contact</w:t>
      </w:r>
    </w:p>
    <w:p>
      <w:pPr>
        <w:spacing w:after="120"/>
      </w:pPr>
      <w:r>
        <w:t xml:space="preserve">Questions about the program: iCFO Capital Global, Inc. — info@myicfos.com · (619) 956-9114.</w:t>
      </w:r>
    </w:p>
    <w:p>
      <w:pPr>
        <w:pStyle w:val="Heading1"/>
        <w:spacing w:after="120" w:before="240"/>
      </w:pPr>
      <w:r>
        <w:rPr>
          <w:b/>
          <w:bCs/>
          <w:color w:val="0C2340"/>
        </w:rPr>
        <w:t xml:space="preserve">Open decisions for iCFO to set before launch</w:t>
      </w:r>
    </w:p>
    <w:p>
      <w:pPr>
        <w:spacing w:after="80"/>
      </w:pPr>
      <w:r>
        <w:rPr>
          <w:b/>
          <w:bCs/>
        </w:rPr>
        <w:t xml:space="preserve">1. </w:t>
      </w:r>
      <w:r>
        <w:t xml:space="preserve">Name &amp; display — confirm “iCFO Points”; avoid “$”/“dollars” anywhere in UI or marketing.</w:t>
      </w:r>
    </w:p>
    <w:p>
      <w:pPr>
        <w:spacing w:after="80"/>
      </w:pPr>
      <w:r>
        <w:rPr>
          <w:b/>
          <w:bCs/>
        </w:rPr>
        <w:t xml:space="preserve">2. </w:t>
      </w:r>
      <w:r>
        <w:t xml:space="preserve">Rewards Catalog — the exact list of redeemable services and their Point prices.</w:t>
      </w:r>
    </w:p>
    <w:p>
      <w:pPr>
        <w:spacing w:after="80"/>
      </w:pPr>
      <w:r>
        <w:rPr>
          <w:b/>
          <w:bCs/>
        </w:rPr>
        <w:t xml:space="preserve">3. </w:t>
      </w:r>
      <w:r>
        <w:t xml:space="preserve">Expiration window — inactivity period and per-Point lifetime.</w:t>
      </w:r>
    </w:p>
    <w:p>
      <w:pPr>
        <w:spacing w:after="80"/>
      </w:pPr>
      <w:r>
        <w:rPr>
          <w:b/>
          <w:bCs/>
        </w:rPr>
        <w:t xml:space="preserve">4. </w:t>
      </w:r>
      <w:r>
        <w:t xml:space="preserve">Caps — per-user and program-wide caps to bound liability.</w:t>
      </w:r>
    </w:p>
    <w:p>
      <w:pPr>
        <w:spacing w:after="80"/>
      </w:pPr>
      <w:r>
        <w:rPr>
          <w:b/>
          <w:bCs/>
        </w:rPr>
        <w:t xml:space="preserve">5. </w:t>
      </w:r>
      <w:r>
        <w:t xml:space="preserve">Securities review — counsel sign-off that earn actions and the catalog carry no investment inducement.</w:t>
      </w:r>
    </w:p>
    <w:p>
      <w:pPr>
        <w:spacing w:after="80"/>
      </w:pPr>
      <w:r>
        <w:rPr>
          <w:b/>
          <w:bCs/>
        </w:rPr>
        <w:t xml:space="preserve">6. </w:t>
      </w:r>
      <w:r>
        <w:t xml:space="preserve">Tax/finance review — 1099 thresholds, revenue recognition, and liability accounting.</w:t>
      </w:r>
    </w:p>
    <w:p>
      <w:pPr>
        <w:spacing w:after="80"/>
      </w:pPr>
      <w:r>
        <w:rPr>
          <w:b/>
          <w:bCs/>
        </w:rPr>
        <w:t xml:space="preserve">7. </w:t>
      </w:r>
      <w:r>
        <w:t xml:space="preserve">Ledger — an auditable earn/burn ledger with reversal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iCFO Points — Program Rules &amp; Terms (Draft for Counsel)</dc:title>
  <dc:creator>iCFO Capital Global, Inc.</dc:creator>
  <cp:lastModifiedBy>Un-named</cp:lastModifiedBy>
  <cp:revision>1</cp:revision>
  <dcterms:created xsi:type="dcterms:W3CDTF">2026-07-24T15:48:39.958Z</dcterms:created>
  <dcterms:modified xsi:type="dcterms:W3CDTF">2026-07-24T15:48:39.958Z</dcterms:modified>
</cp:coreProperties>
</file>

<file path=docProps/custom.xml><?xml version="1.0" encoding="utf-8"?>
<Properties xmlns="http://schemas.openxmlformats.org/officeDocument/2006/custom-properties" xmlns:vt="http://schemas.openxmlformats.org/officeDocument/2006/docPropsVTypes"/>
</file>