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6E96" w14:textId="4C40F5EF" w:rsidR="0091704E" w:rsidRDefault="0091704E" w:rsidP="0091704E">
      <w:pPr>
        <w:pStyle w:val="Heading1"/>
        <w:jc w:val="both"/>
      </w:pPr>
      <w:r w:rsidRPr="0091704E">
        <w:t>Magnetic Thermal Annealing: An Effective Process to Enhance the Performance of Magnetic Devices and Materials</w:t>
      </w:r>
    </w:p>
    <w:p w14:paraId="45F03E6F" w14:textId="36C9A0B7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  <w:r w:rsidRPr="0091704E">
        <w:rPr>
          <w:rFonts w:cstheme="minorHAnsi"/>
          <w:color w:val="2F2A20"/>
          <w:sz w:val="24"/>
          <w:szCs w:val="24"/>
        </w:rPr>
        <w:t>When determining the strength, ductility, and hardness of a solid, certain structural factors need to be considered. Lattice and shape deformities in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a material can significantly degrade its quality, and removing these anomalies in structure is necessary in order to achieve a high quality material and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performance.</w:t>
      </w:r>
    </w:p>
    <w:p w14:paraId="702756A8" w14:textId="77777777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</w:p>
    <w:p w14:paraId="21846BBB" w14:textId="668597AC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  <w:r w:rsidRPr="0091704E">
        <w:rPr>
          <w:rFonts w:cstheme="minorHAnsi"/>
          <w:color w:val="2F2A20"/>
          <w:sz w:val="24"/>
          <w:szCs w:val="24"/>
        </w:rPr>
        <w:t>Thermal annealing is a common technique used to strengthen a solid, such as metal or glass, by raising, maintaining, and then slowly reducing its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temperature. Annealing allows the atoms inside of a solid to diffuse more easily to find their proper locations, and maintaining a solid at a high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temperature lets it achieve equilibrium, eliminating many structural imperfections that would otherwise reduce its utility.</w:t>
      </w:r>
    </w:p>
    <w:p w14:paraId="2E189D58" w14:textId="77777777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</w:p>
    <w:p w14:paraId="292E68D3" w14:textId="54C6FED3" w:rsidR="005B6E36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  <w:r w:rsidRPr="0091704E">
        <w:rPr>
          <w:rFonts w:cstheme="minorHAnsi"/>
          <w:color w:val="2F2A20"/>
          <w:sz w:val="24"/>
          <w:szCs w:val="24"/>
        </w:rPr>
        <w:t>Annealing has been a widely used technique in metallurgy for quite some time. However, a relatively new technique, called magnetic thermal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annealing, puts a new spin on this age-old method. The major difference between the two heat treatments is that in magnetic annealing, an external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magnetic field is applied during the annealing process. This has some very interesting effects, especially on ferromagnetic (FM) and antiferromagnetic</w:t>
      </w:r>
      <w:r w:rsidRPr="0091704E">
        <w:rPr>
          <w:rFonts w:cstheme="minorHAnsi"/>
          <w:color w:val="2F2A20"/>
          <w:sz w:val="24"/>
          <w:szCs w:val="24"/>
        </w:rPr>
        <w:t xml:space="preserve">  </w:t>
      </w:r>
      <w:r w:rsidRPr="0091704E">
        <w:rPr>
          <w:rFonts w:cstheme="minorHAnsi"/>
          <w:color w:val="2F2A20"/>
          <w:sz w:val="24"/>
          <w:szCs w:val="24"/>
        </w:rPr>
        <w:t>(AFM) materials.</w:t>
      </w:r>
    </w:p>
    <w:p w14:paraId="712ABE30" w14:textId="77777777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</w:p>
    <w:p w14:paraId="58491063" w14:textId="57A9C7B4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  <w:r w:rsidRPr="0091704E">
        <w:rPr>
          <w:rFonts w:cstheme="minorHAnsi"/>
          <w:color w:val="2F2A20"/>
          <w:sz w:val="24"/>
          <w:szCs w:val="24"/>
        </w:rPr>
        <w:t>One of the most important effects of magnetic thermal annealing is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the reorientation of the easy axis in a FM material, or the axis of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spontaneous magnetization vector. In any FM material, the easy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axis is primarily determined by the lattice structure (in some cases,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by the shape or the internal strain of a solid). For example, if the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lattice shows specific symmetry, the easy axis will normally reflect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this symmetry. However, if the lattice has many deformities, there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may not be any major global symmetry, and the spontaneous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magnetization will be weakened or randomized.</w:t>
      </w:r>
    </w:p>
    <w:p w14:paraId="275F3935" w14:textId="77777777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</w:p>
    <w:p w14:paraId="5FFE93D8" w14:textId="6C1CE6C7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  <w:r w:rsidRPr="0091704E">
        <w:rPr>
          <w:rFonts w:cstheme="minorHAnsi"/>
          <w:color w:val="2F2A20"/>
          <w:sz w:val="24"/>
          <w:szCs w:val="24"/>
        </w:rPr>
        <w:t>If a deformed FM lattice is annealed at a high temperature, the spins of each individual atom will align with the externally applied field. When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maintained at a high temperature, this spin-field interaction will begin to reorganize the lattice somewhat, due to the spin-orbit interaction (SO), or the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interaction between the atomic orbitals and the electron spins inside a crystal lattice. Eventually, the system will attain equilibrium within this field,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causing a lattice reorientation such that the easy axis becomes parallel to the applied field. When the temperature is reduced, then, the lattice becomes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“locked or frozen” once again, and the magnet attains a new magnetization direction with a much robust and more well-defined easy axis.</w:t>
      </w:r>
    </w:p>
    <w:p w14:paraId="2BCE5A6D" w14:textId="77777777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</w:p>
    <w:p w14:paraId="28F03561" w14:textId="1B9EC7B5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  <w:r w:rsidRPr="0091704E">
        <w:rPr>
          <w:rFonts w:cstheme="minorHAnsi"/>
          <w:color w:val="2F2A20"/>
          <w:sz w:val="24"/>
          <w:szCs w:val="24"/>
        </w:rPr>
        <w:t>Not only can magnetic thermal annealing reorient the easy axis and remove lattice defects, it can also change the shape of the object. For example,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if a thin film has nonuniform thickness, the magnetic field will reflect this asymmetry. This poses a problem for magnetic thin-film applications that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require a very consistent material. Thermal annealing can help the film achieve structural equilibrium, removing shape deformities as well as structural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ones.</w:t>
      </w:r>
    </w:p>
    <w:p w14:paraId="35603B87" w14:textId="77777777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</w:p>
    <w:p w14:paraId="3C839204" w14:textId="77777777" w:rsidR="0091704E" w:rsidRPr="0091704E" w:rsidRDefault="0091704E" w:rsidP="0091704E">
      <w:pPr>
        <w:pStyle w:val="Heading1"/>
      </w:pPr>
      <w:r w:rsidRPr="0091704E">
        <w:lastRenderedPageBreak/>
        <w:t>Magnetic Thermal Annealing Systems</w:t>
      </w:r>
    </w:p>
    <w:p w14:paraId="6A7F6EFA" w14:textId="0A1380EB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  <w:r w:rsidRPr="0091704E">
        <w:rPr>
          <w:rFonts w:cstheme="minorHAnsi"/>
          <w:color w:val="2F2A20"/>
          <w:sz w:val="24"/>
          <w:szCs w:val="24"/>
        </w:rPr>
        <w:t>A magnetic thermal annealing system comes with different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specifications tailored to specific applications. The system must</w:t>
      </w:r>
      <w:r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provide a high vacuum environment for the samples to be annealed. Any oxidation of the samples may damage the crystal and magnetic structures of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the thin films, as well as cause adverse effects on magnetoresistance or other magnetic properties.</w:t>
      </w:r>
    </w:p>
    <w:p w14:paraId="301E687A" w14:textId="77777777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</w:p>
    <w:p w14:paraId="0A7750C9" w14:textId="032FF036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  <w:r w:rsidRPr="0091704E">
        <w:rPr>
          <w:rFonts w:cstheme="minorHAnsi"/>
          <w:color w:val="2F2A20"/>
          <w:sz w:val="24"/>
          <w:szCs w:val="24"/>
        </w:rPr>
        <w:t>The system must also be equipped with a magnet that can generate a large and uniform magnetic field within the sample area. Sometimes the area may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be large, like a stack of many Silicon wafers. The magnetic field must be uniform over the whole space, and it must be large enough to perfectly align the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magnetization vectors of the samples in one direction.</w:t>
      </w:r>
    </w:p>
    <w:p w14:paraId="611EEAFB" w14:textId="77777777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</w:p>
    <w:p w14:paraId="45FEA262" w14:textId="77777777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  <w:r w:rsidRPr="0091704E">
        <w:rPr>
          <w:rFonts w:cstheme="minorHAnsi"/>
          <w:color w:val="2F2A20"/>
          <w:sz w:val="24"/>
          <w:szCs w:val="24"/>
        </w:rPr>
        <w:t>Additionally, the system should establish a uniform temperature over the whole sample area. Spatial variation of the annealing temperature will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create inhomogeneous magnetic properties throughout the samples. The temperature must be controlled (ramping up, maintaining, and cooling down)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by a computer or a processor accurately and easily. Various thermal annealing recipes should be able to be stored in the software.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</w:p>
    <w:p w14:paraId="5D8DFA1B" w14:textId="77777777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</w:p>
    <w:p w14:paraId="5B995AAB" w14:textId="2A509C74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  <w:r w:rsidRPr="0091704E">
        <w:rPr>
          <w:rFonts w:cstheme="minorHAnsi"/>
          <w:color w:val="2F2A20"/>
          <w:sz w:val="24"/>
          <w:szCs w:val="24"/>
        </w:rPr>
        <w:t>Finally, the high temperature furnace must be well insulated from the magnet. Otherwise, magnet heating will damage or shorten the lifetime of the</w:t>
      </w:r>
      <w:r w:rsidRPr="0091704E">
        <w:rPr>
          <w:rFonts w:cstheme="minorHAnsi"/>
          <w:color w:val="2F2A20"/>
          <w:sz w:val="24"/>
          <w:szCs w:val="24"/>
        </w:rPr>
        <w:t xml:space="preserve"> </w:t>
      </w:r>
      <w:r w:rsidRPr="0091704E">
        <w:rPr>
          <w:rFonts w:cstheme="minorHAnsi"/>
          <w:color w:val="2F2A20"/>
          <w:sz w:val="24"/>
          <w:szCs w:val="24"/>
        </w:rPr>
        <w:t>magnet system.</w:t>
      </w:r>
    </w:p>
    <w:p w14:paraId="718EDA31" w14:textId="77777777" w:rsidR="0091704E" w:rsidRPr="0091704E" w:rsidRDefault="0091704E" w:rsidP="009170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2A20"/>
          <w:sz w:val="24"/>
          <w:szCs w:val="24"/>
        </w:rPr>
      </w:pPr>
    </w:p>
    <w:sectPr w:rsidR="0091704E" w:rsidRPr="0091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5A"/>
    <w:rsid w:val="005B6E36"/>
    <w:rsid w:val="00773F5A"/>
    <w:rsid w:val="0091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6E4F"/>
  <w15:chartTrackingRefBased/>
  <w15:docId w15:val="{CB903782-45E7-42A6-9044-28A8EC20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2</cp:revision>
  <dcterms:created xsi:type="dcterms:W3CDTF">2021-11-19T14:53:00Z</dcterms:created>
  <dcterms:modified xsi:type="dcterms:W3CDTF">2021-11-19T14:58:00Z</dcterms:modified>
</cp:coreProperties>
</file>