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Seven flat bundles, one-way imports, plain code, line budgets. The reading floor sits directly above the contracts: it imports the shared file and nothing else in the engine, and every step stands on it.</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0.0.2</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0.0.2</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0.0.2</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aiva1_documents.title_block</w:t>
            </w:r>
            <w:r>
              <w:rPr>
                <w:b w:val="0"/>
                <w:sz w:val="17"/>
              </w:rPr>
              <w:t xml:space="preserve">, </w:t>
            </w:r>
            <w:r>
              <w:rPr>
                <w:rFonts w:ascii="Consolas" w:hAnsi="Consolas"/>
                <w:b w:val="0"/>
                <w:sz w:val="17"/>
              </w:rPr>
              <w:t>aiva1_documents.note_blocks</w:t>
            </w:r>
            <w:r>
              <w:rPr>
                <w:b w:val="0"/>
                <w:sz w:val="17"/>
              </w:rPr>
              <w:t xml:space="preserve">, </w:t>
            </w:r>
            <w:r>
              <w:rPr>
                <w:rFonts w:ascii="Consolas" w:hAnsi="Consolas"/>
                <w:b w:val="0"/>
                <w:sz w:val="17"/>
              </w:rPr>
              <w:t>aiva1_documents.atoms_of_file</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11</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619</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aiva1_documents.py</w:t>
            </w:r>
          </w:p>
        </w:tc>
        <w:tc>
          <w:tcPr>
            <w:tcW w:type="dxa" w:w="2160"/>
          </w:tcPr>
          <w:p>
            <w:r>
              <w:rPr>
                <w:b w:val="0"/>
                <w:sz w:val="17"/>
              </w:rPr>
            </w:r>
            <w:r>
              <w:rPr>
                <w:b w:val="0"/>
                <w:sz w:val="17"/>
              </w:rPr>
              <w:t>1403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aiva2_package.py</w:t>
            </w:r>
          </w:p>
        </w:tc>
        <w:tc>
          <w:tcPr>
            <w:tcW w:type="dxa" w:w="2160"/>
          </w:tcPr>
          <w:p>
            <w:r>
              <w:rPr>
                <w:b w:val="0"/>
                <w:sz w:val="17"/>
              </w:rPr>
            </w:r>
            <w:r>
              <w:rPr>
                <w:b w:val="0"/>
                <w:sz w:val="17"/>
              </w:rPr>
              <w:t>1294</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1151</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1493</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342</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348</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372</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378</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413</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446</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470</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552</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570</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57</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95</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104</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127</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170</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181</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333</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415</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429</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488</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509</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514</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536</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579</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603</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627</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633</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650</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654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770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838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851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873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title_block</w:t>
            </w:r>
          </w:p>
        </w:tc>
        <w:tc>
          <w:tcPr>
            <w:tcW w:type="dxa" w:w="2160"/>
          </w:tcPr>
          <w:p>
            <w:r>
              <w:rPr>
                <w:b w:val="0"/>
                <w:sz w:val="17"/>
              </w:rPr>
            </w:r>
            <w:r>
              <w:rPr>
                <w:b w:val="0"/>
                <w:sz w:val="17"/>
              </w:rPr>
              <w:t>904</w:t>
            </w:r>
          </w:p>
        </w:tc>
        <w:tc>
          <w:tcPr>
            <w:tcW w:type="dxa" w:w="2160"/>
          </w:tcPr>
          <w:p>
            <w:r>
              <w:rPr>
                <w:b w:val="0"/>
                <w:sz w:val="17"/>
              </w:rPr>
            </w:r>
            <w:r>
              <w:rPr>
                <w:b w:val="0"/>
                <w:sz w:val="17"/>
              </w:rPr>
              <w:t>function</w:t>
            </w:r>
          </w:p>
        </w:tc>
        <w:tc>
          <w:tcPr>
            <w:tcW w:type="dxa" w:w="2160"/>
          </w:tcPr>
          <w:p>
            <w:r>
              <w:rPr>
                <w:b w:val="0"/>
                <w:sz w:val="17"/>
              </w:rPr>
            </w:r>
            <w:r>
              <w:rPr>
                <w:b w:val="0"/>
                <w:sz w:val="17"/>
              </w:rPr>
              <w:t>The &lt;title&gt; of a web page, as a heading above everything in it.</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920</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925</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948</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958</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974</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988</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note_blocks</w:t>
            </w:r>
          </w:p>
        </w:tc>
        <w:tc>
          <w:tcPr>
            <w:tcW w:type="dxa" w:w="2160"/>
          </w:tcPr>
          <w:p>
            <w:r>
              <w:rPr>
                <w:b w:val="0"/>
                <w:sz w:val="17"/>
              </w:rPr>
            </w:r>
            <w:r>
              <w:rPr>
                <w:b w:val="0"/>
                <w:sz w:val="17"/>
              </w:rPr>
              <w:t>994</w:t>
            </w:r>
          </w:p>
        </w:tc>
        <w:tc>
          <w:tcPr>
            <w:tcW w:type="dxa" w:w="2160"/>
          </w:tcPr>
          <w:p>
            <w:r>
              <w:rPr>
                <w:b w:val="0"/>
                <w:sz w:val="17"/>
              </w:rPr>
            </w:r>
            <w:r>
              <w:rPr>
                <w:b w:val="0"/>
                <w:sz w:val="17"/>
              </w:rPr>
              <w:t>function</w:t>
            </w:r>
          </w:p>
        </w:tc>
        <w:tc>
          <w:tcPr>
            <w:tcW w:type="dxa" w:w="2160"/>
          </w:tcPr>
          <w:p>
            <w:r>
              <w:rPr>
                <w:b w:val="0"/>
                <w:sz w:val="17"/>
              </w:rPr>
            </w:r>
            <w:r>
              <w:rPr>
                <w:b w:val="0"/>
                <w:sz w:val="17"/>
              </w:rPr>
              <w:t>The footnotes and endnotes of a Word file, which are parts of their own and are not in the run of paragraphs a plain reader walks.</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1018</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1121</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1181</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1198</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1204</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1220</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1237</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1276</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1303</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1330</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1350</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1397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1401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80</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87</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98</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118</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172</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188</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192</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201</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210</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215</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220</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245</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294</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304</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341</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442</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445</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458</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560</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621</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655</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663</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714</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739</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921</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1009</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1095</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1103</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1138</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1145</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1149</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1172</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1195</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1235</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992</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1033</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1067</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1130</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987</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1028</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1055</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1060</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1096</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1114</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1119</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1128</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1157</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1213</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1236</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1259</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1282</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1335</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1403</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1428</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