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does not read the content of images: a formula given only as a picture is raised for manual review, never skipped.</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Five flat bundles, one-way imports, plain code, line budgets.</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val="0"/>
                <w:sz w:val="17"/>
              </w:rPr>
              <w:t>Installs the packages from the JFrog index and restarts Python. Once per cluster start.</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Creates the widgets and finds the notebook's own folder. Run it again after entering the model ID to refresh the project and run lists.</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The call plan: questions by type, the largest prompt against the token cap, the expected duration.</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read. Formulas given only as pictures end </w:t>
      </w:r>
      <w:r>
        <w:rPr>
          <w:i/>
        </w:rPr>
        <w:t>Not assessed</w:t>
      </w:r>
      <w:r>
        <w:t xml:space="preserve"> or make the linked code </w:t>
      </w:r>
      <w:r>
        <w:rPr>
          <w:i/>
        </w:rPr>
        <w:t>Traced - check undecided</w:t>
      </w:r>
      <w:r>
        <w:t>.</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aiva1_documents.infer_levels</w:t>
      </w:r>
      <w:r>
        <w:t>);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Known limitations.</w:t>
      </w:r>
      <w:r>
        <w:t xml:space="preserve"> PDF layout is guessed from positions. Juxtaposition is read as a product only inside structured markup, never in running text. Images are never read.</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0.0.1</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0.0.1</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0.0.1</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aiva1_documents.not_read_block</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aiva1_documents.discover_families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23</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20</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1</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aiva1_documents.py</w:t>
            </w:r>
          </w:p>
        </w:tc>
        <w:tc>
          <w:tcPr>
            <w:tcW w:type="dxa" w:w="2160"/>
          </w:tcPr>
          <w:p>
            <w:r>
              <w:rPr>
                <w:b w:val="0"/>
                <w:sz w:val="17"/>
              </w:rPr>
            </w:r>
            <w:r>
              <w:rPr>
                <w:b w:val="0"/>
                <w:sz w:val="17"/>
              </w:rPr>
              <w:t>1363</w:t>
            </w:r>
          </w:p>
        </w:tc>
        <w:tc>
          <w:tcPr>
            <w:tcW w:type="dxa" w:w="2160"/>
          </w:tcPr>
          <w:p>
            <w:r>
              <w:rPr>
                <w:b w:val="0"/>
                <w:sz w:val="17"/>
              </w:rPr>
            </w:r>
            <w:r>
              <w:rPr>
                <w:b w:val="0"/>
                <w:sz w:val="17"/>
              </w:rPr>
              <w:t>1500</w:t>
            </w:r>
          </w:p>
        </w:tc>
        <w:tc>
          <w:tcPr>
            <w:tcW w:type="dxa" w:w="2160"/>
          </w:tcPr>
          <w:p>
            <w:r>
              <w:rPr>
                <w:b w:val="0"/>
                <w:sz w:val="17"/>
              </w:rPr>
            </w:r>
            <w:r>
              <w:rPr>
                <w:b w:val="0"/>
                <w:sz w:val="17"/>
              </w:rPr>
              <w:t>17%</w:t>
            </w:r>
          </w:p>
        </w:tc>
      </w:tr>
      <w:tr>
        <w:tc>
          <w:tcPr>
            <w:tcW w:type="dxa" w:w="2160"/>
          </w:tcPr>
          <w:p>
            <w:r>
              <w:rPr>
                <w:b w:val="0"/>
                <w:sz w:val="17"/>
              </w:rPr>
            </w:r>
            <w:r>
              <w:rPr>
                <w:b w:val="0"/>
                <w:sz w:val="17"/>
              </w:rPr>
              <w:t>aiva2_package.py</w:t>
            </w:r>
          </w:p>
        </w:tc>
        <w:tc>
          <w:tcPr>
            <w:tcW w:type="dxa" w:w="2160"/>
          </w:tcPr>
          <w:p>
            <w:r>
              <w:rPr>
                <w:b w:val="0"/>
                <w:sz w:val="17"/>
              </w:rPr>
            </w:r>
            <w:r>
              <w:rPr>
                <w:b w:val="0"/>
                <w:sz w:val="17"/>
              </w:rPr>
              <w:t>1285</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1123</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1491</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68</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94</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99</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116</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126</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154</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169</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180</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222</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265</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285</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352</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434</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448</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460</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507</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513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518</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543</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555</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598</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620</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630</w:t>
            </w:r>
          </w:p>
        </w:tc>
        <w:tc>
          <w:tcPr>
            <w:tcW w:type="dxa" w:w="2160"/>
          </w:tcPr>
          <w:p>
            <w:r>
              <w:rPr>
                <w:b w:val="0"/>
                <w:sz w:val="17"/>
              </w:rPr>
            </w:r>
            <w:r>
              <w:rPr>
                <w:b w:val="0"/>
                <w:sz w:val="17"/>
              </w:rPr>
              <w:t>function</w:t>
            </w:r>
          </w:p>
        </w:tc>
        <w:tc>
          <w:tcPr>
            <w:tcW w:type="dxa" w:w="2160"/>
          </w:tcPr>
          <w:p>
            <w:r>
              <w:rPr>
                <w:b w:val="0"/>
                <w:sz w:val="17"/>
              </w:rPr>
            </w:r>
            <w:r>
              <w:rPr>
                <w:b w:val="0"/>
                <w:sz w:val="17"/>
              </w:rPr>
              <w:t>The numbering this element carries in an attribute, exactly as the document wrote it (num="36." gives "36.").</w:t>
            </w:r>
          </w:p>
        </w:tc>
      </w:tr>
      <w:tr>
        <w:tc>
          <w:tcPr>
            <w:tcW w:type="dxa" w:w="2160"/>
          </w:tcPr>
          <w:p>
            <w:r>
              <w:rPr>
                <w:b w:val="0"/>
                <w:sz w:val="17"/>
              </w:rPr>
            </w:r>
            <w:r>
              <w:rPr>
                <w:rFonts w:ascii="Consolas" w:hAnsi="Consolas"/>
                <w:b w:val="0"/>
                <w:sz w:val="17"/>
              </w:rPr>
              <w:t>child_tags</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How often each tag occurs directly below this element.</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649</w:t>
            </w:r>
          </w:p>
        </w:tc>
        <w:tc>
          <w:tcPr>
            <w:tcW w:type="dxa" w:w="2160"/>
          </w:tcPr>
          <w:p>
            <w:r>
              <w:rPr>
                <w:b w:val="0"/>
                <w:sz w:val="17"/>
              </w:rPr>
            </w:r>
            <w:r>
              <w:rPr>
                <w:b w:val="0"/>
                <w:sz w:val="17"/>
              </w:rPr>
              <w:t>function</w:t>
            </w:r>
          </w:p>
        </w:tc>
        <w:tc>
          <w:tcPr>
            <w:tcW w:type="dxa" w:w="2160"/>
          </w:tcPr>
          <w:p>
            <w:r>
              <w:rPr>
                <w:b w:val="0"/>
                <w:sz w:val="17"/>
              </w:rPr>
            </w:r>
            <w:r>
              <w:rPr>
                <w:b w:val="0"/>
                <w:sz w:val="17"/>
              </w:rPr>
              <w:t>Decide whether this element is a table by its shape rather than by its name, and if it is, give a family to every tag used inside it.</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768</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777</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785</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790</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802</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806</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877</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 cells joined by "; ", one row per line, header first.</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916</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929</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951</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959</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988</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993</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1013</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1029</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1041</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1047</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1106</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says so and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1165</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1181</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1189</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1221</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1227</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1241</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1277</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1287</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1304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1323</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1357</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1361</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54</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58</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85</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96</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108</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116</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134</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170</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186</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193</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199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208</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213</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243</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276</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302</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339</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362</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396</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440</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443</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449</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456</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463</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471</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497</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520</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558</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629</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667</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712</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737</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760</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796</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810</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858</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883</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919</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998</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1022</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1030</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1056</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1101</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1136</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1143</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1147</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1193</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1214</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1233</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59</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63</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78</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82</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118</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129</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142</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159</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171</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178</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218</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250</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255</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269</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290</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334</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388</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424</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464</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486</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493</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553</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581</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642</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695</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715</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744</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752</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757</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763</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775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795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808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816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821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830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857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878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881</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898</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907</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922</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943</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995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1102</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605</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632</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647</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688</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713</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750</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781</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801</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845</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940</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955</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985</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1005</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1012</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1026</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1039</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1053</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1094</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1112</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1117</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1126</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1155</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1168</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1190</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1211</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1234</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1257</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1280</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1333</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1401</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1426</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