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does not read the content of images: a formula given only as a picture is raised for manual review, never skipped.</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Five flat bundles, one-way imports, plain code, line budgets.</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thirteen widgets: LLM endpoint, LLM token, LLM user id, model ID, project, run, Projects folder, JFrog index URL, concurrency limit, token cap, reviewer id, reviewer role and scratch folder. Leave the scratch folder empty unless AIVA says it cannot write on the driver.</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val="0"/>
                <w:sz w:val="17"/>
              </w:rPr>
              <w:t>Installs the packages from the JFrog index and restarts Python. Once per cluster start.</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Creates the widgets and finds the notebook's own folder. Run it again after entering the model ID to refresh the project and run lists.</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The call plan: questions by type, the largest prompt against the token cap, the expected duration.</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read. Formulas given only as pictures end </w:t>
      </w:r>
      <w:r>
        <w:rPr>
          <w:i/>
        </w:rPr>
        <w:t>Not assessed</w:t>
      </w:r>
      <w:r>
        <w:t xml:space="preserve"> or make the linked code </w:t>
      </w:r>
      <w:r>
        <w:rPr>
          <w:i/>
        </w:rPr>
        <w:t>Traced - check undecided</w:t>
      </w:r>
      <w:r>
        <w:t>.</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aiva1_documents.detect_format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aiva1_documents.infer_levels</w:t>
      </w:r>
      <w:r>
        <w:t>);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Known limitations.</w:t>
      </w:r>
      <w:r>
        <w:t xml:space="preserve"> PDF layout is guessed from positions. Juxtaposition is read as a product only inside structured markup, never in running text. Images are never read.</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0.0.1</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0.0.1</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0.0.1</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0.0.1</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any chat() call is spent.</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aiva1_documents.not_read_block</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aiva3_mapping.validate_answer</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aiva5_run_report.call_chat</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aiva1_documents.read_file_blocks</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aiva1_documents.discover_families</w:t>
            </w:r>
            <w:r>
              <w:rPr>
                <w:b w:val="0"/>
                <w:sz w:val="17"/>
              </w:rPr>
              <w:t xml:space="preserve">, </w:t>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23</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20</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23</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5</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15</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3</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aiva1_documents.py</w:t>
            </w:r>
          </w:p>
        </w:tc>
        <w:tc>
          <w:tcPr>
            <w:tcW w:type="dxa" w:w="2160"/>
          </w:tcPr>
          <w:p>
            <w:r>
              <w:rPr>
                <w:b w:val="0"/>
                <w:sz w:val="17"/>
              </w:rPr>
            </w:r>
            <w:r>
              <w:rPr>
                <w:b w:val="0"/>
                <w:sz w:val="17"/>
              </w:rPr>
              <w:t>1363</w:t>
            </w:r>
          </w:p>
        </w:tc>
        <w:tc>
          <w:tcPr>
            <w:tcW w:type="dxa" w:w="2160"/>
          </w:tcPr>
          <w:p>
            <w:r>
              <w:rPr>
                <w:b w:val="0"/>
                <w:sz w:val="17"/>
              </w:rPr>
            </w:r>
            <w:r>
              <w:rPr>
                <w:b w:val="0"/>
                <w:sz w:val="17"/>
              </w:rPr>
              <w:t>1500</w:t>
            </w:r>
          </w:p>
        </w:tc>
        <w:tc>
          <w:tcPr>
            <w:tcW w:type="dxa" w:w="2160"/>
          </w:tcPr>
          <w:p>
            <w:r>
              <w:rPr>
                <w:b w:val="0"/>
                <w:sz w:val="17"/>
              </w:rPr>
            </w:r>
            <w:r>
              <w:rPr>
                <w:b w:val="0"/>
                <w:sz w:val="17"/>
              </w:rPr>
              <w:t>17%</w:t>
            </w:r>
          </w:p>
        </w:tc>
      </w:tr>
      <w:tr>
        <w:tc>
          <w:tcPr>
            <w:tcW w:type="dxa" w:w="2160"/>
          </w:tcPr>
          <w:p>
            <w:r>
              <w:rPr>
                <w:b w:val="0"/>
                <w:sz w:val="17"/>
              </w:rPr>
            </w:r>
            <w:r>
              <w:rPr>
                <w:b w:val="0"/>
                <w:sz w:val="17"/>
              </w:rPr>
              <w:t>aiva2_package.py</w:t>
            </w:r>
          </w:p>
        </w:tc>
        <w:tc>
          <w:tcPr>
            <w:tcW w:type="dxa" w:w="2160"/>
          </w:tcPr>
          <w:p>
            <w:r>
              <w:rPr>
                <w:b w:val="0"/>
                <w:sz w:val="17"/>
              </w:rPr>
            </w:r>
            <w:r>
              <w:rPr>
                <w:b w:val="0"/>
                <w:sz w:val="17"/>
              </w:rPr>
              <w:t>1285</w:t>
            </w:r>
          </w:p>
        </w:tc>
        <w:tc>
          <w:tcPr>
            <w:tcW w:type="dxa" w:w="2160"/>
          </w:tcPr>
          <w:p>
            <w:r>
              <w:rPr>
                <w:b w:val="0"/>
                <w:sz w:val="17"/>
              </w:rPr>
            </w:r>
            <w:r>
              <w:rPr>
                <w:b w:val="0"/>
                <w:sz w:val="17"/>
              </w:rPr>
              <w:t>1500</w:t>
            </w:r>
          </w:p>
        </w:tc>
        <w:tc>
          <w:tcPr>
            <w:tcW w:type="dxa" w:w="2160"/>
          </w:tcPr>
          <w:p>
            <w:r>
              <w:rPr>
                <w:b w:val="0"/>
                <w:sz w:val="17"/>
              </w:rPr>
            </w:r>
            <w:r>
              <w:rPr>
                <w:b w:val="0"/>
                <w:sz w:val="17"/>
              </w:rPr>
              <w:t>13%</w:t>
            </w:r>
          </w:p>
        </w:tc>
      </w:tr>
      <w:tr>
        <w:tc>
          <w:tcPr>
            <w:tcW w:type="dxa" w:w="2160"/>
          </w:tcPr>
          <w:p>
            <w:r>
              <w:rPr>
                <w:b w:val="0"/>
                <w:sz w:val="17"/>
              </w:rPr>
            </w:r>
            <w:r>
              <w:rPr>
                <w:b w:val="0"/>
                <w:sz w:val="17"/>
              </w:rPr>
              <w:t>aiva3_mapping.py</w:t>
            </w:r>
          </w:p>
        </w:tc>
        <w:tc>
          <w:tcPr>
            <w:tcW w:type="dxa" w:w="2160"/>
          </w:tcPr>
          <w:p>
            <w:r>
              <w:rPr>
                <w:b w:val="0"/>
                <w:sz w:val="17"/>
              </w:rPr>
            </w:r>
            <w:r>
              <w:rPr>
                <w:b w:val="0"/>
                <w:sz w:val="17"/>
              </w:rPr>
              <w:t>1123</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1382</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1491</w:t>
            </w:r>
          </w:p>
        </w:tc>
        <w:tc>
          <w:tcPr>
            <w:tcW w:type="dxa" w:w="2160"/>
          </w:tcPr>
          <w:p>
            <w:r>
              <w:rPr>
                <w:b w:val="0"/>
                <w:sz w:val="17"/>
              </w:rPr>
            </w:r>
            <w:r>
              <w:rPr>
                <w:b w:val="0"/>
                <w:sz w:val="17"/>
              </w:rPr>
              <w:t>1500</w:t>
            </w:r>
          </w:p>
        </w:tc>
        <w:tc>
          <w:tcPr>
            <w:tcW w:type="dxa" w:w="2160"/>
          </w:tcPr>
          <w:p>
            <w:r>
              <w:rPr>
                <w:b w:val="0"/>
                <w:sz w:val="17"/>
              </w:rPr>
            </w:r>
            <w:r>
              <w:rPr>
                <w:b w:val="0"/>
                <w:sz w:val="17"/>
              </w:rPr>
              <w:t>16%</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56</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68</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94</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99</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116</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126</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154</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169</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180</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222</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265</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285</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352</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434</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first bytes, whatever its extension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448</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460</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507</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518</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528</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543</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547</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555</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598</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attribute_text</w:t>
            </w:r>
          </w:p>
        </w:tc>
        <w:tc>
          <w:tcPr>
            <w:tcW w:type="dxa" w:w="2160"/>
          </w:tcPr>
          <w:p>
            <w:r>
              <w:rPr>
                <w:b w:val="0"/>
                <w:sz w:val="17"/>
              </w:rPr>
            </w:r>
            <w:r>
              <w:rPr>
                <w:b w:val="0"/>
                <w:sz w:val="17"/>
              </w:rPr>
              <w:t>620</w:t>
            </w:r>
          </w:p>
        </w:tc>
        <w:tc>
          <w:tcPr>
            <w:tcW w:type="dxa" w:w="2160"/>
          </w:tcPr>
          <w:p>
            <w:r>
              <w:rPr>
                <w:b w:val="0"/>
                <w:sz w:val="17"/>
              </w:rPr>
            </w:r>
            <w:r>
              <w:rPr>
                <w:b w:val="0"/>
                <w:sz w:val="17"/>
              </w:rPr>
              <w:t>function</w:t>
            </w:r>
          </w:p>
        </w:tc>
        <w:tc>
          <w:tcPr>
            <w:tcW w:type="dxa" w:w="2160"/>
          </w:tcPr>
          <w:p>
            <w:r>
              <w:rPr>
                <w:b w:val="0"/>
                <w:sz w:val="17"/>
              </w:rPr>
            </w:r>
            <w:r>
              <w:rPr>
                <w:b w:val="0"/>
                <w:sz w:val="17"/>
              </w:rPr>
              <w:t>The first of the named attributes that holds text worth reading, with its name.</w:t>
            </w:r>
          </w:p>
        </w:tc>
      </w:tr>
      <w:tr>
        <w:tc>
          <w:tcPr>
            <w:tcW w:type="dxa" w:w="2160"/>
          </w:tcPr>
          <w:p>
            <w:r>
              <w:rPr>
                <w:b w:val="0"/>
                <w:sz w:val="17"/>
              </w:rPr>
            </w:r>
            <w:r>
              <w:rPr>
                <w:rFonts w:ascii="Consolas" w:hAnsi="Consolas"/>
                <w:b w:val="0"/>
                <w:sz w:val="17"/>
              </w:rPr>
              <w:t>written_numbering</w:t>
            </w:r>
          </w:p>
        </w:tc>
        <w:tc>
          <w:tcPr>
            <w:tcW w:type="dxa" w:w="2160"/>
          </w:tcPr>
          <w:p>
            <w:r>
              <w:rPr>
                <w:b w:val="0"/>
                <w:sz w:val="17"/>
              </w:rPr>
            </w:r>
            <w:r>
              <w:rPr>
                <w:b w:val="0"/>
                <w:sz w:val="17"/>
              </w:rPr>
              <w:t>630</w:t>
            </w:r>
          </w:p>
        </w:tc>
        <w:tc>
          <w:tcPr>
            <w:tcW w:type="dxa" w:w="2160"/>
          </w:tcPr>
          <w:p>
            <w:r>
              <w:rPr>
                <w:b w:val="0"/>
                <w:sz w:val="17"/>
              </w:rPr>
            </w:r>
            <w:r>
              <w:rPr>
                <w:b w:val="0"/>
                <w:sz w:val="17"/>
              </w:rPr>
              <w:t>function</w:t>
            </w:r>
          </w:p>
        </w:tc>
        <w:tc>
          <w:tcPr>
            <w:tcW w:type="dxa" w:w="2160"/>
          </w:tcPr>
          <w:p>
            <w:r>
              <w:rPr>
                <w:b w:val="0"/>
                <w:sz w:val="17"/>
              </w:rPr>
            </w:r>
            <w:r>
              <w:rPr>
                <w:b w:val="0"/>
                <w:sz w:val="17"/>
              </w:rPr>
              <w:t>The numbering this element carries in an attribute, exactly as the document wrote it (num="36." gives "36.").</w:t>
            </w:r>
          </w:p>
        </w:tc>
      </w:tr>
      <w:tr>
        <w:tc>
          <w:tcPr>
            <w:tcW w:type="dxa" w:w="2160"/>
          </w:tcPr>
          <w:p>
            <w:r>
              <w:rPr>
                <w:b w:val="0"/>
                <w:sz w:val="17"/>
              </w:rPr>
            </w:r>
            <w:r>
              <w:rPr>
                <w:rFonts w:ascii="Consolas" w:hAnsi="Consolas"/>
                <w:b w:val="0"/>
                <w:sz w:val="17"/>
              </w:rPr>
              <w:t>child_tags</w:t>
            </w:r>
          </w:p>
        </w:tc>
        <w:tc>
          <w:tcPr>
            <w:tcW w:type="dxa" w:w="2160"/>
          </w:tcPr>
          <w:p>
            <w:r>
              <w:rPr>
                <w:b w:val="0"/>
                <w:sz w:val="17"/>
              </w:rPr>
            </w:r>
            <w:r>
              <w:rPr>
                <w:b w:val="0"/>
                <w:sz w:val="17"/>
              </w:rPr>
              <w:t>640</w:t>
            </w:r>
          </w:p>
        </w:tc>
        <w:tc>
          <w:tcPr>
            <w:tcW w:type="dxa" w:w="2160"/>
          </w:tcPr>
          <w:p>
            <w:r>
              <w:rPr>
                <w:b w:val="0"/>
                <w:sz w:val="17"/>
              </w:rPr>
            </w:r>
            <w:r>
              <w:rPr>
                <w:b w:val="0"/>
                <w:sz w:val="17"/>
              </w:rPr>
              <w:t>function</w:t>
            </w:r>
          </w:p>
        </w:tc>
        <w:tc>
          <w:tcPr>
            <w:tcW w:type="dxa" w:w="2160"/>
          </w:tcPr>
          <w:p>
            <w:r>
              <w:rPr>
                <w:b w:val="0"/>
                <w:sz w:val="17"/>
              </w:rPr>
            </w:r>
            <w:r>
              <w:rPr>
                <w:b w:val="0"/>
                <w:sz w:val="17"/>
              </w:rPr>
              <w:t>How often each tag occurs directly below this element.</w:t>
            </w:r>
          </w:p>
        </w:tc>
      </w:tr>
      <w:tr>
        <w:tc>
          <w:tcPr>
            <w:tcW w:type="dxa" w:w="2160"/>
          </w:tcPr>
          <w:p>
            <w:r>
              <w:rPr>
                <w:b w:val="0"/>
                <w:sz w:val="17"/>
              </w:rPr>
            </w:r>
            <w:r>
              <w:rPr>
                <w:rFonts w:ascii="Consolas" w:hAnsi="Consolas"/>
                <w:b w:val="0"/>
                <w:sz w:val="17"/>
              </w:rPr>
              <w:t>discover_table_shape</w:t>
            </w:r>
          </w:p>
        </w:tc>
        <w:tc>
          <w:tcPr>
            <w:tcW w:type="dxa" w:w="2160"/>
          </w:tcPr>
          <w:p>
            <w:r>
              <w:rPr>
                <w:b w:val="0"/>
                <w:sz w:val="17"/>
              </w:rPr>
            </w:r>
            <w:r>
              <w:rPr>
                <w:b w:val="0"/>
                <w:sz w:val="17"/>
              </w:rPr>
              <w:t>649</w:t>
            </w:r>
          </w:p>
        </w:tc>
        <w:tc>
          <w:tcPr>
            <w:tcW w:type="dxa" w:w="2160"/>
          </w:tcPr>
          <w:p>
            <w:r>
              <w:rPr>
                <w:b w:val="0"/>
                <w:sz w:val="17"/>
              </w:rPr>
            </w:r>
            <w:r>
              <w:rPr>
                <w:b w:val="0"/>
                <w:sz w:val="17"/>
              </w:rPr>
              <w:t>function</w:t>
            </w:r>
          </w:p>
        </w:tc>
        <w:tc>
          <w:tcPr>
            <w:tcW w:type="dxa" w:w="2160"/>
          </w:tcPr>
          <w:p>
            <w:r>
              <w:rPr>
                <w:b w:val="0"/>
                <w:sz w:val="17"/>
              </w:rPr>
            </w:r>
            <w:r>
              <w:rPr>
                <w:b w:val="0"/>
                <w:sz w:val="17"/>
              </w:rPr>
              <w:t>Decide whether this element is a table by its shape rather than by its name, and if it is, give a family to every tag used inside it.</w:t>
            </w:r>
          </w:p>
        </w:tc>
      </w:tr>
      <w:tr>
        <w:tc>
          <w:tcPr>
            <w:tcW w:type="dxa" w:w="2160"/>
          </w:tcPr>
          <w:p>
            <w:r>
              <w:rPr>
                <w:b w:val="0"/>
                <w:sz w:val="17"/>
              </w:rPr>
            </w:r>
            <w:r>
              <w:rPr>
                <w:rFonts w:ascii="Consolas" w:hAnsi="Consolas"/>
                <w:b w:val="0"/>
                <w:sz w:val="17"/>
              </w:rPr>
              <w:t>discover_families</w:t>
            </w:r>
          </w:p>
        </w:tc>
        <w:tc>
          <w:tcPr>
            <w:tcW w:type="dxa" w:w="2160"/>
          </w:tcPr>
          <w:p>
            <w:r>
              <w:rPr>
                <w:b w:val="0"/>
                <w:sz w:val="17"/>
              </w:rPr>
            </w:r>
            <w:r>
              <w:rPr>
                <w:b w:val="0"/>
                <w:sz w:val="17"/>
              </w:rPr>
              <w:t>696</w:t>
            </w:r>
          </w:p>
        </w:tc>
        <w:tc>
          <w:tcPr>
            <w:tcW w:type="dxa" w:w="2160"/>
          </w:tcPr>
          <w:p>
            <w:r>
              <w:rPr>
                <w:b w:val="0"/>
                <w:sz w:val="17"/>
              </w:rPr>
            </w:r>
            <w:r>
              <w:rPr>
                <w:b w:val="0"/>
                <w:sz w:val="17"/>
              </w:rPr>
              <w:t>function</w:t>
            </w:r>
          </w:p>
        </w:tc>
        <w:tc>
          <w:tcPr>
            <w:tcW w:type="dxa" w:w="2160"/>
          </w:tcPr>
          <w:p>
            <w:r>
              <w:rPr>
                <w:b w:val="0"/>
                <w:sz w:val="17"/>
              </w:rPr>
            </w:r>
            <w:r>
              <w:rPr>
                <w:b w:val="0"/>
                <w:sz w:val="17"/>
              </w:rPr>
              <w:t>Work out a family for each tag this document uses that the rules do not name, from the way the tag behaves here.</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768</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777</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785</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790</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the report of tags it met that are in no family, and what discovery made of those tags in this document.</w:t>
            </w:r>
          </w:p>
        </w:tc>
      </w:tr>
      <w:tr>
        <w:tc>
          <w:tcPr>
            <w:tcW w:type="dxa" w:w="2160"/>
          </w:tcPr>
          <w:p>
            <w:r>
              <w:rPr>
                <w:b w:val="0"/>
                <w:sz w:val="17"/>
              </w:rPr>
            </w:r>
            <w:r>
              <w:rPr>
                <w:rFonts w:ascii="Consolas" w:hAnsi="Consolas"/>
                <w:b w:val="0"/>
                <w:sz w:val="17"/>
              </w:rPr>
              <w:t>WalkState.__post_init__</w:t>
            </w:r>
          </w:p>
        </w:tc>
        <w:tc>
          <w:tcPr>
            <w:tcW w:type="dxa" w:w="2160"/>
          </w:tcPr>
          <w:p>
            <w:r>
              <w:rPr>
                <w:b w:val="0"/>
                <w:sz w:val="17"/>
              </w:rPr>
            </w:r>
            <w:r>
              <w:rPr>
                <w:b w:val="0"/>
                <w:sz w:val="17"/>
              </w:rPr>
              <w:t>796</w:t>
            </w:r>
          </w:p>
        </w:tc>
        <w:tc>
          <w:tcPr>
            <w:tcW w:type="dxa" w:w="2160"/>
          </w:tcPr>
          <w:p>
            <w:r>
              <w:rPr>
                <w:b w:val="0"/>
                <w:sz w:val="17"/>
              </w:rPr>
            </w:r>
            <w:r>
              <w:rPr>
                <w:b w:val="0"/>
                <w:sz w:val="17"/>
              </w:rPr>
              <w:t>function</w:t>
            </w:r>
          </w:p>
        </w:tc>
        <w:tc>
          <w:tcPr>
            <w:tcW w:type="dxa" w:w="2160"/>
          </w:tcPr>
          <w:p>
            <w:r>
              <w:rPr>
                <w:b w:val="0"/>
                <w:sz w:val="17"/>
              </w:rPr>
            </w:r>
            <w:r>
              <w:rPr>
                <w:b w:val="0"/>
                <w:sz w:val="17"/>
              </w:rPr>
              <w:t>Each file reads with its own view of the rules, so a tag discovered in one file never changes how the next file is read.</w:t>
            </w:r>
          </w:p>
        </w:tc>
      </w:tr>
      <w:tr>
        <w:tc>
          <w:tcPr>
            <w:tcW w:type="dxa" w:w="2160"/>
          </w:tcPr>
          <w:p>
            <w:r>
              <w:rPr>
                <w:b w:val="0"/>
                <w:sz w:val="17"/>
              </w:rPr>
            </w:r>
            <w:r>
              <w:rPr>
                <w:rFonts w:ascii="Consolas" w:hAnsi="Consolas"/>
                <w:b w:val="0"/>
                <w:sz w:val="17"/>
              </w:rPr>
              <w:t>WalkState.family</w:t>
            </w:r>
          </w:p>
        </w:tc>
        <w:tc>
          <w:tcPr>
            <w:tcW w:type="dxa" w:w="2160"/>
          </w:tcPr>
          <w:p>
            <w:r>
              <w:rPr>
                <w:b w:val="0"/>
                <w:sz w:val="17"/>
              </w:rPr>
            </w:r>
            <w:r>
              <w:rPr>
                <w:b w:val="0"/>
                <w:sz w:val="17"/>
              </w:rPr>
              <w:t>802</w:t>
            </w:r>
          </w:p>
        </w:tc>
        <w:tc>
          <w:tcPr>
            <w:tcW w:type="dxa" w:w="2160"/>
          </w:tcPr>
          <w:p>
            <w:r>
              <w:rPr>
                <w:b w:val="0"/>
                <w:sz w:val="17"/>
              </w:rPr>
            </w:r>
            <w:r>
              <w:rPr>
                <w:b w:val="0"/>
                <w:sz w:val="17"/>
              </w:rPr>
              <w:t>function</w:t>
            </w:r>
          </w:p>
        </w:tc>
        <w:tc>
          <w:tcPr>
            <w:tcW w:type="dxa" w:w="2160"/>
          </w:tcPr>
          <w:p>
            <w:r>
              <w:rPr>
                <w:b w:val="0"/>
                <w:sz w:val="17"/>
              </w:rPr>
            </w:r>
            <w:r>
              <w:rPr>
                <w:b w:val="0"/>
                <w:sz w:val="17"/>
              </w:rPr>
              <w:t>The family of a tag: what the rules say, else what discovery made of it here.</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806</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877</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 cells joined by "; ", one row per line, header first.</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916</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929</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951</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959</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988</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993</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1013</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1029</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1041</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1047</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1106</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says so and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1165</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1181</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1189</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1221</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1227</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1241</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1277</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1287</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1304</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1323</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1357</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1361</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54</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58</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85</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96</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116</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170</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186</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193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199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208</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213</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243</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276</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302</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339</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362</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396</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440</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443</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449</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456</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463</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471</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497</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520</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558</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619</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629</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653</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667</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712</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737</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760</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796</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810</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858</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883</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919</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998</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1022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1030</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1056</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1101</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1136</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1147</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1214</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1233</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59</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63</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74</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82</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118</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129</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171</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178</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250</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255</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269</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290</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334</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344</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424</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464</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486</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493</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524</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553</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565</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581</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642</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695</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715</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744</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752</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757</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763</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775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795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808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816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821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830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857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878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881</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898</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922</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995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1024</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1039</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1102</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1311</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1329</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62</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106</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138</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pick_scratch_root</w:t>
            </w:r>
          </w:p>
        </w:tc>
        <w:tc>
          <w:tcPr>
            <w:tcW w:type="dxa" w:w="2160"/>
          </w:tcPr>
          <w:p>
            <w:r>
              <w:rPr>
                <w:b w:val="0"/>
                <w:sz w:val="17"/>
              </w:rPr>
            </w:r>
            <w:r>
              <w:rPr>
                <w:b w:val="0"/>
                <w:sz w:val="17"/>
              </w:rPr>
              <w:t>147</w:t>
            </w:r>
          </w:p>
        </w:tc>
        <w:tc>
          <w:tcPr>
            <w:tcW w:type="dxa" w:w="2160"/>
          </w:tcPr>
          <w:p>
            <w:r>
              <w:rPr>
                <w:b w:val="0"/>
                <w:sz w:val="17"/>
              </w:rPr>
            </w:r>
            <w:r>
              <w:rPr>
                <w:b w:val="0"/>
                <w:sz w:val="17"/>
              </w:rPr>
              <w:t>function</w:t>
            </w:r>
          </w:p>
        </w:tc>
        <w:tc>
          <w:tcPr>
            <w:tcW w:type="dxa" w:w="2160"/>
          </w:tcPr>
          <w:p>
            <w:r>
              <w:rPr>
                <w:b w:val="0"/>
                <w:sz w:val="17"/>
              </w:rPr>
            </w:r>
            <w:r>
              <w:rPr>
                <w:b w:val="0"/>
                <w:sz w:val="17"/>
              </w:rPr>
              <w:t>The first folder on the driver AIVA can actually write in, tried in order.</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175</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197</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228</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237</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247</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260</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309</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317</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337</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347</w:t>
            </w:r>
          </w:p>
        </w:tc>
        <w:tc>
          <w:tcPr>
            <w:tcW w:type="dxa" w:w="2160"/>
          </w:tcPr>
          <w:p>
            <w:r>
              <w:rPr>
                <w:b w:val="0"/>
                <w:sz w:val="17"/>
              </w:rPr>
            </w:r>
            <w:r>
              <w:rPr>
                <w:b w:val="0"/>
                <w:sz w:val="17"/>
              </w:rPr>
              <w:t>function</w:t>
            </w:r>
          </w:p>
        </w:tc>
        <w:tc>
          <w:tcPr>
            <w:tcW w:type="dxa" w:w="2160"/>
          </w:tcPr>
          <w:p>
            <w:r>
              <w:rPr>
                <w:b w:val="0"/>
                <w:sz w:val="17"/>
              </w:rPr>
            </w:r>
            <w:r>
              <w:rPr>
                <w:b w:val="0"/>
                <w:sz w:val="17"/>
              </w:rPr>
              <w:t>Sort a failure into a class by the words it contains (probe P-13 matches these lists to what the real gateway returns).</w:t>
            </w:r>
          </w:p>
        </w:tc>
      </w:tr>
      <w:tr>
        <w:tc>
          <w:tcPr>
            <w:tcW w:type="dxa" w:w="2160"/>
          </w:tcPr>
          <w:p>
            <w:r>
              <w:rPr>
                <w:b w:val="0"/>
                <w:sz w:val="17"/>
              </w:rPr>
            </w:r>
            <w:r>
              <w:rPr>
                <w:rFonts w:ascii="Consolas" w:hAnsi="Consolas"/>
                <w:b w:val="0"/>
                <w:sz w:val="17"/>
              </w:rPr>
              <w:t>ChatOutcome</w:t>
            </w:r>
          </w:p>
        </w:tc>
        <w:tc>
          <w:tcPr>
            <w:tcW w:type="dxa" w:w="2160"/>
          </w:tcPr>
          <w:p>
            <w:r>
              <w:rPr>
                <w:b w:val="0"/>
                <w:sz w:val="17"/>
              </w:rPr>
            </w:r>
            <w:r>
              <w:rPr>
                <w:b w:val="0"/>
                <w:sz w:val="17"/>
              </w:rPr>
              <w:t>357</w:t>
            </w:r>
          </w:p>
        </w:tc>
        <w:tc>
          <w:tcPr>
            <w:tcW w:type="dxa" w:w="2160"/>
          </w:tcPr>
          <w:p>
            <w:r>
              <w:rPr>
                <w:b w:val="0"/>
                <w:sz w:val="17"/>
              </w:rPr>
            </w:r>
            <w:r>
              <w:rPr>
                <w:b w:val="0"/>
                <w:sz w:val="17"/>
              </w:rPr>
              <w:t>class</w:t>
            </w:r>
          </w:p>
        </w:tc>
        <w:tc>
          <w:tcPr>
            <w:tcW w:type="dxa" w:w="2160"/>
          </w:tcPr>
          <w:p>
            <w:r>
              <w:rPr>
                <w:b w:val="0"/>
                <w:sz w:val="17"/>
              </w:rPr>
            </w:r>
            <w:r>
              <w:rPr>
                <w:b w:val="0"/>
                <w:sz w:val="17"/>
              </w:rPr>
              <w:t>What one call to chat() came to.</w:t>
            </w:r>
          </w:p>
        </w:tc>
      </w:tr>
      <w:tr>
        <w:tc>
          <w:tcPr>
            <w:tcW w:type="dxa" w:w="2160"/>
          </w:tcPr>
          <w:p>
            <w:r>
              <w:rPr>
                <w:b w:val="0"/>
                <w:sz w:val="17"/>
              </w:rPr>
            </w:r>
            <w:r>
              <w:rPr>
                <w:rFonts w:ascii="Consolas" w:hAnsi="Consolas"/>
                <w:b w:val="0"/>
                <w:sz w:val="17"/>
              </w:rPr>
              <w:t>ChatOutcome.__new__</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first_choice</w:t>
            </w:r>
          </w:p>
        </w:tc>
        <w:tc>
          <w:tcPr>
            <w:tcW w:type="dxa" w:w="2160"/>
          </w:tcPr>
          <w:p>
            <w:r>
              <w:rPr>
                <w:b w:val="0"/>
                <w:sz w:val="17"/>
              </w:rPr>
            </w:r>
            <w:r>
              <w:rPr>
                <w:b w:val="0"/>
                <w:sz w:val="17"/>
              </w:rPr>
              <w:t>379</w:t>
            </w:r>
          </w:p>
        </w:tc>
        <w:tc>
          <w:tcPr>
            <w:tcW w:type="dxa" w:w="2160"/>
          </w:tcPr>
          <w:p>
            <w:r>
              <w:rPr>
                <w:b w:val="0"/>
                <w:sz w:val="17"/>
              </w:rPr>
            </w:r>
            <w:r>
              <w:rPr>
                <w:b w:val="0"/>
                <w:sz w:val="17"/>
              </w:rPr>
              <w:t>function</w:t>
            </w:r>
          </w:p>
        </w:tc>
        <w:tc>
          <w:tcPr>
            <w:tcW w:type="dxa" w:w="2160"/>
          </w:tcPr>
          <w:p>
            <w:r>
              <w:rPr>
                <w:b w:val="0"/>
                <w:sz w:val="17"/>
              </w:rPr>
            </w:r>
            <w:r>
              <w:rPr>
                <w:b w:val="0"/>
                <w:sz w:val="17"/>
              </w:rPr>
              <w:t>The first choice of an OpenAI-shaped reply, or an empty dictionary.</w:t>
            </w:r>
          </w:p>
        </w:tc>
      </w:tr>
      <w:tr>
        <w:tc>
          <w:tcPr>
            <w:tcW w:type="dxa" w:w="2160"/>
          </w:tcPr>
          <w:p>
            <w:r>
              <w:rPr>
                <w:b w:val="0"/>
                <w:sz w:val="17"/>
              </w:rPr>
            </w:r>
            <w:r>
              <w:rPr>
                <w:rFonts w:ascii="Consolas" w:hAnsi="Consolas"/>
                <w:b w:val="0"/>
                <w:sz w:val="17"/>
              </w:rPr>
              <w:t>chat_metadata</w:t>
            </w:r>
          </w:p>
        </w:tc>
        <w:tc>
          <w:tcPr>
            <w:tcW w:type="dxa" w:w="2160"/>
          </w:tcPr>
          <w:p>
            <w:r>
              <w:rPr>
                <w:b w:val="0"/>
                <w:sz w:val="17"/>
              </w:rPr>
            </w:r>
            <w:r>
              <w:rPr>
                <w:b w:val="0"/>
                <w:sz w:val="17"/>
              </w:rPr>
              <w:t>385</w:t>
            </w:r>
          </w:p>
        </w:tc>
        <w:tc>
          <w:tcPr>
            <w:tcW w:type="dxa" w:w="2160"/>
          </w:tcPr>
          <w:p>
            <w:r>
              <w:rPr>
                <w:b w:val="0"/>
                <w:sz w:val="17"/>
              </w:rPr>
            </w:r>
            <w:r>
              <w:rPr>
                <w:b w:val="0"/>
                <w:sz w:val="17"/>
              </w:rPr>
              <w:t>function</w:t>
            </w:r>
          </w:p>
        </w:tc>
        <w:tc>
          <w:tcPr>
            <w:tcW w:type="dxa" w:w="2160"/>
          </w:tcPr>
          <w:p>
            <w:r>
              <w:rPr>
                <w:b w:val="0"/>
                <w:sz w:val="17"/>
              </w:rPr>
            </w:r>
            <w:r>
              <w:rPr>
                <w:b w:val="0"/>
                <w:sz w:val="17"/>
              </w:rPr>
              <w:t>What the gateway said about the call itself: which conversation it belonged to, which model answered, how many tokens it took and why it stopped.</w:t>
            </w:r>
          </w:p>
        </w:tc>
      </w:tr>
      <w:tr>
        <w:tc>
          <w:tcPr>
            <w:tcW w:type="dxa" w:w="2160"/>
          </w:tcPr>
          <w:p>
            <w:r>
              <w:rPr>
                <w:b w:val="0"/>
                <w:sz w:val="17"/>
              </w:rPr>
            </w:r>
            <w:r>
              <w:rPr>
                <w:rFonts w:ascii="Consolas" w:hAnsi="Consolas"/>
                <w:b w:val="0"/>
                <w:sz w:val="17"/>
              </w:rPr>
              <w:t>answer_text_of</w:t>
            </w:r>
          </w:p>
        </w:tc>
        <w:tc>
          <w:tcPr>
            <w:tcW w:type="dxa" w:w="2160"/>
          </w:tcPr>
          <w:p>
            <w:r>
              <w:rPr>
                <w:b w:val="0"/>
                <w:sz w:val="17"/>
              </w:rPr>
            </w:r>
            <w:r>
              <w:rPr>
                <w:b w:val="0"/>
                <w:sz w:val="17"/>
              </w:rPr>
              <w:t>399</w:t>
            </w:r>
          </w:p>
        </w:tc>
        <w:tc>
          <w:tcPr>
            <w:tcW w:type="dxa" w:w="2160"/>
          </w:tcPr>
          <w:p>
            <w:r>
              <w:rPr>
                <w:b w:val="0"/>
                <w:sz w:val="17"/>
              </w:rPr>
            </w:r>
            <w:r>
              <w:rPr>
                <w:b w:val="0"/>
                <w:sz w:val="17"/>
              </w:rPr>
              <w:t>function</w:t>
            </w:r>
          </w:p>
        </w:tc>
        <w:tc>
          <w:tcPr>
            <w:tcW w:type="dxa" w:w="2160"/>
          </w:tcPr>
          <w:p>
            <w:r>
              <w:rPr>
                <w:b w:val="0"/>
                <w:sz w:val="17"/>
              </w:rPr>
            </w:r>
            <w:r>
              <w:rPr>
                <w:b w:val="0"/>
                <w:sz w:val="17"/>
              </w:rPr>
              <w:t>The generated text.</w:t>
            </w:r>
          </w:p>
        </w:tc>
      </w:tr>
      <w:tr>
        <w:tc>
          <w:tcPr>
            <w:tcW w:type="dxa" w:w="2160"/>
          </w:tcPr>
          <w:p>
            <w:r>
              <w:rPr>
                <w:b w:val="0"/>
                <w:sz w:val="17"/>
              </w:rPr>
            </w:r>
            <w:r>
              <w:rPr>
                <w:rFonts w:ascii="Consolas" w:hAnsi="Consolas"/>
                <w:b w:val="0"/>
                <w:sz w:val="17"/>
              </w:rPr>
              <w:t>summarise_response</w:t>
            </w:r>
          </w:p>
        </w:tc>
        <w:tc>
          <w:tcPr>
            <w:tcW w:type="dxa" w:w="2160"/>
          </w:tcPr>
          <w:p>
            <w:r>
              <w:rPr>
                <w:b w:val="0"/>
                <w:sz w:val="17"/>
              </w:rPr>
            </w:r>
            <w:r>
              <w:rPr>
                <w:b w:val="0"/>
                <w:sz w:val="17"/>
              </w:rPr>
              <w:t>409</w:t>
            </w:r>
          </w:p>
        </w:tc>
        <w:tc>
          <w:tcPr>
            <w:tcW w:type="dxa" w:w="2160"/>
          </w:tcPr>
          <w:p>
            <w:r>
              <w:rPr>
                <w:b w:val="0"/>
                <w:sz w:val="17"/>
              </w:rPr>
            </w:r>
            <w:r>
              <w:rPr>
                <w:b w:val="0"/>
                <w:sz w:val="17"/>
              </w:rPr>
              <w:t>function</w:t>
            </w:r>
          </w:p>
        </w:tc>
        <w:tc>
          <w:tcPr>
            <w:tcW w:type="dxa" w:w="2160"/>
          </w:tcPr>
          <w:p>
            <w:r>
              <w:rPr>
                <w:b w:val="0"/>
                <w:sz w:val="17"/>
              </w:rPr>
            </w:r>
            <w:r>
              <w:rPr>
                <w:b w:val="0"/>
                <w:sz w:val="17"/>
              </w:rPr>
              <w:t>A failed reply, shortened for the audit record: the fields that say what went wrong, without the echoed prompts.</w:t>
            </w:r>
          </w:p>
        </w:tc>
      </w:tr>
      <w:tr>
        <w:tc>
          <w:tcPr>
            <w:tcW w:type="dxa" w:w="2160"/>
          </w:tcPr>
          <w:p>
            <w:r>
              <w:rPr>
                <w:b w:val="0"/>
                <w:sz w:val="17"/>
              </w:rPr>
            </w:r>
            <w:r>
              <w:rPr>
                <w:rFonts w:ascii="Consolas" w:hAnsi="Consolas"/>
                <w:b w:val="0"/>
                <w:sz w:val="17"/>
              </w:rPr>
              <w:t>accepts_history</w:t>
            </w:r>
          </w:p>
        </w:tc>
        <w:tc>
          <w:tcPr>
            <w:tcW w:type="dxa" w:w="2160"/>
          </w:tcPr>
          <w:p>
            <w:r>
              <w:rPr>
                <w:b w:val="0"/>
                <w:sz w:val="17"/>
              </w:rPr>
            </w:r>
            <w:r>
              <w:rPr>
                <w:b w:val="0"/>
                <w:sz w:val="17"/>
              </w:rPr>
              <w:t>422</w:t>
            </w:r>
          </w:p>
        </w:tc>
        <w:tc>
          <w:tcPr>
            <w:tcW w:type="dxa" w:w="2160"/>
          </w:tcPr>
          <w:p>
            <w:r>
              <w:rPr>
                <w:b w:val="0"/>
                <w:sz w:val="17"/>
              </w:rPr>
            </w:r>
            <w:r>
              <w:rPr>
                <w:b w:val="0"/>
                <w:sz w:val="17"/>
              </w:rPr>
              <w:t>function</w:t>
            </w:r>
          </w:p>
        </w:tc>
        <w:tc>
          <w:tcPr>
            <w:tcW w:type="dxa" w:w="2160"/>
          </w:tcPr>
          <w:p>
            <w:r>
              <w:rPr>
                <w:b w:val="0"/>
                <w:sz w:val="17"/>
              </w:rPr>
            </w:r>
            <w:r>
              <w:rPr>
                <w:b w:val="0"/>
                <w:sz w:val="17"/>
              </w:rPr>
              <w:t xml:space="preserve">Whether the analyst's chat() takes the third </w:t>
            </w:r>
            <w:r>
              <w:rPr>
                <w:rFonts w:ascii="Consolas" w:hAnsi="Consolas"/>
                <w:b w:val="0"/>
                <w:sz w:val="17"/>
              </w:rPr>
              <w:t>history</w:t>
            </w:r>
            <w:r>
              <w:rPr>
                <w:b w:val="0"/>
                <w:sz w:val="17"/>
              </w:rPr>
              <w:t xml:space="preserve"> argument.</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every way a failure can surface (an exception; a dictionary that carries a status or code; a dictionary with no answer in either place; an answer the model was cut off in the middle of) into one shape.</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465</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473</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491</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550</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605</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625</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632</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640</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647</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688</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713</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722</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731</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engine_file_hashes</w:t>
            </w:r>
          </w:p>
        </w:tc>
        <w:tc>
          <w:tcPr>
            <w:tcW w:type="dxa" w:w="2160"/>
          </w:tcPr>
          <w:p>
            <w:r>
              <w:rPr>
                <w:b w:val="0"/>
                <w:sz w:val="17"/>
              </w:rPr>
            </w:r>
            <w:r>
              <w:rPr>
                <w:b w:val="0"/>
                <w:sz w:val="17"/>
              </w:rPr>
              <w:t>738</w:t>
            </w:r>
          </w:p>
        </w:tc>
        <w:tc>
          <w:tcPr>
            <w:tcW w:type="dxa" w:w="2160"/>
          </w:tcPr>
          <w:p>
            <w:r>
              <w:rPr>
                <w:b w:val="0"/>
                <w:sz w:val="17"/>
              </w:rPr>
            </w:r>
            <w:r>
              <w:rPr>
                <w:b w:val="0"/>
                <w:sz w:val="17"/>
              </w:rPr>
              <w:t>function</w:t>
            </w:r>
          </w:p>
        </w:tc>
        <w:tc>
          <w:tcPr>
            <w:tcW w:type="dxa" w:w="2160"/>
          </w:tcPr>
          <w:p>
            <w:r>
              <w:rPr>
                <w:b w:val="0"/>
                <w:sz w:val="17"/>
              </w:rPr>
            </w:r>
            <w:r>
              <w:rPr>
                <w:b w:val="0"/>
                <w:sz w:val="17"/>
              </w:rPr>
              <w:t>SHA-256 of every file that makes up the engine (code, pipeline, skills, references), so that an evidence pack names exactly the code that produced it (the same list as in docs/release_manifest.json).</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750</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781</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801</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807</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827</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831</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835</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845</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888</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902</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913</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926</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940</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955</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985</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1005</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1012</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1026</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1039</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1053</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1058</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1094</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1112</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1117</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1126</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1155</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1168</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1190</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1211</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1234</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1257</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1280</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1333</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1401</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1426</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