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Seven flat bundles, one-way imports, plain code, line budgets. The reading floor sits directly above the contracts: it imports the shared file and nothing else in the engine, and every step stands on it.</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315</w:t>
            </w:r>
          </w:p>
        </w:tc>
        <w:tc>
          <w:tcPr>
            <w:tcW w:type="dxa" w:w="2160"/>
          </w:tcPr>
          <w:p>
            <w:r>
              <w:rPr>
                <w:b w:val="0"/>
                <w:sz w:val="17"/>
              </w:rPr>
            </w:r>
            <w:r>
              <w:rPr>
                <w:b w:val="0"/>
                <w:sz w:val="17"/>
              </w:rPr>
              <w:t>1100</w:t>
            </w:r>
          </w:p>
        </w:tc>
        <w:tc>
          <w:tcPr>
            <w:tcW w:type="dxa" w:w="2160"/>
          </w:tcPr>
          <w:p>
            <w:r>
              <w:rPr>
                <w:b w:val="0"/>
                <w:sz w:val="17"/>
              </w:rPr>
            </w:r>
            <w:r>
              <w:rPr>
                <w:b w:val="0"/>
                <w:sz w:val="17"/>
              </w:rPr>
              <w:t>36%</w:t>
            </w:r>
          </w:p>
        </w:tc>
      </w:tr>
      <w:tr>
        <w:tc>
          <w:tcPr>
            <w:tcW w:type="dxa" w:w="2160"/>
          </w:tcPr>
          <w:p>
            <w:r>
              <w:rPr>
                <w:b w:val="0"/>
                <w:sz w:val="17"/>
              </w:rPr>
            </w:r>
            <w:r>
              <w:rPr>
                <w:b w:val="0"/>
                <w:sz w:val="17"/>
              </w:rPr>
              <w:t>aiva1_documents.py</w:t>
            </w:r>
          </w:p>
        </w:tc>
        <w:tc>
          <w:tcPr>
            <w:tcW w:type="dxa" w:w="2160"/>
          </w:tcPr>
          <w:p>
            <w:r>
              <w:rPr>
                <w:b w:val="0"/>
                <w:sz w:val="17"/>
              </w:rPr>
            </w:r>
            <w:r>
              <w:rPr>
                <w:b w:val="0"/>
                <w:sz w:val="17"/>
              </w:rPr>
              <w:t>1296</w:t>
            </w:r>
          </w:p>
        </w:tc>
        <w:tc>
          <w:tcPr>
            <w:tcW w:type="dxa" w:w="2160"/>
          </w:tcPr>
          <w:p>
            <w:r>
              <w:rPr>
                <w:b w:val="0"/>
                <w:sz w:val="17"/>
              </w:rPr>
            </w:r>
            <w:r>
              <w:rPr>
                <w:b w:val="0"/>
                <w:sz w:val="17"/>
              </w:rPr>
              <w:t>1500</w:t>
            </w:r>
          </w:p>
        </w:tc>
        <w:tc>
          <w:tcPr>
            <w:tcW w:type="dxa" w:w="2160"/>
          </w:tcPr>
          <w:p>
            <w:r>
              <w:rPr>
                <w:b w:val="0"/>
                <w:sz w:val="17"/>
              </w:rPr>
            </w:r>
            <w:r>
              <w:rPr>
                <w:b w:val="0"/>
                <w:sz w:val="17"/>
              </w:rPr>
              <w:t>17%</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1151</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1493</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57</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95</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104</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127</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170</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181</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333</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415</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429</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488</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509</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514</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536</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579</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601</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610</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618</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624</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638</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693</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718</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813</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848</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856</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890</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923</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939</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953</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959</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1034</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1118</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1135</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1141</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1156</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1173</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1209</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1219</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1236</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1255</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1290</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1294</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992</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1033</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1067</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1130</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987</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1028</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1055</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1060</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1096</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1114</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1119</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1128</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1157</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1213</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1236</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1259</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1282</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1335</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1403</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1428</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