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does not read the content of images: a formula given only as a picture is raised for manual review, never skipped.</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Five flat bundles, one-way imports, plain code, line budgets.</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twelve widgets: LLM endpoint, LLM token, LLM user id, model ID, project, run, Projects folder, JFrog index URL, concurrency limit, token cap, reviewer id and reviewer role.</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val="0"/>
                <w:sz w:val="17"/>
              </w:rPr>
              <w:t>Installs the packages from the JFrog index and restarts Python. Once per cluster start.</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Creates the widgets and finds the notebook's own folder. Run it again after entering the model ID to refresh the project and run lists.</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The call plan: questions by type, the largest prompt against the token cap, the expected duration.</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read. Formulas given only as pictures end </w:t>
      </w:r>
      <w:r>
        <w:rPr>
          <w:i/>
        </w:rPr>
        <w:t>Not assessed</w:t>
      </w:r>
      <w:r>
        <w:t xml:space="preserve"> or make the linked code </w:t>
      </w:r>
      <w:r>
        <w:rPr>
          <w:i/>
        </w:rPr>
        <w:t>Traced - check undecided</w:t>
      </w:r>
      <w:r>
        <w:t>.</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aiva1_documents.infer_levels</w:t>
      </w:r>
      <w:r>
        <w:t>);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Known limitations.</w:t>
      </w:r>
      <w:r>
        <w:t xml:space="preserve"> PDF layout is guessed from positions. Juxtaposition is read as a product only inside structured markup, never in running text. Images are never read.</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0.0.1</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0.0.1</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0.0.1</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any chat() call is spent.</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aiva1_documents.not_read_block</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aiva3_mapping.validate_answer</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b w:val="0"/>
                <w:sz w:val="17"/>
              </w:rPr>
              <w:t>layout tests</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17</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19</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16</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14</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1</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aiva1_documents.py</w:t>
            </w:r>
          </w:p>
        </w:tc>
        <w:tc>
          <w:tcPr>
            <w:tcW w:type="dxa" w:w="2160"/>
          </w:tcPr>
          <w:p>
            <w:r>
              <w:rPr>
                <w:b w:val="0"/>
                <w:sz w:val="17"/>
              </w:rPr>
            </w:r>
            <w:r>
              <w:rPr>
                <w:b w:val="0"/>
                <w:sz w:val="17"/>
              </w:rPr>
              <w:t>1181</w:t>
            </w:r>
          </w:p>
        </w:tc>
        <w:tc>
          <w:tcPr>
            <w:tcW w:type="dxa" w:w="2160"/>
          </w:tcPr>
          <w:p>
            <w:r>
              <w:rPr>
                <w:b w:val="0"/>
                <w:sz w:val="17"/>
              </w:rPr>
            </w:r>
            <w:r>
              <w:rPr>
                <w:b w:val="0"/>
                <w:sz w:val="17"/>
              </w:rPr>
              <w:t>1500</w:t>
            </w:r>
          </w:p>
        </w:tc>
        <w:tc>
          <w:tcPr>
            <w:tcW w:type="dxa" w:w="2160"/>
          </w:tcPr>
          <w:p>
            <w:r>
              <w:rPr>
                <w:b w:val="0"/>
                <w:sz w:val="17"/>
              </w:rPr>
            </w:r>
            <w:r>
              <w:rPr>
                <w:b w:val="0"/>
                <w:sz w:val="17"/>
              </w:rPr>
              <w:t>15%</w:t>
            </w:r>
          </w:p>
        </w:tc>
      </w:tr>
      <w:tr>
        <w:tc>
          <w:tcPr>
            <w:tcW w:type="dxa" w:w="2160"/>
          </w:tcPr>
          <w:p>
            <w:r>
              <w:rPr>
                <w:b w:val="0"/>
                <w:sz w:val="17"/>
              </w:rPr>
            </w:r>
            <w:r>
              <w:rPr>
                <w:b w:val="0"/>
                <w:sz w:val="17"/>
              </w:rPr>
              <w:t>aiva2_package.py</w:t>
            </w:r>
          </w:p>
        </w:tc>
        <w:tc>
          <w:tcPr>
            <w:tcW w:type="dxa" w:w="2160"/>
          </w:tcPr>
          <w:p>
            <w:r>
              <w:rPr>
                <w:b w:val="0"/>
                <w:sz w:val="17"/>
              </w:rPr>
            </w:r>
            <w:r>
              <w:rPr>
                <w:b w:val="0"/>
                <w:sz w:val="17"/>
              </w:rPr>
              <w:t>1285</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1123</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1342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1347</w:t>
            </w:r>
          </w:p>
        </w:tc>
        <w:tc>
          <w:tcPr>
            <w:tcW w:type="dxa" w:w="2160"/>
          </w:tcPr>
          <w:p>
            <w:r>
              <w:rPr>
                <w:b w:val="0"/>
                <w:sz w:val="17"/>
              </w:rPr>
            </w:r>
            <w:r>
              <w:rPr>
                <w:b w:val="0"/>
                <w:sz w:val="17"/>
              </w:rPr>
              <w:t>1500</w:t>
            </w:r>
          </w:p>
        </w:tc>
        <w:tc>
          <w:tcPr>
            <w:tcW w:type="dxa" w:w="2160"/>
          </w:tcPr>
          <w:p>
            <w:r>
              <w:rPr>
                <w:b w:val="0"/>
                <w:sz w:val="17"/>
              </w:rPr>
            </w:r>
            <w:r>
              <w:rPr>
                <w:b w:val="0"/>
                <w:sz w:val="17"/>
              </w:rPr>
              <w:t>14%</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113</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120</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125</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131</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140</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148</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156</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162</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168</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177</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183</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190</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197</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204</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210</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216</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222</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68</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94</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99</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116</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126</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154</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169</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180</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222</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265</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285</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352</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434</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448</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460</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507</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518</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543</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547</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555</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598</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616</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625</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633</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638</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and the report of tags it met that are in no family.</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644</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683</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708</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722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 cells joined by "; ", one row per line, header first.</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738</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751</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773</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780</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809</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814</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834</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850</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862</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868</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927</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says so and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986</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1002</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1010</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1042</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1062</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1097</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1107</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1124</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1175</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1179</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54</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58</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85</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96</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116</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170</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186</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199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208</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213</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243</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276</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339</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362</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396</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440</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443</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449</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456</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463</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471</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497</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520</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558</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619</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629</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653</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667</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712</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737</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760</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858</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883</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919</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998</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1056</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1101</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1136</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1147</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1214</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1233</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59</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63</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129</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171</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178</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250</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255</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269</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290</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344</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424</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464</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486</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493</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553</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565</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581</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642</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695</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715</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744</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752</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757</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763</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775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795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808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816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821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830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857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878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881</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898</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922</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995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1039</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1102</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280</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288</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308</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337</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354</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360</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368</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403</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413</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437</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540</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545</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549</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553</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577</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623</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639</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653</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663</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689</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788</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802</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822</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862</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994</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1002</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1010</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1034</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1055</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1060</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1145</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1200</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1204</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1229</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1246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1271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1289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81</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104</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110</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136</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167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181</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203</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207</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217</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230</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236</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252</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279</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287</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307</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317</w:t>
            </w:r>
          </w:p>
        </w:tc>
        <w:tc>
          <w:tcPr>
            <w:tcW w:type="dxa" w:w="2160"/>
          </w:tcPr>
          <w:p>
            <w:r>
              <w:rPr>
                <w:b w:val="0"/>
                <w:sz w:val="17"/>
              </w:rPr>
            </w:r>
            <w:r>
              <w:rPr>
                <w:b w:val="0"/>
                <w:sz w:val="17"/>
              </w:rPr>
              <w:t>function</w:t>
            </w:r>
          </w:p>
        </w:tc>
        <w:tc>
          <w:tcPr>
            <w:tcW w:type="dxa" w:w="2160"/>
          </w:tcPr>
          <w:p>
            <w:r>
              <w:rPr>
                <w:b w:val="0"/>
                <w:sz w:val="17"/>
              </w:rPr>
            </w:r>
            <w:r>
              <w:rPr>
                <w:b w:val="0"/>
                <w:sz w:val="17"/>
              </w:rPr>
              <w:t>Sort a failure into one of three classes by the words it contains (probe P-13 matches these lists to what the real gateway returns).</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the three ways a failure can surface (an exception; a dictionary that carries a status or code; a dictionary with no "answer") into one shape: (answer text or None, failure class or "", what was seen with tokens removed).</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342</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350</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368</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408</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425</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450</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480</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500</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507</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515</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522</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563</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588</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597</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606</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613</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644</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664</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670</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690</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694</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698</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708</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748</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762</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772</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785</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799</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814</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844</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864</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871</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885</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898</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912</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917</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953</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971</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976</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985</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1014</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1027</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1049</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1070</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1116</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1139</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1192</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1260</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1285</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