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harbourscore: model documentation</w:t>
      </w:r>
    </w:p>
    <w:p>
      <w:pPr>
        <w:pStyle w:val="Heading2"/>
      </w:pPr>
      <w:r>
        <w:t>What the model does</w:t>
      </w:r>
    </w:p>
    <w:p>
      <w:r>
        <w:t>harbour_rating gives each harbour its final rating. It scores the throughput, the berth utilisation and the liquidity with factor_scores, weights the scores with weighted_score, adds the adjustments with adjust_score, looks the adjusted score up in the anchor table and caps the rating two notches below the anchor above a score of 4.5.</w:t>
      </w:r>
    </w:p>
    <w:p>
      <w:pPr>
        <w:pStyle w:val="Heading2"/>
      </w:pPr>
      <w:r>
        <w:t>Inputs</w:t>
      </w:r>
    </w:p>
    <w:p>
      <w:r>
        <w:t>The facilities data frame carries the throughput, the berth utilisation and the liquidity days of each harbour. The thresholds of the throughput are read from the file thresholds.csv; the weights, the adjustment points, the anchor table and the rating scale are stored data of the package.</w:t>
      </w:r>
    </w:p>
    <w:p>
      <w:pPr>
        <w:pStyle w:val="Heading2"/>
      </w:pPr>
      <w:r>
        <w:t>Reporting</w:t>
      </w:r>
    </w:p>
    <w:p>
      <w:r>
        <w:t>The package also produces a quarterly dashboard of port congestion for the operations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