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8D5525"/>
          <w:sz w:val="20"/>
        </w:rPr>
        <w:t>2026 포항고 인문사회 R&amp;E  |  학생 발표 대본</w:t>
      </w:r>
    </w:p>
    <w:p>
      <w:pPr>
        <w:pStyle w:val="Title"/>
      </w:pPr>
      <w:r>
        <w:rPr>
          <w:rFonts w:ascii="맑은 고딕" w:hAnsi="맑은 고딕" w:eastAsia="맑은 고딕"/>
          <w:b/>
          <w:color w:val="8D5525"/>
          <w:sz w:val="44"/>
        </w:rPr>
        <w:t>허준완팀 · 7분 발표 대본</w:t>
      </w:r>
    </w:p>
    <w:p>
      <w:r>
        <w:rPr>
          <w:rFonts w:ascii="맑은 고딕" w:hAnsi="맑은 고딕" w:eastAsia="맑은 고딕"/>
          <w:b/>
          <w:sz w:val="30"/>
        </w:rPr>
        <w:t>국경 없는 범죄, 국경 있는 수사</w:t>
      </w:r>
    </w:p>
    <w:p>
      <w:r>
        <w:rPr>
          <w:rFonts w:ascii="맑은 고딕" w:hAnsi="맑은 고딕" w:eastAsia="맑은 고딕"/>
          <w:b/>
          <w:color w:val="8D5525"/>
          <w:sz w:val="20"/>
        </w:rPr>
        <w:t xml:space="preserve">연구 주제  </w:t>
      </w:r>
      <w:r>
        <w:rPr>
          <w:rFonts w:ascii="맑은 고딕" w:hAnsi="맑은 고딕" w:eastAsia="맑은 고딕"/>
          <w:b w:val="0"/>
          <w:sz w:val="20"/>
        </w:rPr>
        <w:t>다크웹 기반 범죄의 국경 초월성과 국가 간 사법공조의 한계 — 암호화폐 거래 사례를 중심으로</w:t>
      </w:r>
    </w:p>
    <w:p>
      <w:r>
        <w:rPr>
          <w:rFonts w:ascii="맑은 고딕" w:hAnsi="맑은 고딕" w:eastAsia="맑은 고딕"/>
          <w:b/>
          <w:color w:val="8D5525"/>
          <w:sz w:val="20"/>
        </w:rPr>
        <w:t xml:space="preserve">참여학생  </w:t>
      </w:r>
      <w:r>
        <w:rPr>
          <w:rFonts w:ascii="맑은 고딕" w:hAnsi="맑은 고딕" w:eastAsia="맑은 고딕"/>
          <w:b w:val="0"/>
          <w:sz w:val="20"/>
        </w:rPr>
        <w:t>허준완 · 김주찬</w:t>
      </w:r>
    </w:p>
    <w:p>
      <w:r>
        <w:rPr>
          <w:rFonts w:ascii="맑은 고딕" w:hAnsi="맑은 고딕" w:eastAsia="맑은 고딕"/>
          <w:b/>
          <w:color w:val="8D5525"/>
          <w:sz w:val="20"/>
        </w:rPr>
        <w:t xml:space="preserve">발표 인원  </w:t>
      </w:r>
      <w:r>
        <w:rPr>
          <w:rFonts w:ascii="맑은 고딕" w:hAnsi="맑은 고딕" w:eastAsia="맑은 고딕"/>
          <w:b w:val="0"/>
          <w:sz w:val="20"/>
        </w:rPr>
        <w:t>허준완·김주찬 2인 기본</w:t>
      </w:r>
    </w:p>
    <w:p>
      <w:r>
        <w:rPr>
          <w:rFonts w:ascii="맑은 고딕" w:hAnsi="맑은 고딕" w:eastAsia="맑은 고딕"/>
          <w:b/>
          <w:sz w:val="20"/>
        </w:rPr>
        <w:t>슬라이드  19장     대본 권장시간  420초 (7분)     예상 질문  30개</w:t>
      </w:r>
    </w:p>
    <w:p>
      <w:pPr>
        <w:pBdr>
          <w:bottom w:val="single" w:sz="12" w:color="CBCFCC"/>
        </w:pBdr>
      </w:pPr>
      <w:r>
        <w:rPr>
          <w:rFonts w:ascii="맑은 고딕" w:hAnsi="맑은 고딕" w:eastAsia="맑은 고딕"/>
          <w:b w:val="0"/>
          <w:color w:val="72634C"/>
          <w:sz w:val="18"/>
        </w:rPr>
        <w:t>주의: 아래 장별 시간은 목표 시간입니다. 학생의 실제 말하기 속도와 화면 효과 재생시간은 리허설에서 확인해야 합니다.</w:t>
      </w:r>
    </w:p>
    <w:p>
      <w:pPr>
        <w:pStyle w:val="Heading1"/>
      </w:pPr>
      <w:r>
        <w:t>슬라이드별 발표 대본</w:t>
      </w:r>
    </w:p>
    <w:p>
      <w:pPr>
        <w:pStyle w:val="Heading2"/>
        <w:keepNext/>
      </w:pPr>
      <w:r>
        <w:rPr>
          <w:rFonts w:ascii="맑은 고딕" w:hAnsi="맑은 고딕" w:eastAsia="맑은 고딕"/>
          <w:b/>
          <w:color w:val="8D5525"/>
          <w:sz w:val="24"/>
        </w:rPr>
        <w:t>01. 국경 없는 범죄, 국경 있는 수사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안녕하십니까. 허준완팀입니다. 온라인 불법도박과 사기처럼 인터넷에서 시작된 범죄는 학생들의 일상에서도 낯선 문제가 아닙니다. 피해자는 한국에 있는데 운영자나 서버, 결제자료는 다른 국가에 있는 상황을 생각해 보겠습니다. 이런 사건을 해결하려면 무엇이 필요할까요?</w:t>
      </w:r>
    </w:p>
    <w:p>
      <w:r>
        <w:rPr>
          <w:rFonts w:ascii="맑은 고딕" w:hAnsi="맑은 고딕" w:eastAsia="맑은 고딕"/>
          <w:b/>
          <w:color w:val="8D5525"/>
          <w:sz w:val="18"/>
        </w:rPr>
        <w:t xml:space="preserve">화면 주장  </w:t>
      </w:r>
      <w:r>
        <w:rPr>
          <w:rFonts w:ascii="맑은 고딕" w:hAnsi="맑은 고딕" w:eastAsia="맑은 고딕"/>
          <w:b w:val="0"/>
          <w:sz w:val="18"/>
        </w:rPr>
        <w:t>범죄가 국경을 넘을 때 법은 어떻게 협력하는가?</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청소년 온라인 위험을 연구 동기로 설정한 가상 도입</w:t>
      </w:r>
    </w:p>
    <w:p>
      <w:pPr>
        <w:pStyle w:val="Heading2"/>
        <w:keepNext/>
      </w:pPr>
      <w:r>
        <w:rPr>
          <w:rFonts w:ascii="맑은 고딕" w:hAnsi="맑은 고딕" w:eastAsia="맑은 고딕"/>
          <w:b/>
          <w:color w:val="8D5525"/>
          <w:sz w:val="24"/>
        </w:rPr>
        <w:t>02. 청소년에게도 온라인 불법도박의 위험이 있다  |  23초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불법 온라인 도박은 SNS나 메시지 등에서 광고와 유인을 접할 수 있다는 점에서 청소년 보호와 연결됩니다. 하지만 저희 설문은 실제 이용자 수를 조사한 것이 아닙니다. 여기서부터는 범죄 정보가 여러 국가에 걸친 가상 상황을 통해 국제수사의 문제를 이해하겠습니다.</w:t>
      </w:r>
    </w:p>
    <w:p>
      <w:r>
        <w:rPr>
          <w:rFonts w:ascii="맑은 고딕" w:hAnsi="맑은 고딕" w:eastAsia="맑은 고딕"/>
          <w:b/>
          <w:color w:val="8D5525"/>
          <w:sz w:val="18"/>
        </w:rPr>
        <w:t xml:space="preserve">화면 주장  </w:t>
      </w:r>
      <w:r>
        <w:rPr>
          <w:rFonts w:ascii="맑은 고딕" w:hAnsi="맑은 고딕" w:eastAsia="맑은 고딕"/>
          <w:b w:val="0"/>
          <w:sz w:val="18"/>
        </w:rPr>
        <w:t>학생이 겪는 위험이 국가 간 문제로 이어질 수 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연구 문제를 설명하는 교육용 가상 상황, 실태 통계 아님</w:t>
      </w:r>
    </w:p>
    <w:p>
      <w:pPr>
        <w:pStyle w:val="Heading2"/>
        <w:keepNext/>
      </w:pPr>
      <w:r>
        <w:rPr>
          <w:rFonts w:ascii="맑은 고딕" w:hAnsi="맑은 고딕" w:eastAsia="맑은 고딕"/>
          <w:b/>
          <w:color w:val="8D5525"/>
          <w:sz w:val="24"/>
        </w:rPr>
        <w:t>03. 피해자·서버·결제자료가 다른 국가에 있다면?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피해자가 한국에 있다고 모든 증거가 한국에 있는 것은 아닙니다. 서버 운영 사업자나 거래 관련 자료가 외국에 있다면 상대 국가의 법과 협조 절차를 고려해야 합니다. 해외 서버라서 무조건 못 잡는다는 설명도 정확하지 않습니다. 진짜 질문은 어떤 절차로 증거를 확보하느냐입니다.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증거가 흩어지면 한 국가의 수사권만으로는 부족할 수 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연구팀이 설정한 관할권 설명용 가상 상황</w:t>
      </w:r>
    </w:p>
    <w:p>
      <w:pPr>
        <w:pStyle w:val="Heading2"/>
        <w:keepNext/>
      </w:pPr>
      <w:r>
        <w:rPr>
          <w:rFonts w:ascii="맑은 고딕" w:hAnsi="맑은 고딕" w:eastAsia="맑은 고딕"/>
          <w:b/>
          <w:color w:val="8D5525"/>
          <w:sz w:val="24"/>
        </w:rPr>
        <w:t>04. 국경을 넘는 수사에는 단계가 필요하다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국제수사가 어려운 이유는 기술만이 아니라 국가마다 법과 절차가 다르기 때문입니다. 수사기관은 사건을 확인하고 사라질 수 있는 증거의 보존을 요청한 뒤, 법적 권한을 검토하고 협력해야 합니다. 무조건 자료를 가져오는 것이 아니라 정당한 절차가 중요합니다.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빠른 대응과 법적 권한은 함께 검토해야 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전자증거 국제공조의 일반적인 설명 모형</w:t>
      </w:r>
    </w:p>
    <w:p>
      <w:pPr>
        <w:pStyle w:val="Heading2"/>
        <w:keepNext/>
      </w:pPr>
      <w:r>
        <w:rPr>
          <w:rFonts w:ascii="맑은 고딕" w:hAnsi="맑은 고딕" w:eastAsia="맑은 고딕"/>
          <w:b/>
          <w:color w:val="8D5525"/>
          <w:sz w:val="24"/>
        </w:rPr>
        <w:t>05. 비트코인은 정말 추적 불가능할까?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암호화폐 거래에는 지갑주소가 등장해 실명과 바로 연결되지 않을 수 있습니다. 그러나 공개 블록체인에서는 거래기록을 살펴볼 수 있습니다. 주소의 실제 소유자를 특정하는 일은 별도의 증거와 적법한 정보 요청을 요구할 수 있습니다. 익명이라는 말로 수사의 한계를 단순화해서는 안 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거래 흔적과 사용자 신원은 다른 문제</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미국 법무부 가상자산 수사 설명 자료</w:t>
      </w:r>
    </w:p>
    <w:p>
      <w:pPr>
        <w:pStyle w:val="Heading2"/>
        <w:keepNext/>
      </w:pPr>
      <w:r>
        <w:rPr>
          <w:rFonts w:ascii="맑은 고딕" w:hAnsi="맑은 고딕" w:eastAsia="맑은 고딕"/>
          <w:b/>
          <w:color w:val="8D5525"/>
          <w:sz w:val="24"/>
        </w:rPr>
        <w:t>06. 돈의 흐름과 증거의 흐름은 다르다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지금 화면의 화살표는 실제 범죄 수법이 아니라 수사에서 확인하는 정보의 관계를 단순화한 것입니다. 거래가 일어나면 지갑주소 사이에 기록이 남고, 수사기관은 법률에 따라 관련 자료를 확인해야 합니다. 돈의 이동을 본다는 사실과 실제 사람을 확인한다는 사실은 서로 다릅니다.</w:t>
      </w:r>
    </w:p>
    <w:p>
      <w:r>
        <w:rPr>
          <w:rFonts w:ascii="맑은 고딕" w:hAnsi="맑은 고딕" w:eastAsia="맑은 고딕"/>
          <w:b/>
          <w:color w:val="8D5525"/>
          <w:sz w:val="18"/>
        </w:rPr>
        <w:t xml:space="preserve">화면 주장  </w:t>
      </w:r>
      <w:r>
        <w:rPr>
          <w:rFonts w:ascii="맑은 고딕" w:hAnsi="맑은 고딕" w:eastAsia="맑은 고딕"/>
          <w:b w:val="0"/>
          <w:sz w:val="18"/>
        </w:rPr>
        <w:t>기술적 추적 이후에도 법적 절차가 남는다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블록체인 거래 추적에 관한 개념적 모션그래픽; 범죄 실행방법 안내 아님</w:t>
      </w:r>
    </w:p>
    <w:p>
      <w:pPr>
        <w:pStyle w:val="Heading2"/>
        <w:keepNext/>
      </w:pPr>
      <w:r>
        <w:rPr>
          <w:rFonts w:ascii="맑은 고딕" w:hAnsi="맑은 고딕" w:eastAsia="맑은 고딕"/>
          <w:b/>
          <w:color w:val="8D5525"/>
          <w:sz w:val="24"/>
        </w:rPr>
        <w:t>07. 실제 사건: 웰컴 투 비디오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2019년 미국 법무부는 한국에서 운영된 다크웹 아동 성착취물 거래 사이트 웰컴 투 비디오의 국제수사 성과를 발표했습니다. 이 사이트는 비트코인 결제를 이용했습니다. 그러나 실제 서버는 한국에서 압수되었으므로 앞서 말한 해외 서버 가상 사례와 혼동해서는 안 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암호화폐 흔적이 국제수사로 이어지다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U.S. Department of Justice, 2019-10-16, Welcome to Video press release</w:t>
      </w:r>
    </w:p>
    <w:p>
      <w:pPr>
        <w:pStyle w:val="Heading2"/>
        <w:keepNext/>
      </w:pPr>
      <w:r>
        <w:rPr>
          <w:rFonts w:ascii="맑은 고딕" w:hAnsi="맑은 고딕" w:eastAsia="맑은 고딕"/>
          <w:b/>
          <w:color w:val="8D5525"/>
          <w:sz w:val="24"/>
        </w:rPr>
        <w:t>08. 337명의 이용자가 체포되거나 기소됐다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미국 법무부는 발표 당시 사이트 이용자 337명이 전 세계에서 체포되거나 기소됐다고 설명했습니다. 압수된 자료를 바탕으로 38개국에 수사 단서도 전달했습니다. 이 숫자는 저희 설문이 아니라 실제 수사기관의 공개 발표 자료입니다. 공조가 가능하다는 점과 함께 절차의 필요성도 보여줍니다.</w:t>
      </w:r>
    </w:p>
    <w:p>
      <w:r>
        <w:rPr>
          <w:rFonts w:ascii="맑은 고딕" w:hAnsi="맑은 고딕" w:eastAsia="맑은 고딕"/>
          <w:b/>
          <w:color w:val="8D5525"/>
          <w:sz w:val="18"/>
        </w:rPr>
        <w:t xml:space="preserve">화면 주장  </w:t>
      </w:r>
      <w:r>
        <w:rPr>
          <w:rFonts w:ascii="맑은 고딕" w:hAnsi="맑은 고딕" w:eastAsia="맑은 고딕"/>
          <w:b w:val="0"/>
          <w:sz w:val="18"/>
        </w:rPr>
        <w:t>한 국가의 증거 확보가 국제적으로 확장될 수 있다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U.S. DOJ (2019), 337 arrested or charged / leads to 38 countries</w:t>
      </w:r>
    </w:p>
    <w:p>
      <w:pPr>
        <w:pStyle w:val="Heading2"/>
        <w:keepNext/>
      </w:pPr>
      <w:r>
        <w:rPr>
          <w:rFonts w:ascii="맑은 고딕" w:hAnsi="맑은 고딕" w:eastAsia="맑은 고딕"/>
          <w:b/>
          <w:color w:val="8D5525"/>
          <w:sz w:val="24"/>
        </w:rPr>
        <w:t>09. 피해자 보호가 수사의 목적이다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이 사건은 단순한 기술 범죄가 아니라 심각한 아동 성착취 범죄입니다. 저희는 피해를 재현하는 사진이나 장면을 사용하지 않습니다. 수사의 성과는 범죄자가 얼마나 빨리 붙잡혔는지뿐 아니라 피해자 보호와 권리 회복이라는 기준으로도 평가해야 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사건을 선정적으로 재현하지 않는다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U.S. DOJ (2019), 피해자 구조 및 국제공조 발표</w:t>
      </w:r>
    </w:p>
    <w:p>
      <w:pPr>
        <w:pStyle w:val="Heading2"/>
        <w:keepNext/>
      </w:pPr>
      <w:r>
        <w:rPr>
          <w:rFonts w:ascii="맑은 고딕" w:hAnsi="맑은 고딕" w:eastAsia="맑은 고딕"/>
          <w:b/>
          <w:color w:val="8D5525"/>
          <w:sz w:val="24"/>
        </w:rPr>
        <w:t>10. 국경을 넘는 자료 요청은 어떻게 작동할까?  |  22초</w:t>
      </w:r>
    </w:p>
    <w:p>
      <w:pPr>
        <w:spacing w:after="120"/>
      </w:pPr>
      <w:r>
        <w:rPr>
          <w:rFonts w:ascii="맑은 고딕" w:hAnsi="맑은 고딕" w:eastAsia="맑은 고딕"/>
          <w:b/>
          <w:color w:val="5A7077"/>
          <w:sz w:val="18"/>
        </w:rPr>
        <w:t>1인: 대표 발표자  ·  2인: 발표자 1</w:t>
      </w:r>
    </w:p>
    <w:p>
      <w:r>
        <w:rPr>
          <w:rFonts w:ascii="맑은 고딕" w:hAnsi="맑은 고딕" w:eastAsia="맑은 고딕"/>
          <w:b w:val="0"/>
          <w:sz w:val="20"/>
        </w:rPr>
        <w:t>전자증거는 삭제되기 쉬워 빠른 보존이 중요하지만, 보존과 열람은 같은 일이 아닙니다. 요청을 받는 국가의 법과 사법절차가 적용될 수 있습니다. 따라서 국제수사는 기술적 속도와 법적 정당성을 함께 설계해야 합니다. 하나의 기관이 모든 나라의 증거를 마음대로 가져갈 수 있는 것은 아닙니다.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자료 공유는 적법절차와 함께 진행된다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유럽평의회 사이버범죄협약 및 전자증거 협력 원칙에 관한 설명</w:t>
      </w:r>
    </w:p>
    <w:p>
      <w:pPr>
        <w:pStyle w:val="Heading2"/>
        <w:keepNext/>
      </w:pPr>
      <w:r>
        <w:rPr>
          <w:rFonts w:ascii="맑은 고딕" w:hAnsi="맑은 고딕" w:eastAsia="맑은 고딕"/>
          <w:b/>
          <w:color w:val="8D5525"/>
          <w:sz w:val="24"/>
        </w:rPr>
        <w:t>11. 부다페스트 협약과 24시간 연락망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국가들이 전자증거를 보존하고 협조하는 데에는 부다페스트 협약과 같은 제도적 체계가 참고됩니다. 이 협약은 국제 협력의 방법을 다루지만 모든 국가가 같은 규칙을 적용하는 것은 아닙니다. 개별 국가의 가입 여부와 실제 국내법을 따져야 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가입국·국내법·개별 사건의 절차 확인이 필요하다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Council of Europe, Budapest Convention on Cybercrime</w:t>
      </w:r>
    </w:p>
    <w:p>
      <w:pPr>
        <w:pStyle w:val="Heading2"/>
        <w:keepNext/>
      </w:pPr>
      <w:r>
        <w:rPr>
          <w:rFonts w:ascii="맑은 고딕" w:hAnsi="맑은 고딕" w:eastAsia="맑은 고딕"/>
          <w:b/>
          <w:color w:val="8D5525"/>
          <w:sz w:val="24"/>
        </w:rPr>
        <w:t>12. 홉스: 국가는 왜 안전을 책임지는가?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홉스의 정치철학은 사람들이 안전과 질서를 위해 정치공동체를 만드는 이유를 생각하게 합니다. 범죄 피해가 국가의 경계를 넘어선다면 안전을 지켜야 할 책임도 국가 간 협력을 요구할 수 있습니다. 다만 홉스의 이론 자체가 국제수사 법률을 만든 것은 아닙니다.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안전 보장의 책임은 분명하다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Thomas Hobbes, Leviathan 개념을 응용한 윤리적 해석</w:t>
      </w:r>
    </w:p>
    <w:p>
      <w:pPr>
        <w:pStyle w:val="Heading2"/>
        <w:keepNext/>
      </w:pPr>
      <w:r>
        <w:rPr>
          <w:rFonts w:ascii="맑은 고딕" w:hAnsi="맑은 고딕" w:eastAsia="맑은 고딕"/>
          <w:b/>
          <w:color w:val="8D5525"/>
          <w:sz w:val="24"/>
        </w:rPr>
        <w:t>13. 칸트: 효율 때문에 사람을 수단화할 수 있는가?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칸트는 인간을 단지 수단으로만 취급해서는 안 된다는 윤리 원칙을 제시했습니다. 범죄를 엄정하게 수사하더라도 개인정보와 법적 권리를 무제한으로 침해해서는 안 됩니다. 피해자와 피의자 모두 인간으로서 존중받아야 한다는 관점을 검토할 수 있습니다.</w:t>
      </w:r>
    </w:p>
    <w:p>
      <w:r>
        <w:rPr>
          <w:rFonts w:ascii="맑은 고딕" w:hAnsi="맑은 고딕" w:eastAsia="맑은 고딕"/>
          <w:b/>
          <w:color w:val="8D5525"/>
          <w:sz w:val="18"/>
        </w:rPr>
        <w:t xml:space="preserve">화면 주장  </w:t>
      </w:r>
      <w:r>
        <w:rPr>
          <w:rFonts w:ascii="맑은 고딕" w:hAnsi="맑은 고딕" w:eastAsia="맑은 고딕"/>
          <w:b w:val="0"/>
          <w:sz w:val="18"/>
        </w:rPr>
        <w:t>피해자 보호와 피의자의 적법절차는 함께 지켜야 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Immanuel Kant, Groundwork of the Metaphysics of Morals 개념 해설</w:t>
      </w:r>
    </w:p>
    <w:p>
      <w:pPr>
        <w:pStyle w:val="Heading2"/>
        <w:keepNext/>
      </w:pPr>
      <w:r>
        <w:rPr>
          <w:rFonts w:ascii="맑은 고딕" w:hAnsi="맑은 고딕" w:eastAsia="맑은 고딕"/>
          <w:b/>
          <w:color w:val="8D5525"/>
          <w:sz w:val="24"/>
        </w:rPr>
        <w:t>14. 롤스: 정의로운 절차는 어떤 모습인가?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롤스는 공정한 제도와 기본적 자유를 강조했습니다. 국제공조에 직접 적용하면 수사 권한이 아무리 효과적이어도 제도가 공정한 절차를 지켜야 한다는 질문으로 이어집니다. 이 역시 연구팀의 윤리적 해석이며 실제 국제법 조문과는 구분해야 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강한 공권력일수록 이유를 설명해야 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Stanford Encyclopedia, John Rawls / Original Position</w:t>
      </w:r>
    </w:p>
    <w:p>
      <w:pPr>
        <w:pStyle w:val="Heading2"/>
        <w:keepNext/>
      </w:pPr>
      <w:r>
        <w:rPr>
          <w:rFonts w:ascii="맑은 고딕" w:hAnsi="맑은 고딕" w:eastAsia="맑은 고딕"/>
          <w:b/>
          <w:color w:val="8D5525"/>
          <w:sz w:val="24"/>
        </w:rPr>
        <w:t>15. 포항고 1학년 108건의 인식을 조사했다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저희 설문은 참여에 동의한 1학년 응답 108건을 분석했습니다. 5점 척도 열두 문항과 선택형 세 문항입니다. 실제 불법도박 참여나 암호화폐 거래 경험을 조사하지 않았다는 점을 분명히 합니다. 따라서 청소년 범죄 실태 자료처럼 해석해서는 안 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실제 이용 경험이 아니라 수사공조에 대한 인식</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허준완팀 설문 원자료, 1학년 동의 108건</w:t>
      </w:r>
    </w:p>
    <w:p>
      <w:pPr>
        <w:pStyle w:val="Heading2"/>
        <w:keepNext/>
      </w:pPr>
      <w:r>
        <w:rPr>
          <w:rFonts w:ascii="맑은 고딕" w:hAnsi="맑은 고딕" w:eastAsia="맑은 고딕"/>
          <w:b/>
          <w:color w:val="8D5525"/>
          <w:sz w:val="24"/>
        </w:rPr>
        <w:t>16. 협력을 중요하게 본 학생들이 많았다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전자증거의 확보와 공유가 중요하다는 긍정 응답은 96건, 88.9퍼센트였습니다. 국제수사 협력이 중요하다는 응답도 86.1퍼센트였습니다. 당연하게 보이는 높은 동의율만으로는 더 깊은 연구가 되기 어렵습니다. 그래서 저희는 어떤 권리와 절차를 함께 지켜야 하는지를 추가로 살펴봤습니다.</w:t>
      </w:r>
    </w:p>
    <w:p>
      <w:r>
        <w:rPr>
          <w:rFonts w:ascii="맑은 고딕" w:hAnsi="맑은 고딕" w:eastAsia="맑은 고딕"/>
          <w:b/>
          <w:color w:val="8D5525"/>
          <w:sz w:val="18"/>
        </w:rPr>
        <w:t xml:space="preserve">화면 주장  </w:t>
      </w:r>
      <w:r>
        <w:rPr>
          <w:rFonts w:ascii="맑은 고딕" w:hAnsi="맑은 고딕" w:eastAsia="맑은 고딕"/>
          <w:b w:val="0"/>
          <w:sz w:val="18"/>
        </w:rPr>
        <w:t>필요성에 대한 인식은 높았다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허준완팀 설문, 관련 5점 척도 문항, n=108</w:t>
      </w:r>
    </w:p>
    <w:p>
      <w:pPr>
        <w:pStyle w:val="Heading2"/>
        <w:keepNext/>
      </w:pPr>
      <w:r>
        <w:rPr>
          <w:rFonts w:ascii="맑은 고딕" w:hAnsi="맑은 고딕" w:eastAsia="맑은 고딕"/>
          <w:b/>
          <w:color w:val="8D5525"/>
          <w:sz w:val="24"/>
        </w:rPr>
        <w:t>17. 수사의 필요성과 절차의 권리는 다르게 평가됐다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국제수사에서 적법절차와 인권 준수가 중요하다는 긍정 응답은 65.7퍼센트였습니다. 가장 우선해야 할 가치를 하나 고르게 했을 때 피해자 보호는 30.6퍼센트로 가장 많았습니다. 이 항목들은 서로 다른 질문이므로 한 사람의 선택 변화를 뜻하지 않습니다. 중요한 것은 안전과 권리를 함께 설명하는 문제입니다.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응답은 갈등하는 가치의 우선순위를 보여준다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허준완팀 설문, 5점 척도·단일 선택형 문항 구분</w:t>
      </w:r>
    </w:p>
    <w:p>
      <w:pPr>
        <w:pStyle w:val="Heading2"/>
        <w:keepNext/>
      </w:pPr>
      <w:r>
        <w:rPr>
          <w:rFonts w:ascii="맑은 고딕" w:hAnsi="맑은 고딕" w:eastAsia="맑은 고딕"/>
          <w:b/>
          <w:color w:val="8D5525"/>
          <w:sz w:val="24"/>
        </w:rPr>
        <w:t>18. Evidence Bridge: 기술과 법을 연결하는 다리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저희는 에비던스 브리지라는 네 단계 제언을 제시합니다. 먼저 증거를 보존하고, 요청하는 기관의 권한을 확인하고, 적법한 범위에서 자료를 공유한 뒤 피해자 보호와 사후 감독을 평가합니다. 수사속도만 높이는 기술적 모형이 아니라 권리 보장을 내장한 협력 절차라는 데 의미가 있습니다.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청소년 보호와 국가 간 신뢰를 함께 추구한다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허준완팀의 규범적 제언; 실제 제도 성과를 검증한 것은 아님</w:t>
      </w:r>
    </w:p>
    <w:p>
      <w:pPr>
        <w:pStyle w:val="Heading2"/>
        <w:keepNext/>
      </w:pPr>
      <w:r>
        <w:rPr>
          <w:rFonts w:ascii="맑은 고딕" w:hAnsi="맑은 고딕" w:eastAsia="맑은 고딕"/>
          <w:b/>
          <w:color w:val="8D5525"/>
          <w:sz w:val="24"/>
        </w:rPr>
        <w:t>19. 범죄는 국경을 넘어도, 수사는 법을 넘어선 안 된다  |  22초</w:t>
      </w:r>
    </w:p>
    <w:p>
      <w:pPr>
        <w:spacing w:after="120"/>
      </w:pPr>
      <w:r>
        <w:rPr>
          <w:rFonts w:ascii="맑은 고딕" w:hAnsi="맑은 고딕" w:eastAsia="맑은 고딕"/>
          <w:b/>
          <w:color w:val="5A7077"/>
          <w:sz w:val="18"/>
        </w:rPr>
        <w:t>1인: 대표 발표자  ·  2인: 발표자 2</w:t>
      </w:r>
    </w:p>
    <w:p>
      <w:r>
        <w:rPr>
          <w:rFonts w:ascii="맑은 고딕" w:hAnsi="맑은 고딕" w:eastAsia="맑은 고딕"/>
          <w:b w:val="0"/>
          <w:sz w:val="20"/>
        </w:rPr>
        <w:t>국경을 넘는 범죄에 맞서려면 국제공조는 선택이 아니라 중요한 대응 수단입니다. 하지만 암호화폐의 기록을 추적할 수 있다는 사실이 모든 자료를 마음대로 확보해도 된다는 뜻은 아닙니다. 청소년의 안전과 인간의 존엄을 함께 지키는 공조가 필요합니다. 경청해 주셔서 감사합니다.</w:t>
      </w:r>
    </w:p>
    <w:p>
      <w:r>
        <w:rPr>
          <w:rFonts w:ascii="맑은 고딕" w:hAnsi="맑은 고딕" w:eastAsia="맑은 고딕"/>
          <w:b/>
          <w:color w:val="8D5525"/>
          <w:sz w:val="18"/>
        </w:rPr>
        <w:t xml:space="preserve">화면 주장  </w:t>
      </w:r>
      <w:r>
        <w:rPr>
          <w:rFonts w:ascii="맑은 고딕" w:hAnsi="맑은 고딕" w:eastAsia="맑은 고딕"/>
          <w:b w:val="0"/>
          <w:sz w:val="18"/>
        </w:rPr>
        <w:t>신속한 국제공조에도 적법절차와 피해자 보호가 필요하다</w:t>
      </w:r>
    </w:p>
    <w:p>
      <w:r>
        <w:rPr>
          <w:rFonts w:ascii="맑은 고딕" w:hAnsi="맑은 고딕" w:eastAsia="맑은 고딕"/>
          <w:b/>
          <w:color w:val="5F6E75"/>
          <w:sz w:val="16"/>
        </w:rPr>
        <w:t xml:space="preserve">자료 근거  </w:t>
      </w:r>
      <w:r>
        <w:rPr>
          <w:rFonts w:ascii="맑은 고딕" w:hAnsi="맑은 고딕" w:eastAsia="맑은 고딕"/>
          <w:b w:val="0"/>
          <w:color w:val="5F6E75"/>
          <w:sz w:val="16"/>
        </w:rPr>
        <w:t>실제 국제수사 사례·학생 설문·윤리 이론을 종합한 결론</w:t>
      </w:r>
    </w:p>
    <w:p>
      <w:r>
        <w:br w:type="page"/>
      </w:r>
    </w:p>
    <w:p>
      <w:pPr>
        <w:pStyle w:val="Heading1"/>
      </w:pPr>
      <w:r>
        <w:t>심사위원 예상 질문·모범답안</w:t>
      </w:r>
    </w:p>
    <w:p>
      <w:r>
        <w:rPr>
          <w:rFonts w:ascii="맑은 고딕" w:hAnsi="맑은 고딕" w:eastAsia="맑은 고딕"/>
          <w:b w:val="0"/>
          <w:sz w:val="20"/>
        </w:rPr>
        <w:t>이 문항은 실전 연습용입니다. 설문 문항의 분모, 학생의 인식과 실제 효과, 출처의 한계를 함께 설명하도록 연습하세요.</w:t>
      </w:r>
    </w:p>
    <w:p>
      <w:pPr>
        <w:pStyle w:val="Heading2"/>
        <w:keepNext/>
      </w:pPr>
      <w:r>
        <w:rPr>
          <w:rFonts w:ascii="맑은 고딕" w:hAnsi="맑은 고딕" w:eastAsia="맑은 고딕"/>
          <w:b/>
          <w:color w:val="8D5525"/>
          <w:sz w:val="22"/>
        </w:rPr>
        <w:t>01. 왜 하필 다크웹과 암호화폐를 함께 다뤘나요?</w:t>
      </w:r>
    </w:p>
    <w:p>
      <w:r>
        <w:rPr>
          <w:rFonts w:ascii="맑은 고딕" w:hAnsi="맑은 고딕" w:eastAsia="맑은 고딕"/>
          <w:b/>
          <w:color w:val="8D5525"/>
          <w:sz w:val="18"/>
        </w:rPr>
        <w:t xml:space="preserve">모범답안  </w:t>
      </w:r>
      <w:r>
        <w:rPr>
          <w:rFonts w:ascii="맑은 고딕" w:hAnsi="맑은 고딕" w:eastAsia="맑은 고딕"/>
          <w:b w:val="0"/>
          <w:sz w:val="20"/>
        </w:rPr>
        <w:t>다크웹 범죄의 일부 결제에 가상자산이 사용되며, 사건의 전자증거와 거래정보가 다른 국가에 분산될 수 있기 때문입니다. 두 기술의 이용 자체가 불법이라는 주장은 하지 않았습니다.</w:t>
      </w:r>
    </w:p>
    <w:p>
      <w:pPr>
        <w:pStyle w:val="Heading2"/>
        <w:keepNext/>
      </w:pPr>
      <w:r>
        <w:rPr>
          <w:rFonts w:ascii="맑은 고딕" w:hAnsi="맑은 고딕" w:eastAsia="맑은 고딕"/>
          <w:b/>
          <w:color w:val="8D5525"/>
          <w:sz w:val="22"/>
        </w:rPr>
        <w:t>02. 암호화폐를 제목에 넣고 왜 학생 설문에는 직접 묻지 않았나요?</w:t>
      </w:r>
    </w:p>
    <w:p>
      <w:r>
        <w:rPr>
          <w:rFonts w:ascii="맑은 고딕" w:hAnsi="맑은 고딕" w:eastAsia="맑은 고딕"/>
          <w:b/>
          <w:color w:val="8D5525"/>
          <w:sz w:val="18"/>
        </w:rPr>
        <w:t xml:space="preserve">모범답안  </w:t>
      </w:r>
      <w:r>
        <w:rPr>
          <w:rFonts w:ascii="맑은 고딕" w:hAnsi="맑은 고딕" w:eastAsia="맑은 고딕"/>
          <w:b w:val="0"/>
          <w:sz w:val="20"/>
        </w:rPr>
        <w:t>설문은 국제수사 인식 조사이고, 암호화폐 부분은 유로폴·FATF 등 공적 문헌을 통한 별도 사례 분석입니다. 자료의 역할과 측정 범위를 분리했습니다.</w:t>
      </w:r>
    </w:p>
    <w:p>
      <w:pPr>
        <w:pStyle w:val="Heading2"/>
        <w:keepNext/>
      </w:pPr>
      <w:r>
        <w:rPr>
          <w:rFonts w:ascii="맑은 고딕" w:hAnsi="맑은 고딕" w:eastAsia="맑은 고딕"/>
          <w:b/>
          <w:color w:val="8D5525"/>
          <w:sz w:val="22"/>
        </w:rPr>
        <w:t>03. 108명으로 일반화할 수 있나요?</w:t>
      </w:r>
    </w:p>
    <w:p>
      <w:r>
        <w:rPr>
          <w:rFonts w:ascii="맑은 고딕" w:hAnsi="맑은 고딕" w:eastAsia="맑은 고딕"/>
          <w:b/>
          <w:color w:val="8D5525"/>
          <w:sz w:val="18"/>
        </w:rPr>
        <w:t xml:space="preserve">모범답안  </w:t>
      </w:r>
      <w:r>
        <w:rPr>
          <w:rFonts w:ascii="맑은 고딕" w:hAnsi="맑은 고딕" w:eastAsia="맑은 고딕"/>
          <w:b w:val="0"/>
          <w:sz w:val="20"/>
        </w:rPr>
        <w:t>전부 한 학년의 편의표집입니다. 학교 전체나 전국 청소년을 대표하지 않으며 탐색적 인식 조사로만 해석합니다.</w:t>
      </w:r>
    </w:p>
    <w:p>
      <w:pPr>
        <w:pStyle w:val="Heading2"/>
        <w:keepNext/>
      </w:pPr>
      <w:r>
        <w:rPr>
          <w:rFonts w:ascii="맑은 고딕" w:hAnsi="맑은 고딕" w:eastAsia="맑은 고딕"/>
          <w:b/>
          <w:color w:val="8D5525"/>
          <w:sz w:val="22"/>
        </w:rPr>
        <w:t>04. 왜 모두 1학년인가요?</w:t>
      </w:r>
    </w:p>
    <w:p>
      <w:r>
        <w:rPr>
          <w:rFonts w:ascii="맑은 고딕" w:hAnsi="맑은 고딕" w:eastAsia="맑은 고딕"/>
          <w:b/>
          <w:color w:val="8D5525"/>
          <w:sz w:val="18"/>
        </w:rPr>
        <w:t xml:space="preserve">모범답안  </w:t>
      </w:r>
      <w:r>
        <w:rPr>
          <w:rFonts w:ascii="맑은 고딕" w:hAnsi="맑은 고딕" w:eastAsia="맑은 고딕"/>
          <w:b w:val="0"/>
          <w:sz w:val="20"/>
        </w:rPr>
        <w:t>해당 파일에 실제 응답이 있는 시트의 유효 설문이 모두 1학년으로 확인됐기 때문입니다. 타 학년 자료를 만들어 합치지 않았습니다.</w:t>
      </w:r>
    </w:p>
    <w:p>
      <w:pPr>
        <w:pStyle w:val="Heading2"/>
        <w:keepNext/>
      </w:pPr>
      <w:r>
        <w:rPr>
          <w:rFonts w:ascii="맑은 고딕" w:hAnsi="맑은 고딕" w:eastAsia="맑은 고딕"/>
          <w:b/>
          <w:color w:val="8D5525"/>
          <w:sz w:val="22"/>
        </w:rPr>
        <w:t>05. 고등학생의 인식으로 국제수사 개선안을 만들 수 있나요?</w:t>
      </w:r>
    </w:p>
    <w:p>
      <w:r>
        <w:rPr>
          <w:rFonts w:ascii="맑은 고딕" w:hAnsi="맑은 고딕" w:eastAsia="맑은 고딕"/>
          <w:b/>
          <w:color w:val="8D5525"/>
          <w:sz w:val="18"/>
        </w:rPr>
        <w:t xml:space="preserve">모범답안  </w:t>
      </w:r>
      <w:r>
        <w:rPr>
          <w:rFonts w:ascii="맑은 고딕" w:hAnsi="맑은 고딕" w:eastAsia="맑은 고딕"/>
          <w:b w:val="0"/>
          <w:sz w:val="20"/>
        </w:rPr>
        <w:t>설문은 사회적 가치 판단의 참고자료이고, 정책 설계의 직접 근거는 제도와 공식 사건 자료입니다. 설문 자체가 정책의 실효성을 검증한 것은 아닙니다.</w:t>
      </w:r>
    </w:p>
    <w:p>
      <w:pPr>
        <w:pStyle w:val="Heading2"/>
        <w:keepNext/>
      </w:pPr>
      <w:r>
        <w:rPr>
          <w:rFonts w:ascii="맑은 고딕" w:hAnsi="맑은 고딕" w:eastAsia="맑은 고딕"/>
          <w:b/>
          <w:color w:val="8D5525"/>
          <w:sz w:val="22"/>
        </w:rPr>
        <w:t>06. 88.9%는 어떻게 계산했나요?</w:t>
      </w:r>
    </w:p>
    <w:p>
      <w:r>
        <w:rPr>
          <w:rFonts w:ascii="맑은 고딕" w:hAnsi="맑은 고딕" w:eastAsia="맑은 고딕"/>
          <w:b/>
          <w:color w:val="8D5525"/>
          <w:sz w:val="18"/>
        </w:rPr>
        <w:t xml:space="preserve">모범답안  </w:t>
      </w:r>
      <w:r>
        <w:rPr>
          <w:rFonts w:ascii="맑은 고딕" w:hAnsi="맑은 고딕" w:eastAsia="맑은 고딕"/>
          <w:b w:val="0"/>
          <w:sz w:val="20"/>
        </w:rPr>
        <w:t>디지털 증거 문항에서 4점 또는 5점을 고른 96명을 총 108명으로 나눠 계산했습니다(96/108=88.9%).</w:t>
      </w:r>
    </w:p>
    <w:p>
      <w:pPr>
        <w:pStyle w:val="Heading2"/>
        <w:keepNext/>
      </w:pPr>
      <w:r>
        <w:rPr>
          <w:rFonts w:ascii="맑은 고딕" w:hAnsi="맑은 고딕" w:eastAsia="맑은 고딕"/>
          <w:b/>
          <w:color w:val="8D5525"/>
          <w:sz w:val="22"/>
        </w:rPr>
        <w:t>07. 23.2%p 차이의 뜻은 무엇인가요?</w:t>
      </w:r>
    </w:p>
    <w:p>
      <w:r>
        <w:rPr>
          <w:rFonts w:ascii="맑은 고딕" w:hAnsi="맑은 고딕" w:eastAsia="맑은 고딕"/>
          <w:b/>
          <w:color w:val="8D5525"/>
          <w:sz w:val="18"/>
        </w:rPr>
        <w:t xml:space="preserve">모범답안  </w:t>
      </w:r>
      <w:r>
        <w:rPr>
          <w:rFonts w:ascii="맑은 고딕" w:hAnsi="맑은 고딕" w:eastAsia="맑은 고딕"/>
          <w:b w:val="0"/>
          <w:sz w:val="20"/>
        </w:rPr>
        <w:t>88.9%와 65.7%의 단순한 비율 차이입니다. 원인이 무엇인지를 보여주는 인과지표는 아닙니다.</w:t>
      </w:r>
    </w:p>
    <w:p>
      <w:pPr>
        <w:pStyle w:val="Heading2"/>
        <w:keepNext/>
      </w:pPr>
      <w:r>
        <w:rPr>
          <w:rFonts w:ascii="맑은 고딕" w:hAnsi="맑은 고딕" w:eastAsia="맑은 고딕"/>
          <w:b/>
          <w:color w:val="8D5525"/>
          <w:sz w:val="22"/>
        </w:rPr>
        <w:t>08. 65.7%가 낮으니 학생들이 인권을 경시합니까?</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질문별 긍정률이 다르게 관찰됐다는 뜻이지, 개인의 인권관이나 사회적 원인을 입증하지 않습니다.</w:t>
      </w:r>
    </w:p>
    <w:p>
      <w:pPr>
        <w:pStyle w:val="Heading2"/>
        <w:keepNext/>
      </w:pPr>
      <w:r>
        <w:rPr>
          <w:rFonts w:ascii="맑은 고딕" w:hAnsi="맑은 고딕" w:eastAsia="맑은 고딕"/>
          <w:b/>
          <w:color w:val="8D5525"/>
          <w:sz w:val="22"/>
        </w:rPr>
        <w:t>09. 관할권 충돌 24.1%는 압도적인 1위인가요?</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26명이 골랐고 2위 법률 차이는 23명입니다. 3명의 차이라 객관적 난이도 1위라고 과장하지 않았습니다.</w:t>
      </w:r>
    </w:p>
    <w:p>
      <w:pPr>
        <w:pStyle w:val="Heading2"/>
        <w:keepNext/>
      </w:pPr>
      <w:r>
        <w:rPr>
          <w:rFonts w:ascii="맑은 고딕" w:hAnsi="맑은 고딕" w:eastAsia="맑은 고딕"/>
          <w:b/>
          <w:color w:val="8D5525"/>
          <w:sz w:val="22"/>
        </w:rPr>
        <w:t>10. 통계적 유의성 검정을 하지 않은 이유는 무엇인가요?</w:t>
      </w:r>
    </w:p>
    <w:p>
      <w:r>
        <w:rPr>
          <w:rFonts w:ascii="맑은 고딕" w:hAnsi="맑은 고딕" w:eastAsia="맑은 고딕"/>
          <w:b/>
          <w:color w:val="8D5525"/>
          <w:sz w:val="18"/>
        </w:rPr>
        <w:t xml:space="preserve">모범답안  </w:t>
      </w:r>
      <w:r>
        <w:rPr>
          <w:rFonts w:ascii="맑은 고딕" w:hAnsi="맑은 고딕" w:eastAsia="맑은 고딕"/>
          <w:b w:val="0"/>
          <w:sz w:val="20"/>
        </w:rPr>
        <w:t>확률표집이 아니며 소집단 간 인과비교 설계도 없습니다. 기술통계와 해석의 제한을 명확히 하는 편이 타당하다고 판단했습니다.</w:t>
      </w:r>
    </w:p>
    <w:p>
      <w:pPr>
        <w:pStyle w:val="Heading2"/>
        <w:keepNext/>
      </w:pPr>
      <w:r>
        <w:rPr>
          <w:rFonts w:ascii="맑은 고딕" w:hAnsi="맑은 고딕" w:eastAsia="맑은 고딕"/>
          <w:b/>
          <w:color w:val="8D5525"/>
          <w:sz w:val="22"/>
        </w:rPr>
        <w:t>11. 설문 12개 척도의 내적 일관성은 검증했나요?</w:t>
      </w:r>
    </w:p>
    <w:p>
      <w:r>
        <w:rPr>
          <w:rFonts w:ascii="맑은 고딕" w:hAnsi="맑은 고딕" w:eastAsia="맑은 고딕"/>
          <w:b/>
          <w:color w:val="8D5525"/>
          <w:sz w:val="18"/>
        </w:rPr>
        <w:t xml:space="preserve">모범답안  </w:t>
      </w:r>
      <w:r>
        <w:rPr>
          <w:rFonts w:ascii="맑은 고딕" w:hAnsi="맑은 고딕" w:eastAsia="맑은 고딕"/>
          <w:b w:val="0"/>
          <w:sz w:val="20"/>
        </w:rPr>
        <w:t>설문은 국제공조의 서로 다른 쟁점을 묻고 있어 단일 잠재변인의 일관된 척도라고 전제하기 어렵습니다. 크론바흐 알파 등을 무리하게 적용하지 않았습니다.</w:t>
      </w:r>
    </w:p>
    <w:p>
      <w:pPr>
        <w:pStyle w:val="Heading2"/>
        <w:keepNext/>
      </w:pPr>
      <w:r>
        <w:rPr>
          <w:rFonts w:ascii="맑은 고딕" w:hAnsi="맑은 고딕" w:eastAsia="맑은 고딕"/>
          <w:b/>
          <w:color w:val="8D5525"/>
          <w:sz w:val="22"/>
        </w:rPr>
        <w:t>12. 같은 답만 고른 응답을 삭제했나요?</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일률 응답이 곧 부정응답이라는 근거는 없으므로 원자료를 임의 삭제하지 않고 분석 범위와 한계를 공개했습니다.</w:t>
      </w:r>
    </w:p>
    <w:p>
      <w:pPr>
        <w:pStyle w:val="Heading2"/>
        <w:keepNext/>
      </w:pPr>
      <w:r>
        <w:rPr>
          <w:rFonts w:ascii="맑은 고딕" w:hAnsi="맑은 고딕" w:eastAsia="맑은 고딕"/>
          <w:b/>
          <w:color w:val="8D5525"/>
          <w:sz w:val="22"/>
        </w:rPr>
        <w:t>13. 다크웹 자체가 불법입니까?</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다크웹은 접근 기술·환경의 범주이고, 범죄는 그곳에서 일어난 구체적 위법행위에 따라 판단합니다.</w:t>
      </w:r>
    </w:p>
    <w:p>
      <w:pPr>
        <w:pStyle w:val="Heading2"/>
        <w:keepNext/>
      </w:pPr>
      <w:r>
        <w:rPr>
          <w:rFonts w:ascii="맑은 고딕" w:hAnsi="맑은 고딕" w:eastAsia="맑은 고딕"/>
          <w:b/>
          <w:color w:val="8D5525"/>
          <w:sz w:val="22"/>
        </w:rPr>
        <w:t>14. 암호화폐 거래는 모두 익명입니까?</w:t>
      </w:r>
    </w:p>
    <w:p>
      <w:r>
        <w:rPr>
          <w:rFonts w:ascii="맑은 고딕" w:hAnsi="맑은 고딕" w:eastAsia="맑은 고딕"/>
          <w:b/>
          <w:color w:val="8D5525"/>
          <w:sz w:val="18"/>
        </w:rPr>
        <w:t xml:space="preserve">모범답안  </w:t>
      </w:r>
      <w:r>
        <w:rPr>
          <w:rFonts w:ascii="맑은 고딕" w:hAnsi="맑은 고딕" w:eastAsia="맑은 고딕"/>
          <w:b w:val="0"/>
          <w:sz w:val="20"/>
        </w:rPr>
        <w:t>블록체인마다 다르며 공개 거래기록이 있더라도 주소가 실명으로 바로 이어지지는 않습니다. 신원확인과 법적 자료요청이 별도 문제입니다.</w:t>
      </w:r>
    </w:p>
    <w:p>
      <w:pPr>
        <w:pStyle w:val="Heading2"/>
        <w:keepNext/>
      </w:pPr>
      <w:r>
        <w:rPr>
          <w:rFonts w:ascii="맑은 고딕" w:hAnsi="맑은 고딕" w:eastAsia="맑은 고딕"/>
          <w:b/>
          <w:color w:val="8D5525"/>
          <w:sz w:val="22"/>
        </w:rPr>
        <w:t>15. 블록체인 기록은 삭제되지 않는데 왜 증거 보존이 중요합니까?</w:t>
      </w:r>
    </w:p>
    <w:p>
      <w:r>
        <w:rPr>
          <w:rFonts w:ascii="맑은 고딕" w:hAnsi="맑은 고딕" w:eastAsia="맑은 고딕"/>
          <w:b/>
          <w:color w:val="8D5525"/>
          <w:sz w:val="18"/>
        </w:rPr>
        <w:t xml:space="preserve">모범답안  </w:t>
      </w:r>
      <w:r>
        <w:rPr>
          <w:rFonts w:ascii="맑은 고딕" w:hAnsi="맑은 고딕" w:eastAsia="맑은 고딕"/>
          <w:b w:val="0"/>
          <w:sz w:val="20"/>
        </w:rPr>
        <w:t>사건에는 거래기록 외에도 접속기록·가입자 정보·메시지·서버 데이터가 포함됩니다. 이 자료는 보관기간과 삭제 위험이 다릅니다.</w:t>
      </w:r>
    </w:p>
    <w:p>
      <w:pPr>
        <w:pStyle w:val="Heading2"/>
        <w:keepNext/>
      </w:pPr>
      <w:r>
        <w:rPr>
          <w:rFonts w:ascii="맑은 고딕" w:hAnsi="맑은 고딕" w:eastAsia="맑은 고딕"/>
          <w:b/>
          <w:color w:val="8D5525"/>
          <w:sz w:val="22"/>
        </w:rPr>
        <w:t>16. 가장 먼저 수사할 국가는 어떻게 결정하나요?</w:t>
      </w:r>
    </w:p>
    <w:p>
      <w:r>
        <w:rPr>
          <w:rFonts w:ascii="맑은 고딕" w:hAnsi="맑은 고딕" w:eastAsia="맑은 고딕"/>
          <w:b/>
          <w:color w:val="8D5525"/>
          <w:sz w:val="18"/>
        </w:rPr>
        <w:t xml:space="preserve">모범답안  </w:t>
      </w:r>
      <w:r>
        <w:rPr>
          <w:rFonts w:ascii="맑은 고딕" w:hAnsi="맑은 고딕" w:eastAsia="맑은 고딕"/>
          <w:b w:val="0"/>
          <w:sz w:val="20"/>
        </w:rPr>
        <w:t>범죄지·피해지·행위자의 국적·증거 소재와 국가별 법률, 국제협정에 따라 달라집니다. 단 하나의 보편적 순위가 자동 적용되는 것은 아닙니다.</w:t>
      </w:r>
    </w:p>
    <w:p>
      <w:pPr>
        <w:pStyle w:val="Heading2"/>
        <w:keepNext/>
      </w:pPr>
      <w:r>
        <w:rPr>
          <w:rFonts w:ascii="맑은 고딕" w:hAnsi="맑은 고딕" w:eastAsia="맑은 고딕"/>
          <w:b/>
          <w:color w:val="8D5525"/>
          <w:sz w:val="22"/>
        </w:rPr>
        <w:t>17. 타국에서 처벌받은 사람을 또 처벌할 수 없나요?</w:t>
      </w:r>
    </w:p>
    <w:p>
      <w:r>
        <w:rPr>
          <w:rFonts w:ascii="맑은 고딕" w:hAnsi="맑은 고딕" w:eastAsia="맑은 고딕"/>
          <w:b/>
          <w:color w:val="8D5525"/>
          <w:sz w:val="18"/>
        </w:rPr>
        <w:t xml:space="preserve">모범답안  </w:t>
      </w:r>
      <w:r>
        <w:rPr>
          <w:rFonts w:ascii="맑은 고딕" w:hAnsi="맑은 고딕" w:eastAsia="맑은 고딕"/>
          <w:b w:val="0"/>
          <w:sz w:val="20"/>
        </w:rPr>
        <w:t>일사부재리·중복처벌에 관한 규칙은 국가별 법과 협정 등에 따라 복잡하게 달라집니다. 설문 응답으로 일률적인 법적 결론을 낼 수 없습니다.</w:t>
      </w:r>
    </w:p>
    <w:p>
      <w:pPr>
        <w:pStyle w:val="Heading2"/>
        <w:keepNext/>
      </w:pPr>
      <w:r>
        <w:rPr>
          <w:rFonts w:ascii="맑은 고딕" w:hAnsi="맑은 고딕" w:eastAsia="맑은 고딕"/>
          <w:b/>
          <w:color w:val="8D5525"/>
          <w:sz w:val="22"/>
        </w:rPr>
        <w:t>18. 국제공조가 곧 외국 서버를 직접 수색할 수 있다는 뜻인가요?</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증거 요청과 제공은 협력국의 주권·국내법과 관련 협정의 절차를 따라야 합니다.</w:t>
      </w:r>
    </w:p>
    <w:p>
      <w:pPr>
        <w:pStyle w:val="Heading2"/>
        <w:keepNext/>
      </w:pPr>
      <w:r>
        <w:rPr>
          <w:rFonts w:ascii="맑은 고딕" w:hAnsi="맑은 고딕" w:eastAsia="맑은 고딕"/>
          <w:b/>
          <w:color w:val="8D5525"/>
          <w:sz w:val="22"/>
        </w:rPr>
        <w:t>19. 부다페스트 협약 제2추가의정서는 전 세계에서 효력이 있나요?</w:t>
      </w:r>
    </w:p>
    <w:p>
      <w:r>
        <w:rPr>
          <w:rFonts w:ascii="맑은 고딕" w:hAnsi="맑은 고딕" w:eastAsia="맑은 고딕"/>
          <w:b/>
          <w:color w:val="8D5525"/>
          <w:sz w:val="18"/>
        </w:rPr>
        <w:t xml:space="preserve">모범답안  </w:t>
      </w:r>
      <w:r>
        <w:rPr>
          <w:rFonts w:ascii="맑은 고딕" w:hAnsi="맑은 고딕" w:eastAsia="맑은 고딕"/>
          <w:b w:val="0"/>
          <w:sz w:val="20"/>
        </w:rPr>
        <w:t>국가별 서명·비준·발효·국내 이행상태가 다릅니다. 참여하지 않은 국가에 자동으로 동일하게 적용된다고 할 수 없습니다.</w:t>
      </w:r>
    </w:p>
    <w:p>
      <w:pPr>
        <w:pStyle w:val="Heading2"/>
        <w:keepNext/>
      </w:pPr>
      <w:r>
        <w:rPr>
          <w:rFonts w:ascii="맑은 고딕" w:hAnsi="맑은 고딕" w:eastAsia="맑은 고딕"/>
          <w:b/>
          <w:color w:val="8D5525"/>
          <w:sz w:val="22"/>
        </w:rPr>
        <w:t>20. 유엔 사이버범죄협약은 지금 발효됐나요?</w:t>
      </w:r>
    </w:p>
    <w:p>
      <w:r>
        <w:rPr>
          <w:rFonts w:ascii="맑은 고딕" w:hAnsi="맑은 고딕" w:eastAsia="맑은 고딕"/>
          <w:b/>
          <w:color w:val="8D5525"/>
          <w:sz w:val="18"/>
        </w:rPr>
        <w:t xml:space="preserve">모범답안  </w:t>
      </w:r>
      <w:r>
        <w:rPr>
          <w:rFonts w:ascii="맑은 고딕" w:hAnsi="맑은 고딕" w:eastAsia="맑은 고딕"/>
          <w:b w:val="0"/>
          <w:sz w:val="20"/>
        </w:rPr>
        <w:t>2026년 9월 28일 유엔 조약집 확인 정보에서 아직 미발효 상태입니다. 발표 시에도 이 사실을 명확히 구별하겠습니다.</w:t>
      </w:r>
    </w:p>
    <w:p>
      <w:pPr>
        <w:pStyle w:val="Heading2"/>
        <w:keepNext/>
      </w:pPr>
      <w:r>
        <w:rPr>
          <w:rFonts w:ascii="맑은 고딕" w:hAnsi="맑은 고딕" w:eastAsia="맑은 고딕"/>
          <w:b/>
          <w:color w:val="8D5525"/>
          <w:sz w:val="22"/>
        </w:rPr>
        <w:t>21. FATF 트래블룰이 수사기관에 해외 계좌 열람권을 주나요?</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FATF는 자금세탁 방지를 위한 기준을 제시합니다. 개별 수사권과 정보 제공은 국내법과 적법한 공조절차의 문제입니다.</w:t>
      </w:r>
    </w:p>
    <w:p>
      <w:pPr>
        <w:pStyle w:val="Heading2"/>
        <w:keepNext/>
      </w:pPr>
      <w:r>
        <w:rPr>
          <w:rFonts w:ascii="맑은 고딕" w:hAnsi="맑은 고딕" w:eastAsia="맑은 고딕"/>
          <w:b/>
          <w:color w:val="8D5525"/>
          <w:sz w:val="22"/>
        </w:rPr>
        <w:t>22. 웰컴 투 비디오 사건에 한국 수사기관이 어떤 역할을 했나요?</w:t>
      </w:r>
    </w:p>
    <w:p>
      <w:r>
        <w:rPr>
          <w:rFonts w:ascii="맑은 고딕" w:hAnsi="맑은 고딕" w:eastAsia="맑은 고딕"/>
          <w:b/>
          <w:color w:val="8D5525"/>
          <w:sz w:val="18"/>
        </w:rPr>
        <w:t xml:space="preserve">모범답안  </w:t>
      </w:r>
      <w:r>
        <w:rPr>
          <w:rFonts w:ascii="맑은 고딕" w:hAnsi="맑은 고딕" w:eastAsia="맑은 고딕"/>
          <w:b w:val="0"/>
          <w:sz w:val="20"/>
        </w:rPr>
        <w:t>한국 수사기관은 한국 내 서버를 압수했고 미국·영국 등 국제 수사기관과 협력했습니다. 미국 법무부는 38개국으로 수사 단서가 전달됐다고 발표했습니다. 해외 서버 사건이라는 잘못된 설명은 피합니다.</w:t>
      </w:r>
    </w:p>
    <w:p>
      <w:pPr>
        <w:pStyle w:val="Heading2"/>
        <w:keepNext/>
      </w:pPr>
      <w:r>
        <w:rPr>
          <w:rFonts w:ascii="맑은 고딕" w:hAnsi="맑은 고딕" w:eastAsia="맑은 고딕"/>
          <w:b/>
          <w:color w:val="8D5525"/>
          <w:sz w:val="22"/>
        </w:rPr>
        <w:t>23. 337명 체포라는 수치가 국제공조의 완전한 성공을 뜻합니까?</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미국 법무부가 발표한 개별 사건의 국제공조 성과이며 모든 사건과 모든 국가의 수사 효과를 보증하지 않습니다. 실효성과 적법성은 따로 평가해야 합니다.</w:t>
      </w:r>
    </w:p>
    <w:p>
      <w:pPr>
        <w:pStyle w:val="Heading2"/>
        <w:keepNext/>
      </w:pPr>
      <w:r>
        <w:rPr>
          <w:rFonts w:ascii="맑은 고딕" w:hAnsi="맑은 고딕" w:eastAsia="맑은 고딕"/>
          <w:b/>
          <w:color w:val="8D5525"/>
          <w:sz w:val="22"/>
        </w:rPr>
        <w:t>24. 수사 효율을 높이면 일부 기본권 제한은 무조건 정당한가요?</w:t>
      </w:r>
    </w:p>
    <w:p>
      <w:r>
        <w:rPr>
          <w:rFonts w:ascii="맑은 고딕" w:hAnsi="맑은 고딕" w:eastAsia="맑은 고딕"/>
          <w:b/>
          <w:color w:val="8D5525"/>
          <w:sz w:val="18"/>
        </w:rPr>
        <w:t xml:space="preserve">모범답안  </w:t>
      </w:r>
      <w:r>
        <w:rPr>
          <w:rFonts w:ascii="맑은 고딕" w:hAnsi="맑은 고딕" w:eastAsia="맑은 고딕"/>
          <w:b w:val="0"/>
          <w:sz w:val="20"/>
        </w:rPr>
        <w:t>그렇지 않습니다. 제한에는 법적 근거·정당한 목적·필요성·비례성과 적법절차가 필요합니다. 롤스의 기본적 자유를 함부로 거래하지 않는 관점과 연결됩니다.</w:t>
      </w:r>
    </w:p>
    <w:p>
      <w:pPr>
        <w:pStyle w:val="Heading2"/>
        <w:keepNext/>
      </w:pPr>
      <w:r>
        <w:rPr>
          <w:rFonts w:ascii="맑은 고딕" w:hAnsi="맑은 고딕" w:eastAsia="맑은 고딕"/>
          <w:b/>
          <w:color w:val="8D5525"/>
          <w:sz w:val="22"/>
        </w:rPr>
        <w:t>25. 칸트의 인간 존엄 원칙을 국제수사에 어떻게 연결했습니까?</w:t>
      </w:r>
    </w:p>
    <w:p>
      <w:r>
        <w:rPr>
          <w:rFonts w:ascii="맑은 고딕" w:hAnsi="맑은 고딕" w:eastAsia="맑은 고딕"/>
          <w:b/>
          <w:color w:val="8D5525"/>
          <w:sz w:val="18"/>
        </w:rPr>
        <w:t xml:space="preserve">모범답안  </w:t>
      </w:r>
      <w:r>
        <w:rPr>
          <w:rFonts w:ascii="맑은 고딕" w:hAnsi="맑은 고딕" w:eastAsia="맑은 고딕"/>
          <w:b w:val="0"/>
          <w:sz w:val="20"/>
        </w:rPr>
        <w:t>피해자뿐 아니라 법적 절차에 참여하는 사람의 기본권도 단순한 수사 편의의 수단으로만 취급해서는 안 된다는 윤리적 기준으로 응용했습니다.</w:t>
      </w:r>
    </w:p>
    <w:p>
      <w:pPr>
        <w:pStyle w:val="Heading2"/>
        <w:keepNext/>
      </w:pPr>
      <w:r>
        <w:rPr>
          <w:rFonts w:ascii="맑은 고딕" w:hAnsi="맑은 고딕" w:eastAsia="맑은 고딕"/>
          <w:b/>
          <w:color w:val="8D5525"/>
          <w:sz w:val="22"/>
        </w:rPr>
        <w:t>26. 홉스의 국가 책임과 롤스의 자유는 어떻게 함께 고려할 수 있나요?</w:t>
      </w:r>
    </w:p>
    <w:p>
      <w:r>
        <w:rPr>
          <w:rFonts w:ascii="맑은 고딕" w:hAnsi="맑은 고딕" w:eastAsia="맑은 고딕"/>
          <w:b/>
          <w:color w:val="8D5525"/>
          <w:sz w:val="18"/>
        </w:rPr>
        <w:t xml:space="preserve">모범답안  </w:t>
      </w:r>
      <w:r>
        <w:rPr>
          <w:rFonts w:ascii="맑은 고딕" w:hAnsi="맑은 고딕" w:eastAsia="맑은 고딕"/>
          <w:b w:val="0"/>
          <w:sz w:val="20"/>
        </w:rPr>
        <w:t>국가는 공동체의 안전을 확보해야 하지만 그 목적만으로 모든 권리 제한이 정당화되지는 않습니다. 개인의 기본적 자유와 제도적 공정성을 함께 고려해야 합니다.</w:t>
      </w:r>
    </w:p>
    <w:p>
      <w:pPr>
        <w:pStyle w:val="Heading2"/>
        <w:keepNext/>
      </w:pPr>
      <w:r>
        <w:rPr>
          <w:rFonts w:ascii="맑은 고딕" w:hAnsi="맑은 고딕" w:eastAsia="맑은 고딕"/>
          <w:b/>
          <w:color w:val="8D5525"/>
          <w:sz w:val="22"/>
        </w:rPr>
        <w:t>27. EVIDENCE BRIDGE는 실제 존재하는 기구인가요?</w:t>
      </w:r>
    </w:p>
    <w:p>
      <w:r>
        <w:rPr>
          <w:rFonts w:ascii="맑은 고딕" w:hAnsi="맑은 고딕" w:eastAsia="맑은 고딕"/>
          <w:b/>
          <w:color w:val="8D5525"/>
          <w:sz w:val="18"/>
        </w:rPr>
        <w:t xml:space="preserve">모범답안  </w:t>
      </w:r>
      <w:r>
        <w:rPr>
          <w:rFonts w:ascii="맑은 고딕" w:hAnsi="맑은 고딕" w:eastAsia="맑은 고딕"/>
          <w:b w:val="0"/>
          <w:sz w:val="20"/>
        </w:rPr>
        <w:t>아닙니다. 기존 24/7 연락망, 법적 증거공유 장치, 가상자산 사업자 규범, 권리보호 장치를 연결한 연구팀의 정책 설계안입니다.</w:t>
      </w:r>
    </w:p>
    <w:p>
      <w:pPr>
        <w:pStyle w:val="Heading2"/>
        <w:keepNext/>
      </w:pPr>
      <w:r>
        <w:rPr>
          <w:rFonts w:ascii="맑은 고딕" w:hAnsi="맑은 고딕" w:eastAsia="맑은 고딕"/>
          <w:b/>
          <w:color w:val="8D5525"/>
          <w:sz w:val="22"/>
        </w:rPr>
        <w:t>28. 긴급 상황에서 적법절차를 지키면 수사가 늦어지지 않나요?</w:t>
      </w:r>
    </w:p>
    <w:p>
      <w:r>
        <w:rPr>
          <w:rFonts w:ascii="맑은 고딕" w:hAnsi="맑은 고딕" w:eastAsia="맑은 고딕"/>
          <w:b/>
          <w:color w:val="8D5525"/>
          <w:sz w:val="18"/>
        </w:rPr>
        <w:t xml:space="preserve">모범답안  </w:t>
      </w:r>
      <w:r>
        <w:rPr>
          <w:rFonts w:ascii="맑은 고딕" w:hAnsi="맑은 고딕" w:eastAsia="맑은 고딕"/>
          <w:b w:val="0"/>
          <w:sz w:val="20"/>
        </w:rPr>
        <w:t>사전 표준화된 긴급 보존 절차와 사후 심사를 분리하면 시간을 줄이면서도 권한 남용을 통제하도록 설계할 수 있습니다. 효과는 후속 실증연구가 필요합니다.</w:t>
      </w:r>
    </w:p>
    <w:p>
      <w:pPr>
        <w:pStyle w:val="Heading2"/>
        <w:keepNext/>
      </w:pPr>
      <w:r>
        <w:rPr>
          <w:rFonts w:ascii="맑은 고딕" w:hAnsi="맑은 고딕" w:eastAsia="맑은 고딕"/>
          <w:b/>
          <w:color w:val="8D5525"/>
          <w:sz w:val="22"/>
        </w:rPr>
        <w:t>29. 제안의 성과를 어떻게 검증할 수 있나요?</w:t>
      </w:r>
    </w:p>
    <w:p>
      <w:r>
        <w:rPr>
          <w:rFonts w:ascii="맑은 고딕" w:hAnsi="맑은 고딕" w:eastAsia="맑은 고딕"/>
          <w:b/>
          <w:color w:val="8D5525"/>
          <w:sz w:val="18"/>
        </w:rPr>
        <w:t xml:space="preserve">모범답안  </w:t>
      </w:r>
      <w:r>
        <w:rPr>
          <w:rFonts w:ascii="맑은 고딕" w:hAnsi="맑은 고딕" w:eastAsia="맑은 고딕"/>
          <w:b w:val="0"/>
          <w:sz w:val="20"/>
        </w:rPr>
        <w:t>가상 사례 모의훈련을 통해 증거보존까지 걸린 시간, 적법성 검토 완결률, 과잉수집 건수, 피해자 정보보호 등을 함께 평가할 수 있습니다.</w:t>
      </w:r>
    </w:p>
    <w:p>
      <w:pPr>
        <w:pStyle w:val="Heading2"/>
        <w:keepNext/>
      </w:pPr>
      <w:r>
        <w:rPr>
          <w:rFonts w:ascii="맑은 고딕" w:hAnsi="맑은 고딕" w:eastAsia="맑은 고딕"/>
          <w:b/>
          <w:color w:val="8D5525"/>
          <w:sz w:val="22"/>
        </w:rPr>
        <w:t>30. 결론을 한 문장으로 말해 보세요.</w:t>
      </w:r>
    </w:p>
    <w:p>
      <w:r>
        <w:rPr>
          <w:rFonts w:ascii="맑은 고딕" w:hAnsi="맑은 고딕" w:eastAsia="맑은 고딕"/>
          <w:b/>
          <w:color w:val="8D5525"/>
          <w:sz w:val="18"/>
        </w:rPr>
        <w:t xml:space="preserve">모범답안  </w:t>
      </w:r>
      <w:r>
        <w:rPr>
          <w:rFonts w:ascii="맑은 고딕" w:hAnsi="맑은 고딕" w:eastAsia="맑은 고딕"/>
          <w:b w:val="0"/>
          <w:sz w:val="20"/>
        </w:rPr>
        <w:t>범죄는 국경을 넘지만 수사는 법을 넘어서는 안 되므로, 신속한 전자증거 확보와 적법절차·인권보호를 함께 설계해야 합니다.</w:t>
      </w:r>
    </w:p>
    <w:p>
      <w:pPr>
        <w:pStyle w:val="Heading1"/>
      </w:pPr>
      <w:r>
        <w:t>연구자료·학자 출처</w:t>
      </w:r>
    </w:p>
    <w:p>
      <w:pPr/>
      <w:r>
        <w:rPr>
          <w:rFonts w:ascii="맑은 고딕" w:hAnsi="맑은 고딕" w:eastAsia="맑은 고딕"/>
          <w:b/>
          <w:sz w:val="18"/>
        </w:rPr>
        <w:t xml:space="preserve">U.S. Department of Justice (2019) — </w:t>
      </w:r>
      <w:r>
        <w:rPr>
          <w:rFonts w:ascii="맑은 고딕" w:hAnsi="맑은 고딕" w:eastAsia="맑은 고딕"/>
          <w:b w:val="0"/>
          <w:sz w:val="18"/>
        </w:rPr>
        <w:t>Welcome to Video: 국제 수사, 337명 체포 또는 기소, 38개국 수사 단서</w:t>
      </w:r>
    </w:p>
    <w:p>
      <w:pPr/>
      <w:r>
        <w:rPr>
          <w:rFonts w:ascii="맑은 고딕" w:hAnsi="맑은 고딕" w:eastAsia="맑은 고딕"/>
          <w:b w:val="0"/>
          <w:color w:val="507778"/>
          <w:sz w:val="16"/>
        </w:rPr>
        <w:t>https://www.justice.gov/usao-nj/pr/south-korean-national-and-hundreds-others-charged-worldwide-takedown-largest-darknet</w:t>
      </w:r>
    </w:p>
    <w:p>
      <w:pPr/>
      <w:r>
        <w:rPr>
          <w:rFonts w:ascii="맑은 고딕" w:hAnsi="맑은 고딕" w:eastAsia="맑은 고딕"/>
          <w:b/>
          <w:sz w:val="18"/>
        </w:rPr>
        <w:t xml:space="preserve">Council of Europe — Budapest Convention — </w:t>
      </w:r>
      <w:r>
        <w:rPr>
          <w:rFonts w:ascii="맑은 고딕" w:hAnsi="맑은 고딕" w:eastAsia="맑은 고딕"/>
          <w:b w:val="0"/>
          <w:sz w:val="18"/>
        </w:rPr>
        <w:t>국제 전자증거 협력 체계</w:t>
      </w:r>
    </w:p>
    <w:p>
      <w:pPr/>
      <w:r>
        <w:rPr>
          <w:rFonts w:ascii="맑은 고딕" w:hAnsi="맑은 고딕" w:eastAsia="맑은 고딕"/>
          <w:b w:val="0"/>
          <w:color w:val="507778"/>
          <w:sz w:val="16"/>
        </w:rPr>
        <w:t>https://www.coe.int/en/web/cybercrime/the-budapest-convention</w:t>
      </w:r>
    </w:p>
    <w:p>
      <w:pPr/>
      <w:r>
        <w:rPr>
          <w:rFonts w:ascii="맑은 고딕" w:hAnsi="맑은 고딕" w:eastAsia="맑은 고딕"/>
          <w:b/>
          <w:sz w:val="18"/>
        </w:rPr>
        <w:t xml:space="preserve">Rawls / Original Position — </w:t>
      </w:r>
      <w:r>
        <w:rPr>
          <w:rFonts w:ascii="맑은 고딕" w:hAnsi="맑은 고딕" w:eastAsia="맑은 고딕"/>
          <w:b w:val="0"/>
          <w:sz w:val="18"/>
        </w:rPr>
        <w:t>공정성·기본적 자유의 철학적 해석</w:t>
      </w:r>
    </w:p>
    <w:p>
      <w:pPr/>
      <w:r>
        <w:rPr>
          <w:rFonts w:ascii="맑은 고딕" w:hAnsi="맑은 고딕" w:eastAsia="맑은 고딕"/>
          <w:b w:val="0"/>
          <w:color w:val="507778"/>
          <w:sz w:val="16"/>
        </w:rPr>
        <w:t>https://plato.stanford.edu/entries/original-position/</w:t>
      </w:r>
    </w:p>
    <w:p>
      <w:pPr/>
      <w:r>
        <w:rPr>
          <w:rFonts w:ascii="맑은 고딕" w:hAnsi="맑은 고딕" w:eastAsia="맑은 고딕"/>
          <w:b/>
          <w:sz w:val="18"/>
        </w:rPr>
        <w:t xml:space="preserve">허준완팀 설문 원자료 — </w:t>
      </w:r>
      <w:r>
        <w:rPr>
          <w:rFonts w:ascii="맑은 고딕" w:hAnsi="맑은 고딕" w:eastAsia="맑은 고딕"/>
          <w:b w:val="0"/>
          <w:sz w:val="18"/>
        </w:rPr>
        <w:t>포항고 1학년 동의 108건. 설문은 범죄 이용 실태가 아닌 인식조사</w:t>
      </w:r>
    </w:p>
    <w:p>
      <w:r>
        <w:rPr>
          <w:rFonts w:ascii="맑은 고딕" w:hAnsi="맑은 고딕" w:eastAsia="맑은 고딕"/>
          <w:b w:val="0"/>
          <w:color w:val="615C57"/>
          <w:sz w:val="16"/>
        </w:rPr>
        <w:t>연구와 발표의 한계: 한 학교의 설문은 전체 청소년의 대표성이 없으며, 학생 인식으로 인과관계를 입증할 수 없습니다. 본 발표의 95점은 제작 목표일 뿐 실제 심사 점수가 아닙니다.</w:t>
      </w:r>
    </w:p>
    <w:sectPr w:rsidR="00FC693F" w:rsidRPr="0006063C" w:rsidSect="00034616">
      <w:headerReference w:type="default" r:id="rId9"/>
      <w:footerReference w:type="default" r:id="rId10"/>
      <w:pgSz w:w="11906" w:h="16838"/>
      <w:pgMar w:top="1134" w:right="1247" w:bottom="964" w:left="124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sz w:val="16"/>
      </w:rPr>
      <w:t xml:space="preserve">2026 POHANG R&amp;E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8D5525"/>
        <w:sz w:val="16"/>
      </w:rPr>
      <w:t>2026 포항고등학교 · 인문사회 R&amp;E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맑은 고딕" w:hAnsi="맑은 고딕"/>
      <w:color w:val="24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맑은 고딕" w:hAnsi="맑은 고딕"/>
      <w:b/>
      <w:bCs/>
      <w:color w:val="8D5525"/>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맑은 고딕" w:hAnsi="맑은 고딕"/>
      <w:b/>
      <w:bCs/>
      <w:color w:val="8D552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320"/>
      <w:contextualSpacing/>
    </w:pPr>
    <w:rPr>
      <w:rFonts w:asciiTheme="majorHAnsi" w:eastAsiaTheme="majorEastAsia" w:hAnsiTheme="majorHAnsi" w:cstheme="majorBidi" w:ascii="맑은 고딕" w:hAnsi="맑은 고딕"/>
      <w:b/>
      <w:color w:val="8D552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