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RESILIENT UNIVERSITY INDEX (ARUI)</w:t>
        <w:br/>
      </w:r>
      <w:r>
        <w:rPr>
          <w:b/>
          <w:sz w:val="34"/>
        </w:rPr>
        <w:t>Production Backend &amp; Full-System Developer Specification</w:t>
      </w:r>
    </w:p>
    <w:p>
      <w:pPr>
        <w:jc w:val="center"/>
      </w:pPr>
      <w:r>
        <w:t>Developer handoff • ARUI v4 • D01–D11 • Production implementation plan</w:t>
      </w:r>
    </w:p>
    <w:p>
      <w:pPr>
        <w:pStyle w:val="Heading1"/>
      </w:pPr>
      <w:r>
        <w:t>1. Executive instruction</w:t>
      </w:r>
    </w:p>
    <w:p>
      <w:r>
        <w:t>Build a production ARUI assessment platform by taking the existing React/TypeScript frontend in the GitHub repository and connecting it to a developer-owned Node.js + PostgreSQL backend. Do not use Lovable Cloud, Lovable database services or Supabase in production.</w:t>
      </w:r>
    </w:p>
    <w:p>
      <w:r>
        <w:t>The current frontend is a partial vertical slice covering D01–D03. The methodology is designed for 11 domains and 143 metrics. The production system must therefore be registry-driven and implement D04–D11 through the same engine, not eight separate hard-coded applications.</w:t>
      </w:r>
    </w:p>
    <w:p>
      <w:r>
        <w:t>The supplied 20-page PDF is a report design/reference, not the production PDF engine. Production PDF generation belongs on the backend and must use the supplied report payload contract.</w:t>
      </w:r>
    </w:p>
    <w:p>
      <w:r>
        <w:t>A working V1 by tomorrow is an aggressive but possible target for a competent developer if scope is controlled. It should not be described as empirically validated ARUI; reliability/validity validation remains a pilot-stage activity.</w:t>
      </w:r>
    </w:p>
    <w:p>
      <w:pPr>
        <w:pStyle w:val="Heading1"/>
      </w:pPr>
      <w:r>
        <w:t>2. Package to send the developer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GitHub: https://github.com/NripenBhatt/university-insights</w:t>
            </w:r>
          </w:p>
        </w:tc>
        <w:tc>
          <w:tcPr>
            <w:tcW w:type="dxa" w:w="5040"/>
          </w:tcPr>
          <w:p>
            <w:r>
              <w:t>Existing React/TypeScript frontend; clone and run first.</w:t>
            </w:r>
          </w:p>
        </w:tc>
      </w:tr>
      <w:tr>
        <w:tc>
          <w:tcPr>
            <w:tcW w:type="dxa" w:w="5040"/>
          </w:tcPr>
          <w:p>
            <w:r>
              <w:t>docs/ARUI_FINAL_DEVELOPER_HANDOFF.md</w:t>
            </w:r>
          </w:p>
        </w:tc>
        <w:tc>
          <w:tcPr>
            <w:tcW w:type="dxa" w:w="5040"/>
          </w:tcPr>
          <w:p>
            <w:r>
              <w:t>Primary frontend/API/report handoff.</w:t>
            </w:r>
          </w:p>
        </w:tc>
      </w:tr>
      <w:tr>
        <w:tc>
          <w:tcPr>
            <w:tcW w:type="dxa" w:w="5040"/>
          </w:tcPr>
          <w:p>
            <w:r>
              <w:t>docs/samples/ARUI_Sample_Assessment_Report.pdf</w:t>
            </w:r>
          </w:p>
        </w:tc>
        <w:tc>
          <w:tcPr>
            <w:tcW w:type="dxa" w:w="5040"/>
          </w:tcPr>
          <w:p>
            <w:r>
              <w:t>20-page report design and content reference.</w:t>
            </w:r>
          </w:p>
        </w:tc>
      </w:tr>
      <w:tr>
        <w:tc>
          <w:tcPr>
            <w:tcW w:type="dxa" w:w="5040"/>
          </w:tcPr>
          <w:p>
            <w:r>
              <w:t>docs/samples/report-payload.sample.json</w:t>
            </w:r>
          </w:p>
        </w:tc>
        <w:tc>
          <w:tcPr>
            <w:tcW w:type="dxa" w:w="5040"/>
          </w:tcPr>
          <w:p>
            <w:r>
              <w:t>Example report data payload.</w:t>
            </w:r>
          </w:p>
        </w:tc>
      </w:tr>
      <w:tr>
        <w:tc>
          <w:tcPr>
            <w:tcW w:type="dxa" w:w="5040"/>
          </w:tcPr>
          <w:p>
            <w:r>
              <w:t>src/api/report-types.ts</w:t>
            </w:r>
          </w:p>
        </w:tc>
        <w:tc>
          <w:tcPr>
            <w:tcW w:type="dxa" w:w="5040"/>
          </w:tcPr>
          <w:p>
            <w:r>
              <w:t>Report payload contract.</w:t>
            </w:r>
          </w:p>
        </w:tc>
      </w:tr>
      <w:tr>
        <w:tc>
          <w:tcPr>
            <w:tcW w:type="dxa" w:w="5040"/>
          </w:tcPr>
          <w:p>
            <w:r>
              <w:t>P0-2 through P0-8 ARUI workbooks</w:t>
            </w:r>
          </w:p>
        </w:tc>
        <w:tc>
          <w:tcPr>
            <w:tcW w:type="dxa" w:w="5040"/>
          </w:tcPr>
          <w:p>
            <w:r>
              <w:t>Methodology source: 11 domains, 143 metrics, scoring, context, evidence, cross-domain, reliability and adaptive execution.</w:t>
            </w:r>
          </w:p>
        </w:tc>
      </w:tr>
      <w:tr>
        <w:tc>
          <w:tcPr>
            <w:tcW w:type="dxa" w:w="5040"/>
          </w:tcPr>
          <w:p>
            <w:r>
              <w:t>This specification</w:t>
            </w:r>
          </w:p>
        </w:tc>
        <w:tc>
          <w:tcPr>
            <w:tcW w:type="dxa" w:w="5040"/>
          </w:tcPr>
          <w:p>
            <w:r>
              <w:t>Backend architecture, database, API, lifecycle, QA and build order.</w:t>
            </w:r>
          </w:p>
        </w:tc>
      </w:tr>
    </w:tbl>
    <w:p>
      <w:pPr>
        <w:pStyle w:val="Heading1"/>
      </w:pPr>
      <w:r>
        <w:t>3. Non-negotiable architecture</w:t>
      </w:r>
    </w:p>
    <w:p>
      <w:pPr>
        <w:pStyle w:val="ListBullet"/>
      </w:pPr>
      <w:r>
        <w:t>Frontend: keep the existing React + TypeScript application.</w:t>
      </w:r>
    </w:p>
    <w:p>
      <w:pPr>
        <w:pStyle w:val="ListBullet"/>
      </w:pPr>
      <w:r>
        <w:t>Backend: Node.js + TypeScript REST API (NestJS, Fastify or Express; choose one).</w:t>
      </w:r>
    </w:p>
    <w:p>
      <w:pPr>
        <w:pStyle w:val="ListBullet"/>
      </w:pPr>
      <w:r>
        <w:t>Database: PostgreSQL with migrations.</w:t>
      </w:r>
    </w:p>
    <w:p>
      <w:pPr>
        <w:pStyle w:val="ListBullet"/>
      </w:pPr>
      <w:r>
        <w:t>Methodology: database-backed, immutable/versioned registry.</w:t>
      </w:r>
    </w:p>
    <w:p>
      <w:pPr>
        <w:pStyle w:val="ListBullet"/>
      </w:pPr>
      <w:r>
        <w:t>Evidence/PDF files: private object storage, not database blobs.</w:t>
      </w:r>
    </w:p>
    <w:p>
      <w:pPr>
        <w:pStyle w:val="ListBullet"/>
      </w:pPr>
      <w:r>
        <w:t>Scoring: server-side only; never trust client-side score calculations.</w:t>
      </w:r>
    </w:p>
    <w:p>
      <w:pPr>
        <w:pStyle w:val="ListBullet"/>
      </w:pPr>
      <w:r>
        <w:t>PDF: server-side generation from an immutable report payload.</w:t>
      </w:r>
    </w:p>
    <w:p>
      <w:pPr>
        <w:pStyle w:val="ListBullet"/>
      </w:pPr>
      <w:r>
        <w:t>No production dependency on Lovable Cloud/Supabase.</w:t>
      </w:r>
    </w:p>
    <w:p>
      <w:pPr>
        <w:pStyle w:val="ListBullet"/>
      </w:pPr>
      <w:r>
        <w:t>Every published result must be reproducible from methodology version + score-run version + frozen inputs.</w:t>
      </w:r>
    </w:p>
    <w:p>
      <w:pPr>
        <w:pStyle w:val="Heading1"/>
      </w:pPr>
      <w:r>
        <w:t>4. ARUI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Code</w:t>
            </w:r>
          </w:p>
        </w:tc>
        <w:tc>
          <w:tcPr>
            <w:tcW w:type="dxa" w:w="3360"/>
          </w:tcPr>
          <w:p>
            <w:r>
              <w:t>Domain</w:t>
            </w:r>
          </w:p>
        </w:tc>
        <w:tc>
          <w:tcPr>
            <w:tcW w:type="dxa" w:w="3360"/>
          </w:tcPr>
          <w:p>
            <w:r>
              <w:t>Provisional weight</w:t>
            </w:r>
          </w:p>
        </w:tc>
      </w:tr>
      <w:tr>
        <w:tc>
          <w:tcPr>
            <w:tcW w:type="dxa" w:w="3360"/>
          </w:tcPr>
          <w:p>
            <w:r>
              <w:t>D01</w:t>
            </w:r>
          </w:p>
        </w:tc>
        <w:tc>
          <w:tcPr>
            <w:tcW w:type="dxa" w:w="3360"/>
          </w:tcPr>
          <w:p>
            <w:r>
              <w:t>Institutional Strategy, Foresight &amp; AI Direction</w:t>
            </w:r>
          </w:p>
        </w:tc>
        <w:tc>
          <w:tcPr>
            <w:tcW w:type="dxa" w:w="3360"/>
          </w:tcPr>
          <w:p>
            <w:r>
              <w:t>10%</w:t>
            </w:r>
          </w:p>
        </w:tc>
      </w:tr>
      <w:tr>
        <w:tc>
          <w:tcPr>
            <w:tcW w:type="dxa" w:w="3360"/>
          </w:tcPr>
          <w:p>
            <w:r>
              <w:t>D02</w:t>
            </w:r>
          </w:p>
        </w:tc>
        <w:tc>
          <w:tcPr>
            <w:tcW w:type="dxa" w:w="3360"/>
          </w:tcPr>
          <w:p>
            <w:r>
              <w:t>Governance, Responsible AI &amp; Institutional Risk</w:t>
            </w:r>
          </w:p>
        </w:tc>
        <w:tc>
          <w:tcPr>
            <w:tcW w:type="dxa" w:w="3360"/>
          </w:tcPr>
          <w:p>
            <w:r>
              <w:t>12%</w:t>
            </w:r>
          </w:p>
        </w:tc>
      </w:tr>
      <w:tr>
        <w:tc>
          <w:tcPr>
            <w:tcW w:type="dxa" w:w="3360"/>
          </w:tcPr>
          <w:p>
            <w:r>
              <w:t>D03</w:t>
            </w:r>
          </w:p>
        </w:tc>
        <w:tc>
          <w:tcPr>
            <w:tcW w:type="dxa" w:w="3360"/>
          </w:tcPr>
          <w:p>
            <w:r>
              <w:t>Human Capability, Cognitive Readiness &amp; AI-Ready Education</w:t>
            </w:r>
          </w:p>
        </w:tc>
        <w:tc>
          <w:tcPr>
            <w:tcW w:type="dxa" w:w="3360"/>
          </w:tcPr>
          <w:p>
            <w:r>
              <w:t>12%</w:t>
            </w:r>
          </w:p>
        </w:tc>
      </w:tr>
      <w:tr>
        <w:tc>
          <w:tcPr>
            <w:tcW w:type="dxa" w:w="3360"/>
          </w:tcPr>
          <w:p>
            <w:r>
              <w:t>D04</w:t>
            </w:r>
          </w:p>
        </w:tc>
        <w:tc>
          <w:tcPr>
            <w:tcW w:type="dxa" w:w="3360"/>
          </w:tcPr>
          <w:p>
            <w:r>
              <w:t>Curriculum &amp; Programme Future Resilience</w:t>
            </w:r>
          </w:p>
        </w:tc>
        <w:tc>
          <w:tcPr>
            <w:tcW w:type="dxa" w:w="3360"/>
          </w:tcPr>
          <w:p>
            <w:r>
              <w:t>10%</w:t>
            </w:r>
          </w:p>
        </w:tc>
      </w:tr>
      <w:tr>
        <w:tc>
          <w:tcPr>
            <w:tcW w:type="dxa" w:w="3360"/>
          </w:tcPr>
          <w:p>
            <w:r>
              <w:t>D05</w:t>
            </w:r>
          </w:p>
        </w:tc>
        <w:tc>
          <w:tcPr>
            <w:tcW w:type="dxa" w:w="3360"/>
          </w:tcPr>
          <w:p>
            <w:r>
              <w:t>Faculty Capability &amp; Academic Workforce Transformation</w:t>
            </w:r>
          </w:p>
        </w:tc>
        <w:tc>
          <w:tcPr>
            <w:tcW w:type="dxa" w:w="3360"/>
          </w:tcPr>
          <w:p>
            <w:r>
              <w:t>10%</w:t>
            </w:r>
          </w:p>
        </w:tc>
      </w:tr>
      <w:tr>
        <w:tc>
          <w:tcPr>
            <w:tcW w:type="dxa" w:w="3360"/>
          </w:tcPr>
          <w:p>
            <w:r>
              <w:t>D06</w:t>
            </w:r>
          </w:p>
        </w:tc>
        <w:tc>
          <w:tcPr>
            <w:tcW w:type="dxa" w:w="3360"/>
          </w:tcPr>
          <w:p>
            <w:r>
              <w:t>Student Capability, Agency &amp; Future Readiness</w:t>
            </w:r>
          </w:p>
        </w:tc>
        <w:tc>
          <w:tcPr>
            <w:tcW w:type="dxa" w:w="3360"/>
          </w:tcPr>
          <w:p>
            <w:r>
              <w:t>10%</w:t>
            </w:r>
          </w:p>
        </w:tc>
      </w:tr>
      <w:tr>
        <w:tc>
          <w:tcPr>
            <w:tcW w:type="dxa" w:w="3360"/>
          </w:tcPr>
          <w:p>
            <w:r>
              <w:t>D07</w:t>
            </w:r>
          </w:p>
        </w:tc>
        <w:tc>
          <w:tcPr>
            <w:tcW w:type="dxa" w:w="3360"/>
          </w:tcPr>
          <w:p>
            <w:r>
              <w:t>Learning, Assessment &amp; Evidence of Capability</w:t>
            </w:r>
          </w:p>
        </w:tc>
        <w:tc>
          <w:tcPr>
            <w:tcW w:type="dxa" w:w="3360"/>
          </w:tcPr>
          <w:p>
            <w:r>
              <w:t>10%</w:t>
            </w:r>
          </w:p>
        </w:tc>
      </w:tr>
      <w:tr>
        <w:tc>
          <w:tcPr>
            <w:tcW w:type="dxa" w:w="3360"/>
          </w:tcPr>
          <w:p>
            <w:r>
              <w:t>D08</w:t>
            </w:r>
          </w:p>
        </w:tc>
        <w:tc>
          <w:tcPr>
            <w:tcW w:type="dxa" w:w="3360"/>
          </w:tcPr>
          <w:p>
            <w:r>
              <w:t>Digital, Data &amp; Institutional Intelligence</w:t>
            </w:r>
          </w:p>
        </w:tc>
        <w:tc>
          <w:tcPr>
            <w:tcW w:type="dxa" w:w="3360"/>
          </w:tcPr>
          <w:p>
            <w:r>
              <w:t>8%</w:t>
            </w:r>
          </w:p>
        </w:tc>
      </w:tr>
      <w:tr>
        <w:tc>
          <w:tcPr>
            <w:tcW w:type="dxa" w:w="3360"/>
          </w:tcPr>
          <w:p>
            <w:r>
              <w:t>D09</w:t>
            </w:r>
          </w:p>
        </w:tc>
        <w:tc>
          <w:tcPr>
            <w:tcW w:type="dxa" w:w="3360"/>
          </w:tcPr>
          <w:p>
            <w:r>
              <w:t>Employability, Industry &amp; Economic Relevance</w:t>
            </w:r>
          </w:p>
        </w:tc>
        <w:tc>
          <w:tcPr>
            <w:tcW w:type="dxa" w:w="3360"/>
          </w:tcPr>
          <w:p>
            <w:r>
              <w:t>9%</w:t>
            </w:r>
          </w:p>
        </w:tc>
      </w:tr>
      <w:tr>
        <w:tc>
          <w:tcPr>
            <w:tcW w:type="dxa" w:w="3360"/>
          </w:tcPr>
          <w:p>
            <w:r>
              <w:t>D10</w:t>
            </w:r>
          </w:p>
        </w:tc>
        <w:tc>
          <w:tcPr>
            <w:tcW w:type="dxa" w:w="3360"/>
          </w:tcPr>
          <w:p>
            <w:r>
              <w:t>Research, Innovation &amp; Knowledge Creation</w:t>
            </w:r>
          </w:p>
        </w:tc>
        <w:tc>
          <w:tcPr>
            <w:tcW w:type="dxa" w:w="3360"/>
          </w:tcPr>
          <w:p>
            <w:r>
              <w:t>5%</w:t>
            </w:r>
          </w:p>
        </w:tc>
      </w:tr>
      <w:tr>
        <w:tc>
          <w:tcPr>
            <w:tcW w:type="dxa" w:w="3360"/>
          </w:tcPr>
          <w:p>
            <w:r>
              <w:t>D11</w:t>
            </w:r>
          </w:p>
        </w:tc>
        <w:tc>
          <w:tcPr>
            <w:tcW w:type="dxa" w:w="3360"/>
          </w:tcPr>
          <w:p>
            <w:r>
              <w:t>Institutional Adaptability &amp; AI Resilience</w:t>
            </w:r>
          </w:p>
        </w:tc>
        <w:tc>
          <w:tcPr>
            <w:tcW w:type="dxa" w:w="3360"/>
          </w:tcPr>
          <w:p>
            <w:r>
              <w:t>4%</w:t>
            </w:r>
          </w:p>
        </w:tc>
      </w:tr>
    </w:tbl>
    <w:p>
      <w:r>
        <w:t>Weights are provisional. Store them as methodology configuration; do not hard-code them in UI.</w:t>
      </w:r>
    </w:p>
    <w:p>
      <w:pPr>
        <w:pStyle w:val="Heading1"/>
      </w:pPr>
      <w:r>
        <w:t>5. Core methodology rules</w:t>
      </w:r>
    </w:p>
    <w:p>
      <w:r>
        <w:t>Metric score when Outcome exists: 100 × (0.45M + 0.30I + 0.25O) / 5. When Outcome is legitimately N/A: 100 × (0.60M + 0.40I) / 5. M/I/O are assessor-entered 0–5 values against the metric/domain anchors.</w:t>
      </w:r>
    </w:p>
    <w:p>
      <w:r>
        <w:t>Respondent answers are signals/evidence for assessors. Do not invent a universal answer-choice → M/I/O mapping.</w:t>
      </w:r>
    </w:p>
    <w:p>
      <w:r>
        <w:t>Domain score is the mean of applicable metric scores. Accepted N/A metrics are excluded. Missing evidence is not automatically zero.</w:t>
      </w:r>
    </w:p>
    <w:p>
      <w:r>
        <w:t>Evidence confidence is separate from capability and never multiplies or discounts the capability score.</w:t>
      </w:r>
    </w:p>
    <w:p>
      <w:r>
        <w:t>High scores require corroboration; shared evidence may support multiple metrics only under the primary-owner rule, and the same activity must not be scored twice.</w:t>
      </w:r>
    </w:p>
    <w:p>
      <w:r>
        <w:t>Maturity levels: 0 Absent; 1 Reactive; 2 Emerging; 3 Structured; 4 Integrated; 5 Adaptive.</w:t>
      </w:r>
    </w:p>
    <w:p>
      <w:pPr>
        <w:pStyle w:val="Heading1"/>
      </w:pPr>
      <w:r>
        <w:t>6. Context / required maturity</w:t>
      </w:r>
    </w:p>
    <w:p>
      <w:r>
        <w:t>Controlled context variables: Institution Type, Mandate, AI Exposure, Disciplinary Consequence, Trajectory, Scale, Geography, Resource Envelope, Research Intensity and Student Profile Complexity.</w:t>
      </w:r>
    </w:p>
    <w:p>
      <w:r>
        <w:t>Required maturity is context-sensitive: R_d = clamp(round(3 + Σ factor × sensitivity), 1, 5). Transformation distance = Required − Current and is diagnostic, never a score penalty.</w:t>
      </w:r>
    </w:p>
    <w:p>
      <w:r>
        <w:t>Resources affect evidence burden only, not capability or required maturity.</w:t>
      </w:r>
    </w:p>
    <w:p>
      <w:r>
        <w:t>Do not invent mappings for profile scales or provisional option lists. Pending methodology decisions must remain explicit.</w:t>
      </w:r>
    </w:p>
    <w:p>
      <w:pPr>
        <w:pStyle w:val="Heading1"/>
      </w:pPr>
      <w:r>
        <w:t>7. End-to-end assessment lifecycle</w:t>
      </w:r>
    </w:p>
    <w:p>
      <w:pPr>
        <w:pStyle w:val="ListNumber"/>
      </w:pPr>
      <w:r>
        <w:t>Profile and institutional data submitted.</w:t>
      </w:r>
    </w:p>
    <w:p>
      <w:pPr>
        <w:pStyle w:val="ListNumber"/>
      </w:pPr>
      <w:r>
        <w:t>Engine determines applicability and creates ≤30 high-information screening questions.</w:t>
      </w:r>
    </w:p>
    <w:p>
      <w:pPr>
        <w:pStyle w:val="ListNumber"/>
      </w:pPr>
      <w:r>
        <w:t>Respondent answers screening questions.</w:t>
      </w:r>
    </w:p>
    <w:p>
      <w:pPr>
        <w:pStyle w:val="ListNumber"/>
      </w:pPr>
      <w:r>
        <w:t>Server routes only relevant deep-dive questions.</w:t>
      </w:r>
    </w:p>
    <w:p>
      <w:pPr>
        <w:pStyle w:val="ListNumber"/>
      </w:pPr>
      <w:r>
        <w:t>Respondent supplies targeted evidence; core target approximately 8–12 items.</w:t>
      </w:r>
    </w:p>
    <w:p>
      <w:pPr>
        <w:pStyle w:val="ListNumber"/>
      </w:pPr>
      <w:r>
        <w:t>Assessor reviews evidence/responses and scores M/I/O, N/A and rationale.</w:t>
      </w:r>
    </w:p>
    <w:p>
      <w:pPr>
        <w:pStyle w:val="ListNumber"/>
      </w:pPr>
      <w:r>
        <w:t>Engine runs evidence gates, temporal validity, anti-gaming and cross-domain diagnostics.</w:t>
      </w:r>
    </w:p>
    <w:p>
      <w:pPr>
        <w:pStyle w:val="ListNumber"/>
      </w:pPr>
      <w:r>
        <w:t>Assessor resolves/records flags; independent verification/calibration follows where applicable.</w:t>
      </w:r>
    </w:p>
    <w:p>
      <w:pPr>
        <w:pStyle w:val="ListNumber"/>
      </w:pPr>
      <w:r>
        <w:t>Engine aggregates validated metric results into domain/overall outputs according to approved coverage rules.</w:t>
      </w:r>
    </w:p>
    <w:p>
      <w:pPr>
        <w:pStyle w:val="ListNumber"/>
      </w:pPr>
      <w:r>
        <w:t>Backend builds immutable AssessmentReportPayload and generates PDF.</w:t>
      </w:r>
    </w:p>
    <w:p>
      <w:pPr>
        <w:pStyle w:val="ListNumber"/>
      </w:pPr>
      <w:r>
        <w:t>Leadership receives report and assessor-authored recommendations.</w:t>
      </w:r>
    </w:p>
    <w:p>
      <w:pPr>
        <w:pStyle w:val="Heading1"/>
      </w:pPr>
      <w:r>
        <w:t>8. Database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institutions</w:t>
            </w:r>
          </w:p>
        </w:tc>
        <w:tc>
          <w:tcPr>
            <w:tcW w:type="dxa" w:w="5040"/>
          </w:tcPr>
          <w:p>
            <w:r>
              <w:t>Institution master</w:t>
            </w:r>
          </w:p>
        </w:tc>
      </w:tr>
      <w:tr>
        <w:tc>
          <w:tcPr>
            <w:tcW w:type="dxa" w:w="5040"/>
          </w:tcPr>
          <w:p>
            <w:r>
              <w:t>institution_profiles</w:t>
            </w:r>
          </w:p>
        </w:tc>
        <w:tc>
          <w:tcPr>
            <w:tcW w:type="dxa" w:w="5040"/>
          </w:tcPr>
          <w:p>
            <w:r>
              <w:t>Versioned 25-field profile/context</w:t>
            </w:r>
          </w:p>
        </w:tc>
      </w:tr>
      <w:tr>
        <w:tc>
          <w:tcPr>
            <w:tcW w:type="dxa" w:w="5040"/>
          </w:tcPr>
          <w:p>
            <w:r>
              <w:t>users / memberships / roles</w:t>
            </w:r>
          </w:p>
        </w:tc>
        <w:tc>
          <w:tcPr>
            <w:tcW w:type="dxa" w:w="5040"/>
          </w:tcPr>
          <w:p>
            <w:r>
              <w:t>Identity and RBAC</w:t>
            </w:r>
          </w:p>
        </w:tc>
      </w:tr>
      <w:tr>
        <w:tc>
          <w:tcPr>
            <w:tcW w:type="dxa" w:w="5040"/>
          </w:tcPr>
          <w:p>
            <w:r>
              <w:t>assessments / assessment_scopes</w:t>
            </w:r>
          </w:p>
        </w:tc>
        <w:tc>
          <w:tcPr>
            <w:tcW w:type="dxa" w:w="5040"/>
          </w:tcPr>
          <w:p>
            <w:r>
              <w:t>Assessment lifecycle and domain scope</w:t>
            </w:r>
          </w:p>
        </w:tc>
      </w:tr>
      <w:tr>
        <w:tc>
          <w:tcPr>
            <w:tcW w:type="dxa" w:w="5040"/>
          </w:tcPr>
          <w:p>
            <w:r>
              <w:t>methodology_versions</w:t>
            </w:r>
          </w:p>
        </w:tc>
        <w:tc>
          <w:tcPr>
            <w:tcW w:type="dxa" w:w="5040"/>
          </w:tcPr>
          <w:p>
            <w:r>
              <w:t>Immutable methodology releases</w:t>
            </w:r>
          </w:p>
        </w:tc>
      </w:tr>
      <w:tr>
        <w:tc>
          <w:tcPr>
            <w:tcW w:type="dxa" w:w="5040"/>
          </w:tcPr>
          <w:p>
            <w:r>
              <w:t>domains / capabilities / metrics / metric_anchors</w:t>
            </w:r>
          </w:p>
        </w:tc>
        <w:tc>
          <w:tcPr>
            <w:tcW w:type="dxa" w:w="5040"/>
          </w:tcPr>
          <w:p>
            <w:r>
              <w:t>11-domain / 143-metric registry</w:t>
            </w:r>
          </w:p>
        </w:tc>
      </w:tr>
      <w:tr>
        <w:tc>
          <w:tcPr>
            <w:tcW w:type="dxa" w:w="5040"/>
          </w:tcPr>
          <w:p>
            <w:r>
              <w:t>questions / options / routing_rules</w:t>
            </w:r>
          </w:p>
        </w:tc>
        <w:tc>
          <w:tcPr>
            <w:tcW w:type="dxa" w:w="5040"/>
          </w:tcPr>
          <w:p>
            <w:r>
              <w:t>Question bank and adaptive branching</w:t>
            </w:r>
          </w:p>
        </w:tc>
      </w:tr>
      <w:tr>
        <w:tc>
          <w:tcPr>
            <w:tcW w:type="dxa" w:w="5040"/>
          </w:tcPr>
          <w:p>
            <w:r>
              <w:t>institutional_data_definitions / assessment_institutional_data</w:t>
            </w:r>
          </w:p>
        </w:tc>
        <w:tc>
          <w:tcPr>
            <w:tcW w:type="dxa" w:w="5040"/>
          </w:tcPr>
          <w:p>
            <w:r>
              <w:t>Structured domain data</w:t>
            </w:r>
          </w:p>
        </w:tc>
      </w:tr>
      <w:tr>
        <w:tc>
          <w:tcPr>
            <w:tcW w:type="dxa" w:w="5040"/>
          </w:tcPr>
          <w:p>
            <w:r>
              <w:t>assessment_responses</w:t>
            </w:r>
          </w:p>
        </w:tc>
        <w:tc>
          <w:tcPr>
            <w:tcW w:type="dxa" w:w="5040"/>
          </w:tcPr>
          <w:p>
            <w:r>
              <w:t>Respondent answers and states</w:t>
            </w:r>
          </w:p>
        </w:tc>
      </w:tr>
      <w:tr>
        <w:tc>
          <w:tcPr>
            <w:tcW w:type="dxa" w:w="5040"/>
          </w:tcPr>
          <w:p>
            <w:r>
              <w:t>evidence_items / evidence_metric_links / evidence_reviews</w:t>
            </w:r>
          </w:p>
        </w:tc>
        <w:tc>
          <w:tcPr>
            <w:tcW w:type="dxa" w:w="5040"/>
          </w:tcPr>
          <w:p>
            <w:r>
              <w:t>Evidence registry and review</w:t>
            </w:r>
          </w:p>
        </w:tc>
      </w:tr>
      <w:tr>
        <w:tc>
          <w:tcPr>
            <w:tcW w:type="dxa" w:w="5040"/>
          </w:tcPr>
          <w:p>
            <w:r>
              <w:t>evidence_gates</w:t>
            </w:r>
          </w:p>
        </w:tc>
        <w:tc>
          <w:tcPr>
            <w:tcW w:type="dxa" w:w="5040"/>
          </w:tcPr>
          <w:p>
            <w:r>
              <w:t>Evidence validity/gating outcomes</w:t>
            </w:r>
          </w:p>
        </w:tc>
      </w:tr>
      <w:tr>
        <w:tc>
          <w:tcPr>
            <w:tcW w:type="dxa" w:w="5040"/>
          </w:tcPr>
          <w:p>
            <w:r>
              <w:t>cross_domain_rules / findings</w:t>
            </w:r>
          </w:p>
        </w:tc>
        <w:tc>
          <w:tcPr>
            <w:tcW w:type="dxa" w:w="5040"/>
          </w:tcPr>
          <w:p>
            <w:r>
              <w:t>CD01–CD25 diagnostics</w:t>
            </w:r>
          </w:p>
        </w:tc>
      </w:tr>
      <w:tr>
        <w:tc>
          <w:tcPr>
            <w:tcW w:type="dxa" w:w="5040"/>
          </w:tcPr>
          <w:p>
            <w:r>
              <w:t>assessor_assignments / calibrations / adjudications</w:t>
            </w:r>
          </w:p>
        </w:tc>
        <w:tc>
          <w:tcPr>
            <w:tcW w:type="dxa" w:w="5040"/>
          </w:tcPr>
          <w:p>
            <w:r>
              <w:t>Assessor controls</w:t>
            </w:r>
          </w:p>
        </w:tc>
      </w:tr>
      <w:tr>
        <w:tc>
          <w:tcPr>
            <w:tcW w:type="dxa" w:w="5040"/>
          </w:tcPr>
          <w:p>
            <w:r>
              <w:t>metric_results / domain_results / overall_results</w:t>
            </w:r>
          </w:p>
        </w:tc>
        <w:tc>
          <w:tcPr>
            <w:tcW w:type="dxa" w:w="5040"/>
          </w:tcPr>
          <w:p>
            <w:r>
              <w:t>Immutable score-run outputs</w:t>
            </w:r>
          </w:p>
        </w:tc>
      </w:tr>
      <w:tr>
        <w:tc>
          <w:tcPr>
            <w:tcW w:type="dxa" w:w="5040"/>
          </w:tcPr>
          <w:p>
            <w:r>
              <w:t>score_runs</w:t>
            </w:r>
          </w:p>
        </w:tc>
        <w:tc>
          <w:tcPr>
            <w:tcW w:type="dxa" w:w="5040"/>
          </w:tcPr>
          <w:p>
            <w:r>
              <w:t>Frozen methodology/input/calculation metadata</w:t>
            </w:r>
          </w:p>
        </w:tc>
      </w:tr>
      <w:tr>
        <w:tc>
          <w:tcPr>
            <w:tcW w:type="dxa" w:w="5040"/>
          </w:tcPr>
          <w:p>
            <w:r>
              <w:t>report_payloads / reports</w:t>
            </w:r>
          </w:p>
        </w:tc>
        <w:tc>
          <w:tcPr>
            <w:tcW w:type="dxa" w:w="5040"/>
          </w:tcPr>
          <w:p>
            <w:r>
              <w:t>Report data and generated PDF metadata</w:t>
            </w:r>
          </w:p>
        </w:tc>
      </w:tr>
      <w:tr>
        <w:tc>
          <w:tcPr>
            <w:tcW w:type="dxa" w:w="5040"/>
          </w:tcPr>
          <w:p>
            <w:r>
              <w:t>audit_log</w:t>
            </w:r>
          </w:p>
        </w:tc>
        <w:tc>
          <w:tcPr>
            <w:tcW w:type="dxa" w:w="5040"/>
          </w:tcPr>
          <w:p>
            <w:r>
              <w:t>Important changes and decisions</w:t>
            </w:r>
          </w:p>
        </w:tc>
      </w:tr>
    </w:tbl>
    <w:p>
      <w:pPr>
        <w:pStyle w:val="Heading1"/>
      </w:pPr>
      <w:r>
        <w:t>9. API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Family</w:t>
            </w:r>
          </w:p>
        </w:tc>
        <w:tc>
          <w:tcPr>
            <w:tcW w:type="dxa" w:w="5040"/>
          </w:tcPr>
          <w:p>
            <w:r>
              <w:t>Example endpoints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POST /api/v1/auth/login, /logout, GET /me</w:t>
            </w:r>
          </w:p>
        </w:tc>
      </w:tr>
      <w:tr>
        <w:tc>
          <w:tcPr>
            <w:tcW w:type="dxa" w:w="5040"/>
          </w:tcPr>
          <w:p>
            <w:r>
              <w:t>Institutions/Profile</w:t>
            </w:r>
          </w:p>
        </w:tc>
        <w:tc>
          <w:tcPr>
            <w:tcW w:type="dxa" w:w="5040"/>
          </w:tcPr>
          <w:p>
            <w:r>
              <w:t>GET/PATCH /institutions/:id, GET/PUT /institutions/:id/profile</w:t>
            </w:r>
          </w:p>
        </w:tc>
      </w:tr>
      <w:tr>
        <w:tc>
          <w:tcPr>
            <w:tcW w:type="dxa" w:w="5040"/>
          </w:tcPr>
          <w:p>
            <w:r>
              <w:t>Assessments</w:t>
            </w:r>
          </w:p>
        </w:tc>
        <w:tc>
          <w:tcPr>
            <w:tcW w:type="dxa" w:w="5040"/>
          </w:tcPr>
          <w:p>
            <w:r>
              <w:t>POST /assessments, GET /assessments/:id, PUT /assessments/:id/scope</w:t>
            </w:r>
          </w:p>
        </w:tc>
      </w:tr>
      <w:tr>
        <w:tc>
          <w:tcPr>
            <w:tcW w:type="dxa" w:w="5040"/>
          </w:tcPr>
          <w:p>
            <w:r>
              <w:t>Questions</w:t>
            </w:r>
          </w:p>
        </w:tc>
        <w:tc>
          <w:tcPr>
            <w:tcW w:type="dxa" w:w="5040"/>
          </w:tcPr>
          <w:p>
            <w:r>
              <w:t>GET /assessments/:id/screening, GET /assessments/:id/next-questions, POST /responses</w:t>
            </w:r>
          </w:p>
        </w:tc>
      </w:tr>
      <w:tr>
        <w:tc>
          <w:tcPr>
            <w:tcW w:type="dxa" w:w="5040"/>
          </w:tcPr>
          <w:p>
            <w:r>
              <w:t>Institutional data</w:t>
            </w:r>
          </w:p>
        </w:tc>
        <w:tc>
          <w:tcPr>
            <w:tcW w:type="dxa" w:w="5040"/>
          </w:tcPr>
          <w:p>
            <w:r>
              <w:t>GET/PUT /assessments/:id/institutional-data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POST /assessments/:id/evidence, POST /evidence/:id/review</w:t>
            </w:r>
          </w:p>
        </w:tc>
      </w:tr>
      <w:tr>
        <w:tc>
          <w:tcPr>
            <w:tcW w:type="dxa" w:w="5040"/>
          </w:tcPr>
          <w:p>
            <w:r>
              <w:t>Assessor</w:t>
            </w:r>
          </w:p>
        </w:tc>
        <w:tc>
          <w:tcPr>
            <w:tcW w:type="dxa" w:w="5040"/>
          </w:tcPr>
          <w:p>
            <w:r>
              <w:t>GET/POST /assessments/:id/metric-assessments</w:t>
            </w:r>
          </w:p>
        </w:tc>
      </w:tr>
      <w:tr>
        <w:tc>
          <w:tcPr>
            <w:tcW w:type="dxa" w:w="5040"/>
          </w:tcPr>
          <w:p>
            <w:r>
              <w:t>Flags</w:t>
            </w:r>
          </w:p>
        </w:tc>
        <w:tc>
          <w:tcPr>
            <w:tcW w:type="dxa" w:w="5040"/>
          </w:tcPr>
          <w:p>
            <w:r>
              <w:t>GET /assessments/:id/flags, POST /flags/:id/resolve</w:t>
            </w:r>
          </w:p>
        </w:tc>
      </w:tr>
      <w:tr>
        <w:tc>
          <w:tcPr>
            <w:tcW w:type="dxa" w:w="5040"/>
          </w:tcPr>
          <w:p>
            <w:r>
              <w:t>Scoring</w:t>
            </w:r>
          </w:p>
        </w:tc>
        <w:tc>
          <w:tcPr>
            <w:tcW w:type="dxa" w:w="5040"/>
          </w:tcPr>
          <w:p>
            <w:r>
              <w:t>POST /assessments/:id/score-runs, GET /score-runs/:id/results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POST /score-runs/:id/report, GET /reports/:id</w:t>
            </w:r>
          </w:p>
        </w:tc>
      </w:tr>
      <w:tr>
        <w:tc>
          <w:tcPr>
            <w:tcW w:type="dxa" w:w="5040"/>
          </w:tcPr>
          <w:p>
            <w:r>
              <w:t>Methodology</w:t>
            </w:r>
          </w:p>
        </w:tc>
        <w:tc>
          <w:tcPr>
            <w:tcW w:type="dxa" w:w="5040"/>
          </w:tcPr>
          <w:p>
            <w:r>
              <w:t>GET /methodology/:version/... (read-only)</w:t>
            </w:r>
          </w:p>
        </w:tc>
      </w:tr>
    </w:tbl>
    <w:p>
      <w:pPr>
        <w:pStyle w:val="Heading1"/>
      </w:pPr>
      <w:r>
        <w:t>10. Adaptive engine</w:t>
      </w:r>
    </w:p>
    <w:p>
      <w:pPr>
        <w:pStyle w:val="ListBullet"/>
      </w:pPr>
      <w:r>
        <w:t>Server owns routing; frontend only renders the returned question set.</w:t>
      </w:r>
    </w:p>
    <w:p>
      <w:pPr>
        <w:pStyle w:val="ListBullet"/>
      </w:pPr>
      <w:r>
        <w:t>Initial screening is capped at 30 questions.</w:t>
      </w:r>
    </w:p>
    <w:p>
      <w:pPr>
        <w:pStyle w:val="ListBullet"/>
      </w:pPr>
      <w:r>
        <w:t>Each question must have domain/construct, answer type, applicability, routing metadata and information value.</w:t>
      </w:r>
    </w:p>
    <w:p>
      <w:pPr>
        <w:pStyle w:val="ListBullet"/>
      </w:pPr>
      <w:r>
        <w:t>After responses, route based on configured weak/uncertain/contradictory/high-risk/evidence-insufficient signals.</w:t>
      </w:r>
    </w:p>
    <w:p>
      <w:pPr>
        <w:pStyle w:val="ListBullet"/>
      </w:pPr>
      <w:r>
        <w:t>Do not invent numerical thresholds where the methodology marks them pending.</w:t>
      </w:r>
    </w:p>
    <w:p>
      <w:pPr>
        <w:pStyle w:val="ListBullet"/>
      </w:pPr>
      <w:r>
        <w:t>Store an execution log of shown, answered, skipped and hidden questions.</w:t>
      </w:r>
    </w:p>
    <w:p>
      <w:pPr>
        <w:pStyle w:val="ListBullet"/>
      </w:pPr>
      <w:r>
        <w:t>Do not expose metric IDs, weights, M/I/O constructs, evidence gates or cross-domain rules to respondents.</w:t>
      </w:r>
    </w:p>
    <w:p>
      <w:pPr>
        <w:pStyle w:val="Heading1"/>
      </w:pPr>
      <w:r>
        <w:t>11. Evidence and anti-gaming</w:t>
      </w:r>
    </w:p>
    <w:p>
      <w:pPr>
        <w:pStyle w:val="ListBullet"/>
      </w:pPr>
      <w:r>
        <w:t>Implement E0–E4 evidence levels and the P0-6 evidence rules.</w:t>
      </w:r>
    </w:p>
    <w:p>
      <w:pPr>
        <w:pStyle w:val="ListBullet"/>
      </w:pPr>
      <w:r>
        <w:t>Track type, source, period, uploader, linked domains/metrics, status, level, temporal validity and review history.</w:t>
      </w:r>
    </w:p>
    <w:p>
      <w:pPr>
        <w:pStyle w:val="ListBullet"/>
      </w:pPr>
      <w:r>
        <w:t>Expired/out-of-window evidence is returned and does not support current claims.</w:t>
      </w:r>
    </w:p>
    <w:p>
      <w:pPr>
        <w:pStyle w:val="ListBullet"/>
      </w:pPr>
      <w:r>
        <w:t>Implement AG01–AG10 as explicit testable controls from the P0-6 workbook.</w:t>
      </w:r>
    </w:p>
    <w:p>
      <w:pPr>
        <w:pStyle w:val="ListBullet"/>
      </w:pPr>
      <w:r>
        <w:t>Missing evidence does not automatically reduce capability; a required claim can remain unvalidated.</w:t>
      </w:r>
    </w:p>
    <w:p>
      <w:pPr>
        <w:pStyle w:val="ListBullet"/>
      </w:pPr>
      <w:r>
        <w:t>High scores and consequential claims trigger corroboration/review according to approved configuration.</w:t>
      </w:r>
    </w:p>
    <w:p>
      <w:pPr>
        <w:pStyle w:val="Heading1"/>
      </w:pPr>
      <w:r>
        <w:t>12. Cross-domain engine</w:t>
      </w:r>
    </w:p>
    <w:p>
      <w:r>
        <w:t>Implement all 25 P0-5 rules. Evaluate only when required source domains/metrics are available. Contradictions and dependency gaps are diagnostic only and have NO DIRECT SCORE EFFECT. They trigger verification/deep-dive and appear in the report.</w:t>
      </w:r>
    </w:p>
    <w:p>
      <w:pPr>
        <w:pStyle w:val="Heading1"/>
      </w:pPr>
      <w:r>
        <w:t>13. Assessor / reliability system</w:t>
      </w:r>
    </w:p>
    <w:p>
      <w:pPr>
        <w:pStyle w:val="ListBullet"/>
      </w:pPr>
      <w:r>
        <w:t>Assessor sees metric definitions, anchors, evidence and relevant responses.</w:t>
      </w:r>
    </w:p>
    <w:p>
      <w:pPr>
        <w:pStyle w:val="ListBullet"/>
      </w:pPr>
      <w:r>
        <w:t>Assessor independently enters M/I/O and rationale.</w:t>
      </w:r>
    </w:p>
    <w:p>
      <w:pPr>
        <w:pStyle w:val="ListBullet"/>
      </w:pPr>
      <w:r>
        <w:t>N/A requires documented reason and acceptance.</w:t>
      </w:r>
    </w:p>
    <w:p>
      <w:pPr>
        <w:pStyle w:val="ListBullet"/>
      </w:pPr>
      <w:r>
        <w:t>Double-score selected/high-impact/uncertain metrics.</w:t>
      </w:r>
    </w:p>
    <w:p>
      <w:pPr>
        <w:pStyle w:val="ListBullet"/>
      </w:pPr>
      <w:r>
        <w:t>If disagreement exceeds the approved tolerance, create adjudication; never silently average.</w:t>
      </w:r>
    </w:p>
    <w:p>
      <w:pPr>
        <w:pStyle w:val="ListBullet"/>
      </w:pPr>
      <w:r>
        <w:t>Store overrides with before/after value, user, timestamp and reason.</w:t>
      </w:r>
    </w:p>
    <w:p>
      <w:pPr>
        <w:pStyle w:val="ListBullet"/>
      </w:pPr>
      <w:r>
        <w:t>Calibration targets include ≥0.70 exploratory and ≥0.80 preferred freeze; empirical validity remains pending.</w:t>
      </w:r>
    </w:p>
    <w:p>
      <w:pPr>
        <w:pStyle w:val="Heading1"/>
      </w:pPr>
      <w:r>
        <w:t>14. Score-run / reproducibility</w:t>
      </w:r>
    </w:p>
    <w:p>
      <w:pPr>
        <w:pStyle w:val="ListBullet"/>
      </w:pPr>
      <w:r>
        <w:t>Score runs are immutable.</w:t>
      </w:r>
    </w:p>
    <w:p>
      <w:pPr>
        <w:pStyle w:val="ListBullet"/>
      </w:pPr>
      <w:r>
        <w:t>Store methodology version, input snapshot/hash, applicability, evidence state, assessor IDs, rule versions and calculation timestamp.</w:t>
      </w:r>
    </w:p>
    <w:p>
      <w:pPr>
        <w:pStyle w:val="ListBullet"/>
      </w:pPr>
      <w:r>
        <w:t>New methodology = new version and new score run; never mutate historical results.</w:t>
      </w:r>
    </w:p>
    <w:p>
      <w:pPr>
        <w:pStyle w:val="ListBullet"/>
      </w:pPr>
      <w:r>
        <w:t>Identical inputs + identical methodology version must reproduce identical outputs.</w:t>
      </w:r>
    </w:p>
    <w:p>
      <w:pPr>
        <w:pStyle w:val="ListBullet"/>
      </w:pPr>
      <w:r>
        <w:t>Lock denominator/exclusions before publishing.</w:t>
      </w:r>
    </w:p>
    <w:p>
      <w:pPr>
        <w:pStyle w:val="Heading1"/>
      </w:pPr>
      <w:r>
        <w:t>15. Production PDF</w:t>
      </w:r>
    </w:p>
    <w:p>
      <w:pPr>
        <w:pStyle w:val="ListBullet"/>
      </w:pPr>
      <w:r>
        <w:t>Generate server-side from AssessmentReportPayload.</w:t>
      </w:r>
    </w:p>
    <w:p>
      <w:pPr>
        <w:pStyle w:val="ListBullet"/>
      </w:pPr>
      <w:r>
        <w:t>Match the supplied 20-page sample's information architecture: cover, executive summary, institutional profile, scope, overall position, domain results, evidence/validation, cross-domain findings, assessor observations, actions, methodology/limitations and reassessment.</w:t>
      </w:r>
    </w:p>
    <w:p>
      <w:pPr>
        <w:pStyle w:val="ListBullet"/>
      </w:pPr>
      <w:r>
        <w:t>Do not invent an overall score for partial coverage. Follow the approved coverage decision; the sample currently withholds it.</w:t>
      </w:r>
    </w:p>
    <w:p>
      <w:pPr>
        <w:pStyle w:val="ListBullet"/>
      </w:pPr>
      <w:r>
        <w:t>Keep narrative observations/recommendations assessor-authored unless later approved otherwise.</w:t>
      </w:r>
    </w:p>
    <w:p>
      <w:pPr>
        <w:pStyle w:val="ListBullet"/>
      </w:pPr>
      <w:r>
        <w:t>Include confidentiality/non-certification/non-ranking language where applicable.</w:t>
      </w:r>
    </w:p>
    <w:p>
      <w:pPr>
        <w:pStyle w:val="ListBullet"/>
      </w:pPr>
      <w:r>
        <w:t>QA long names, long tables, page breaks, legends, overflow, numbering and raw-object rendering.</w:t>
      </w:r>
    </w:p>
    <w:p>
      <w:pPr>
        <w:pStyle w:val="Heading1"/>
      </w:pPr>
      <w:r>
        <w:t>16. Security</w:t>
      </w:r>
    </w:p>
    <w:p>
      <w:pPr>
        <w:pStyle w:val="ListBullet"/>
      </w:pPr>
      <w:r>
        <w:t>Server-side RBAC on every protected endpoint.</w:t>
      </w:r>
    </w:p>
    <w:p>
      <w:pPr>
        <w:pStyle w:val="ListBullet"/>
      </w:pPr>
      <w:r>
        <w:t>Strict institution-level data isolation.</w:t>
      </w:r>
    </w:p>
    <w:p>
      <w:pPr>
        <w:pStyle w:val="ListBullet"/>
      </w:pPr>
      <w:r>
        <w:t>Assessors access assigned assessments unless elevated.</w:t>
      </w:r>
    </w:p>
    <w:p>
      <w:pPr>
        <w:pStyle w:val="ListBullet"/>
      </w:pPr>
      <w:r>
        <w:t>Private evidence storage with signed temporary URLs.</w:t>
      </w:r>
    </w:p>
    <w:p>
      <w:pPr>
        <w:pStyle w:val="ListBullet"/>
      </w:pPr>
      <w:r>
        <w:t>Secrets outside GitHub.</w:t>
      </w:r>
    </w:p>
    <w:p>
      <w:pPr>
        <w:pStyle w:val="ListBullet"/>
      </w:pPr>
      <w:r>
        <w:t>Upload validation and virus-scanning integration point.</w:t>
      </w:r>
    </w:p>
    <w:p>
      <w:pPr>
        <w:pStyle w:val="ListBullet"/>
      </w:pPr>
      <w:r>
        <w:t>Audit profile edits, evidence, scoring, adjudication, publication and report generation.</w:t>
      </w:r>
    </w:p>
    <w:p>
      <w:pPr>
        <w:pStyle w:val="ListBullet"/>
      </w:pPr>
      <w:r>
        <w:t>Rate limiting, request IDs, structured logs, backups and HTTPS.</w:t>
      </w:r>
    </w:p>
    <w:p>
      <w:pPr>
        <w:pStyle w:val="Heading1"/>
      </w:pPr>
      <w:r>
        <w:t>17. Exact build order</w:t>
      </w:r>
    </w:p>
    <w:p>
      <w:pPr>
        <w:pStyle w:val="ListNumber"/>
      </w:pPr>
      <w:r>
        <w:t>Clone/run GitHub repo and baseline-test D01–D03 before changes.</w:t>
      </w:r>
    </w:p>
    <w:p>
      <w:pPr>
        <w:pStyle w:val="ListNumber"/>
      </w:pPr>
      <w:r>
        <w:t>Create backend service, PostgreSQL connection, environment config and health endpoints.</w:t>
      </w:r>
    </w:p>
    <w:p>
      <w:pPr>
        <w:pStyle w:val="ListNumber"/>
      </w:pPr>
      <w:r>
        <w:t>Create migrations and seed demo institution/admin/assessor.</w:t>
      </w:r>
    </w:p>
    <w:p>
      <w:pPr>
        <w:pStyle w:val="ListNumber"/>
      </w:pPr>
      <w:r>
        <w:t>Build methodology import pipeline and load 11 domains + 143 metrics from workbooks; never manually retype them.</w:t>
      </w:r>
    </w:p>
    <w:p>
      <w:pPr>
        <w:pStyle w:val="ListNumber"/>
      </w:pPr>
      <w:r>
        <w:t>Implement auth/RBAC.</w:t>
      </w:r>
    </w:p>
    <w:p>
      <w:pPr>
        <w:pStyle w:val="ListNumber"/>
      </w:pPr>
      <w:r>
        <w:t>Implement complete 25-field Institution Profile and completeness rules.</w:t>
      </w:r>
    </w:p>
    <w:p>
      <w:pPr>
        <w:pStyle w:val="ListNumber"/>
      </w:pPr>
      <w:r>
        <w:t>Implement assessment creation, scope and lifecycle states.</w:t>
      </w:r>
    </w:p>
    <w:p>
      <w:pPr>
        <w:pStyle w:val="ListNumber"/>
      </w:pPr>
      <w:r>
        <w:t>Implement question bank + adaptive routing; prove D01–D03 first.</w:t>
      </w:r>
    </w:p>
    <w:p>
      <w:pPr>
        <w:pStyle w:val="ListNumber"/>
      </w:pPr>
      <w:r>
        <w:t>Implement institutional-data capture with explicit provided/not provided/not sure/N/A states.</w:t>
      </w:r>
    </w:p>
    <w:p>
      <w:pPr>
        <w:pStyle w:val="ListNumber"/>
      </w:pPr>
      <w:r>
        <w:t>Implement evidence upload/registry/review/temporal validity.</w:t>
      </w:r>
    </w:p>
    <w:p>
      <w:pPr>
        <w:pStyle w:val="ListNumber"/>
      </w:pPr>
      <w:r>
        <w:t>Implement assessor M/I/O/N/A/rationale and review flags.</w:t>
      </w:r>
    </w:p>
    <w:p>
      <w:pPr>
        <w:pStyle w:val="ListNumber"/>
      </w:pPr>
      <w:r>
        <w:t>Implement P0-4 required maturity + transformation distance.</w:t>
      </w:r>
    </w:p>
    <w:p>
      <w:pPr>
        <w:pStyle w:val="ListNumber"/>
      </w:pPr>
      <w:r>
        <w:t>Implement P0-5 cross-domain + P0-6 evidence/anti-gaming.</w:t>
      </w:r>
    </w:p>
    <w:p>
      <w:pPr>
        <w:pStyle w:val="ListNumber"/>
      </w:pPr>
      <w:r>
        <w:t>Implement P0-7 calibration/adjudication records.</w:t>
      </w:r>
    </w:p>
    <w:p>
      <w:pPr>
        <w:pStyle w:val="ListNumber"/>
      </w:pPr>
      <w:r>
        <w:t>Implement immutable score runs and aggregation.</w:t>
      </w:r>
    </w:p>
    <w:p>
      <w:pPr>
        <w:pStyle w:val="ListNumber"/>
      </w:pPr>
      <w:r>
        <w:t>Implement report payload + server PDF.</w:t>
      </w:r>
    </w:p>
    <w:p>
      <w:pPr>
        <w:pStyle w:val="ListNumber"/>
      </w:pPr>
      <w:r>
        <w:t>Connect React frontend to APIs and remove mock calls from production path.</w:t>
      </w:r>
    </w:p>
    <w:p>
      <w:pPr>
        <w:pStyle w:val="ListNumber"/>
      </w:pPr>
      <w:r>
        <w:t>Enable D04–D11 using the same registry-driven components.</w:t>
      </w:r>
    </w:p>
    <w:p>
      <w:pPr>
        <w:pStyle w:val="ListNumber"/>
      </w:pPr>
      <w:r>
        <w:t>Run complete end-to-end test and security/QA pass.</w:t>
      </w:r>
    </w:p>
    <w:p>
      <w:pPr>
        <w:pStyle w:val="ListNumber"/>
      </w:pPr>
      <w:r>
        <w:t>Document unresolved methodology decisions instead of inventing them.</w:t>
      </w:r>
    </w:p>
    <w:p>
      <w:pPr>
        <w:pStyle w:val="Heading1"/>
      </w:pPr>
      <w:r>
        <w:t>18. D04–D11 rule</w:t>
      </w:r>
    </w:p>
    <w:p>
      <w:r>
        <w:t>D04–D11 must use the same assessment engine. Adding/correcting a metric or question in the methodology registry must not require a new React page or new scoring algorithm.</w:t>
      </w:r>
    </w:p>
    <w:p>
      <w:pPr>
        <w:pStyle w:val="Heading1"/>
      </w:pPr>
      <w:r>
        <w:t>19. Pending decisions — DO NOT INVENT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Developer instruction</w:t>
            </w:r>
          </w:p>
        </w:tc>
      </w:tr>
      <w:tr>
        <w:tc>
          <w:tcPr>
            <w:tcW w:type="dxa" w:w="5040"/>
          </w:tcPr>
          <w:p>
            <w:r>
              <w:t>Answer-choice → M/I/O</w:t>
            </w:r>
          </w:p>
        </w:tc>
        <w:tc>
          <w:tcPr>
            <w:tcW w:type="dxa" w:w="5040"/>
          </w:tcPr>
          <w:p>
            <w:r>
              <w:t>Keep respondent answers separate from assessor scoring.</w:t>
            </w:r>
          </w:p>
        </w:tc>
      </w:tr>
      <w:tr>
        <w:tc>
          <w:tcPr>
            <w:tcW w:type="dxa" w:w="5040"/>
          </w:tcPr>
          <w:p>
            <w:r>
              <w:t>Blank Outcome vs N/A</w:t>
            </w:r>
          </w:p>
        </w:tc>
        <w:tc>
          <w:tcPr>
            <w:tcW w:type="dxa" w:w="5040"/>
          </w:tcPr>
          <w:p>
            <w:r>
              <w:t>Keep distinct until approved.</w:t>
            </w:r>
          </w:p>
        </w:tc>
      </w:tr>
      <w:tr>
        <w:tc>
          <w:tcPr>
            <w:tcW w:type="dxa" w:w="5040"/>
          </w:tcPr>
          <w:p>
            <w:r>
              <w:t>Screening/weak/contradictory thresholds</w:t>
            </w:r>
          </w:p>
        </w:tc>
        <w:tc>
          <w:tcPr>
            <w:tcW w:type="dxa" w:w="5040"/>
          </w:tcPr>
          <w:p>
            <w:r>
              <w:t>Configurable; use only approved values.</w:t>
            </w:r>
          </w:p>
        </w:tc>
      </w:tr>
      <w:tr>
        <w:tc>
          <w:tcPr>
            <w:tcW w:type="dxa" w:w="5040"/>
          </w:tcPr>
          <w:p>
            <w:r>
              <w:t>Evidence-request threshold</w:t>
            </w:r>
          </w:p>
        </w:tc>
        <w:tc>
          <w:tcPr>
            <w:tcW w:type="dxa" w:w="5040"/>
          </w:tcPr>
          <w:p>
            <w:r>
              <w:t>Do not invent.</w:t>
            </w:r>
          </w:p>
        </w:tc>
      </w:tr>
      <w:tr>
        <w:tc>
          <w:tcPr>
            <w:tcW w:type="dxa" w:w="5040"/>
          </w:tcPr>
          <w:p>
            <w:r>
              <w:t>Profile scale mappings</w:t>
            </w:r>
          </w:p>
        </w:tc>
        <w:tc>
          <w:tcPr>
            <w:tcW w:type="dxa" w:w="5040"/>
          </w:tcPr>
          <w:p>
            <w:r>
              <w:t>Do not invent.</w:t>
            </w:r>
          </w:p>
        </w:tc>
      </w:tr>
      <w:tr>
        <w:tc>
          <w:tcPr>
            <w:tcW w:type="dxa" w:w="5040"/>
          </w:tcPr>
          <w:p>
            <w:r>
              <w:t>Confidence-band formula</w:t>
            </w:r>
          </w:p>
        </w:tc>
        <w:tc>
          <w:tcPr>
            <w:tcW w:type="dxa" w:w="5040"/>
          </w:tcPr>
          <w:p>
            <w:r>
              <w:t>Do not report until approved.</w:t>
            </w:r>
          </w:p>
        </w:tc>
      </w:tr>
      <w:tr>
        <w:tc>
          <w:tcPr>
            <w:tcW w:type="dxa" w:w="5040"/>
          </w:tcPr>
          <w:p>
            <w:r>
              <w:t>Corroboration adjustment</w:t>
            </w:r>
          </w:p>
        </w:tc>
        <w:tc>
          <w:tcPr>
            <w:tcW w:type="dxa" w:w="5040"/>
          </w:tcPr>
          <w:p>
            <w:r>
              <w:t>Store raw and adjustment inputs separately; no invented formula.</w:t>
            </w:r>
          </w:p>
        </w:tc>
      </w:tr>
      <w:tr>
        <w:tc>
          <w:tcPr>
            <w:tcW w:type="dxa" w:w="5040"/>
          </w:tcPr>
          <w:p>
            <w:r>
              <w:t>Partial-coverage overall score</w:t>
            </w:r>
          </w:p>
        </w:tc>
        <w:tc>
          <w:tcPr>
            <w:tcW w:type="dxa" w:w="5040"/>
          </w:tcPr>
          <w:p>
            <w:r>
              <w:t>Follow approved rule; sample withholds overall.</w:t>
            </w:r>
          </w:p>
        </w:tc>
      </w:tr>
      <w:tr>
        <w:tc>
          <w:tcPr>
            <w:tcW w:type="dxa" w:w="5040"/>
          </w:tcPr>
          <w:p>
            <w:r>
              <w:t>Unknown/not sure/not answered/N/A</w:t>
            </w:r>
          </w:p>
        </w:tc>
        <w:tc>
          <w:tcPr>
            <w:tcW w:type="dxa" w:w="5040"/>
          </w:tcPr>
          <w:p>
            <w:r>
              <w:t>Four distinct states.</w:t>
            </w:r>
          </w:p>
        </w:tc>
      </w:tr>
      <w:tr>
        <w:tc>
          <w:tcPr>
            <w:tcW w:type="dxa" w:w="5040"/>
          </w:tcPr>
          <w:p>
            <w:r>
              <w:t>Respondent maturity labels</w:t>
            </w:r>
          </w:p>
        </w:tc>
        <w:tc>
          <w:tcPr>
            <w:tcW w:type="dxa" w:w="5040"/>
          </w:tcPr>
          <w:p>
            <w:r>
              <w:t>Do not expose internal labels without approval.</w:t>
            </w:r>
          </w:p>
        </w:tc>
      </w:tr>
      <w:tr>
        <w:tc>
          <w:tcPr>
            <w:tcW w:type="dxa" w:w="5040"/>
          </w:tcPr>
          <w:p>
            <w:r>
              <w:t>Institutional Pulse relationship</w:t>
            </w:r>
          </w:p>
        </w:tc>
        <w:tc>
          <w:tcPr>
            <w:tcW w:type="dxa" w:w="5040"/>
          </w:tcPr>
          <w:p>
            <w:r>
              <w:t>Do not invent.</w:t>
            </w:r>
          </w:p>
        </w:tc>
      </w:tr>
      <w:tr>
        <w:tc>
          <w:tcPr>
            <w:tcW w:type="dxa" w:w="5040"/>
          </w:tcPr>
          <w:p>
            <w:r>
              <w:t>Future Exposure scale</w:t>
            </w:r>
          </w:p>
        </w:tc>
        <w:tc>
          <w:tcPr>
            <w:tcW w:type="dxa" w:w="5040"/>
          </w:tcPr>
          <w:p>
            <w:r>
              <w:t>Do not invent.</w:t>
            </w:r>
          </w:p>
        </w:tc>
      </w:tr>
    </w:tbl>
    <w:p>
      <w:pPr>
        <w:pStyle w:val="Heading1"/>
      </w:pPr>
      <w:r>
        <w:t>20. Definition of 'done tomorrow'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Gate</w:t>
            </w:r>
          </w:p>
        </w:tc>
        <w:tc>
          <w:tcPr>
            <w:tcW w:type="dxa" w:w="5040"/>
          </w:tcPr>
          <w:p>
            <w:r>
              <w:t>Pass condition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Node.js service deployed/runnable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PostgreSQL migrations + seed from empty DB</w:t>
            </w:r>
          </w:p>
        </w:tc>
      </w:tr>
      <w:tr>
        <w:tc>
          <w:tcPr>
            <w:tcW w:type="dxa" w:w="5040"/>
          </w:tcPr>
          <w:p>
            <w:r>
              <w:t>Methodology</w:t>
            </w:r>
          </w:p>
        </w:tc>
        <w:tc>
          <w:tcPr>
            <w:tcW w:type="dxa" w:w="5040"/>
          </w:tcPr>
          <w:p>
            <w:r>
              <w:t>11 domains / 143 metrics loaded and versioned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RBAC + institution isolation works</w:t>
            </w:r>
          </w:p>
        </w:tc>
      </w:tr>
      <w:tr>
        <w:tc>
          <w:tcPr>
            <w:tcW w:type="dxa" w:w="5040"/>
          </w:tcPr>
          <w:p>
            <w:r>
              <w:t>Assessment</w:t>
            </w:r>
          </w:p>
        </w:tc>
        <w:tc>
          <w:tcPr>
            <w:tcW w:type="dxa" w:w="5040"/>
          </w:tcPr>
          <w:p>
            <w:r>
              <w:t>Complete lifecycle works</w:t>
            </w:r>
          </w:p>
        </w:tc>
      </w:tr>
      <w:tr>
        <w:tc>
          <w:tcPr>
            <w:tcW w:type="dxa" w:w="5040"/>
          </w:tcPr>
          <w:p>
            <w:r>
              <w:t>Adaptive</w:t>
            </w:r>
          </w:p>
        </w:tc>
        <w:tc>
          <w:tcPr>
            <w:tcW w:type="dxa" w:w="5040"/>
          </w:tcPr>
          <w:p>
            <w:r>
              <w:t>≤30 screening + targeted follow-up works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Upload/review/temporal validity works</w:t>
            </w:r>
          </w:p>
        </w:tc>
      </w:tr>
      <w:tr>
        <w:tc>
          <w:tcPr>
            <w:tcW w:type="dxa" w:w="5040"/>
          </w:tcPr>
          <w:p>
            <w:r>
              <w:t>Scoring</w:t>
            </w:r>
          </w:p>
        </w:tc>
        <w:tc>
          <w:tcPr>
            <w:tcW w:type="dxa" w:w="5040"/>
          </w:tcPr>
          <w:p>
            <w:r>
              <w:t>Formula + domain aggregation pass test cases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Required maturity + distance pass test cases</w:t>
            </w:r>
          </w:p>
        </w:tc>
      </w:tr>
      <w:tr>
        <w:tc>
          <w:tcPr>
            <w:tcW w:type="dxa" w:w="5040"/>
          </w:tcPr>
          <w:p>
            <w:r>
              <w:t>Cross-domain</w:t>
            </w:r>
          </w:p>
        </w:tc>
        <w:tc>
          <w:tcPr>
            <w:tcW w:type="dxa" w:w="5040"/>
          </w:tcPr>
          <w:p>
            <w:r>
              <w:t>Diagnostics work and do not change scores</w:t>
            </w:r>
          </w:p>
        </w:tc>
      </w:tr>
      <w:tr>
        <w:tc>
          <w:tcPr>
            <w:tcW w:type="dxa" w:w="5040"/>
          </w:tcPr>
          <w:p>
            <w:r>
              <w:t>D04–D11</w:t>
            </w:r>
          </w:p>
        </w:tc>
        <w:tc>
          <w:tcPr>
            <w:tcW w:type="dxa" w:w="5040"/>
          </w:tcPr>
          <w:p>
            <w:r>
              <w:t>All eight domains assessable through same engine</w:t>
            </w:r>
          </w:p>
        </w:tc>
      </w:tr>
      <w:tr>
        <w:tc>
          <w:tcPr>
            <w:tcW w:type="dxa" w:w="5040"/>
          </w:tcPr>
          <w:p>
            <w:r>
              <w:t>PDF</w:t>
            </w:r>
          </w:p>
        </w:tc>
        <w:tc>
          <w:tcPr>
            <w:tcW w:type="dxa" w:w="5040"/>
          </w:tcPr>
          <w:p>
            <w:r>
              <w:t>Server-generated report matches sample structure</w:t>
            </w:r>
          </w:p>
        </w:tc>
      </w:tr>
      <w:tr>
        <w:tc>
          <w:tcPr>
            <w:tcW w:type="dxa" w:w="5040"/>
          </w:tcPr>
          <w:p>
            <w:r>
              <w:t>Tests</w:t>
            </w:r>
          </w:p>
        </w:tc>
        <w:tc>
          <w:tcPr>
            <w:tcW w:type="dxa" w:w="5040"/>
          </w:tcPr>
          <w:p>
            <w:r>
              <w:t>Calculation/API/E2E smoke tests pass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No claim of empirical validation/certification/ranking</w:t>
            </w:r>
          </w:p>
        </w:tc>
      </w:tr>
    </w:tbl>
    <w:p>
      <w:pPr>
        <w:pStyle w:val="Heading1"/>
      </w:pPr>
      <w:r>
        <w:t>21. Aggressive one-day execution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Block</w:t>
            </w:r>
          </w:p>
        </w:tc>
        <w:tc>
          <w:tcPr>
            <w:tcW w:type="dxa" w:w="5040"/>
          </w:tcPr>
          <w:p>
            <w:r>
              <w:t>Focus</w:t>
            </w:r>
          </w:p>
        </w:tc>
      </w:tr>
      <w:tr>
        <w:tc>
          <w:tcPr>
            <w:tcW w:type="dxa" w:w="5040"/>
          </w:tcPr>
          <w:p>
            <w:r>
              <w:t>0–1h</w:t>
            </w:r>
          </w:p>
        </w:tc>
        <w:tc>
          <w:tcPr>
            <w:tcW w:type="dxa" w:w="5040"/>
          </w:tcPr>
          <w:p>
            <w:r>
              <w:t>Repo audit + backend skeleton</w:t>
            </w:r>
          </w:p>
        </w:tc>
      </w:tr>
      <w:tr>
        <w:tc>
          <w:tcPr>
            <w:tcW w:type="dxa" w:w="5040"/>
          </w:tcPr>
          <w:p>
            <w:r>
              <w:t>1–3h</w:t>
            </w:r>
          </w:p>
        </w:tc>
        <w:tc>
          <w:tcPr>
            <w:tcW w:type="dxa" w:w="5040"/>
          </w:tcPr>
          <w:p>
            <w:r>
              <w:t>PostgreSQL + methodology import</w:t>
            </w:r>
          </w:p>
        </w:tc>
      </w:tr>
      <w:tr>
        <w:tc>
          <w:tcPr>
            <w:tcW w:type="dxa" w:w="5040"/>
          </w:tcPr>
          <w:p>
            <w:r>
              <w:t>3–5h</w:t>
            </w:r>
          </w:p>
        </w:tc>
        <w:tc>
          <w:tcPr>
            <w:tcW w:type="dxa" w:w="5040"/>
          </w:tcPr>
          <w:p>
            <w:r>
              <w:t>Auth/RBAC + institution/profile + assessment lifecycle</w:t>
            </w:r>
          </w:p>
        </w:tc>
      </w:tr>
      <w:tr>
        <w:tc>
          <w:tcPr>
            <w:tcW w:type="dxa" w:w="5040"/>
          </w:tcPr>
          <w:p>
            <w:r>
              <w:t>5–7h</w:t>
            </w:r>
          </w:p>
        </w:tc>
        <w:tc>
          <w:tcPr>
            <w:tcW w:type="dxa" w:w="5040"/>
          </w:tcPr>
          <w:p>
            <w:r>
              <w:t>Questions + adaptive routing + institutional data</w:t>
            </w:r>
          </w:p>
        </w:tc>
      </w:tr>
      <w:tr>
        <w:tc>
          <w:tcPr>
            <w:tcW w:type="dxa" w:w="5040"/>
          </w:tcPr>
          <w:p>
            <w:r>
              <w:t>7–9h</w:t>
            </w:r>
          </w:p>
        </w:tc>
        <w:tc>
          <w:tcPr>
            <w:tcW w:type="dxa" w:w="5040"/>
          </w:tcPr>
          <w:p>
            <w:r>
              <w:t>Evidence + assessor scoring + score run</w:t>
            </w:r>
          </w:p>
        </w:tc>
      </w:tr>
      <w:tr>
        <w:tc>
          <w:tcPr>
            <w:tcW w:type="dxa" w:w="5040"/>
          </w:tcPr>
          <w:p>
            <w:r>
              <w:t>9–11h</w:t>
            </w:r>
          </w:p>
        </w:tc>
        <w:tc>
          <w:tcPr>
            <w:tcW w:type="dxa" w:w="5040"/>
          </w:tcPr>
          <w:p>
            <w:r>
              <w:t>Context + cross-domain + evidence controls</w:t>
            </w:r>
          </w:p>
        </w:tc>
      </w:tr>
      <w:tr>
        <w:tc>
          <w:tcPr>
            <w:tcW w:type="dxa" w:w="5040"/>
          </w:tcPr>
          <w:p>
            <w:r>
              <w:t>11–13h</w:t>
            </w:r>
          </w:p>
        </w:tc>
        <w:tc>
          <w:tcPr>
            <w:tcW w:type="dxa" w:w="5040"/>
          </w:tcPr>
          <w:p>
            <w:r>
              <w:t>D04–D11 integration</w:t>
            </w:r>
          </w:p>
        </w:tc>
      </w:tr>
      <w:tr>
        <w:tc>
          <w:tcPr>
            <w:tcW w:type="dxa" w:w="5040"/>
          </w:tcPr>
          <w:p>
            <w:r>
              <w:t>13–15h</w:t>
            </w:r>
          </w:p>
        </w:tc>
        <w:tc>
          <w:tcPr>
            <w:tcW w:type="dxa" w:w="5040"/>
          </w:tcPr>
          <w:p>
            <w:r>
              <w:t>Report payload + PDF</w:t>
            </w:r>
          </w:p>
        </w:tc>
      </w:tr>
      <w:tr>
        <w:tc>
          <w:tcPr>
            <w:tcW w:type="dxa" w:w="5040"/>
          </w:tcPr>
          <w:p>
            <w:r>
              <w:t>15–17h</w:t>
            </w:r>
          </w:p>
        </w:tc>
        <w:tc>
          <w:tcPr>
            <w:tcW w:type="dxa" w:w="5040"/>
          </w:tcPr>
          <w:p>
            <w:r>
              <w:t>End-to-end tests + frontend integration</w:t>
            </w:r>
          </w:p>
        </w:tc>
      </w:tr>
      <w:tr>
        <w:tc>
          <w:tcPr>
            <w:tcW w:type="dxa" w:w="5040"/>
          </w:tcPr>
          <w:p>
            <w:r>
              <w:t>17–18h</w:t>
            </w:r>
          </w:p>
        </w:tc>
        <w:tc>
          <w:tcPr>
            <w:tcW w:type="dxa" w:w="5040"/>
          </w:tcPr>
          <w:p>
            <w:r>
              <w:t>Security/QA + handoff</w:t>
            </w:r>
          </w:p>
        </w:tc>
      </w:tr>
    </w:tbl>
    <w:p>
      <w:r>
        <w:t>This is aggressive. Do not spend the sprint redesigning the UI or building secondary features.</w:t>
      </w:r>
    </w:p>
    <w:p>
      <w:pPr>
        <w:pStyle w:val="Heading1"/>
      </w:pPr>
      <w:r>
        <w:t>22. Do not spend time on</w:t>
      </w:r>
    </w:p>
    <w:p>
      <w:pPr>
        <w:pStyle w:val="ListBullet"/>
      </w:pPr>
      <w:r>
        <w:t>Rebuilding the frontend.</w:t>
      </w:r>
    </w:p>
    <w:p>
      <w:pPr>
        <w:pStyle w:val="ListBullet"/>
      </w:pPr>
      <w:r>
        <w:t>Moving React into Node.js.</w:t>
      </w:r>
    </w:p>
    <w:p>
      <w:pPr>
        <w:pStyle w:val="ListBullet"/>
      </w:pPr>
      <w:r>
        <w:t>Future engines/platform generalisation.</w:t>
      </w:r>
    </w:p>
    <w:p>
      <w:pPr>
        <w:pStyle w:val="ListBullet"/>
      </w:pPr>
      <w:r>
        <w:t>Manual entry of 143 metrics.</w:t>
      </w:r>
    </w:p>
    <w:p>
      <w:pPr>
        <w:pStyle w:val="ListBullet"/>
      </w:pPr>
      <w:r>
        <w:t>Payments, public rankings, certification or public benchmarking.</w:t>
      </w:r>
    </w:p>
    <w:p>
      <w:pPr>
        <w:pStyle w:val="ListBullet"/>
      </w:pPr>
      <w:r>
        <w:t>AI-generated assessor prose.</w:t>
      </w:r>
    </w:p>
    <w:p>
      <w:pPr>
        <w:pStyle w:val="ListBullet"/>
      </w:pPr>
      <w:r>
        <w:t>Empirical validation in the coding sprint.</w:t>
      </w:r>
    </w:p>
    <w:p>
      <w:pPr>
        <w:pStyle w:val="ListBullet"/>
      </w:pPr>
      <w:r>
        <w:t>Lovable Cloud/Supabase production dependencies.</w:t>
      </w:r>
    </w:p>
    <w:p>
      <w:pPr>
        <w:pStyle w:val="Heading1"/>
      </w:pPr>
      <w:r>
        <w:t>23. QA minimum</w:t>
      </w:r>
    </w:p>
    <w:p>
      <w:pPr>
        <w:pStyle w:val="ListBullet"/>
      </w:pPr>
      <w:r>
        <w:t>Formula boundaries and with/without Outcome.</w:t>
      </w:r>
    </w:p>
    <w:p>
      <w:pPr>
        <w:pStyle w:val="ListBullet"/>
      </w:pPr>
      <w:r>
        <w:t>N/A exclusion and missing-data handling.</w:t>
      </w:r>
    </w:p>
    <w:p>
      <w:pPr>
        <w:pStyle w:val="ListBullet"/>
      </w:pPr>
      <w:r>
        <w:t>Four distinct unknown/not-sure/not-answered/N/A states.</w:t>
      </w:r>
    </w:p>
    <w:p>
      <w:pPr>
        <w:pStyle w:val="ListBullet"/>
      </w:pPr>
      <w:r>
        <w:t>Context clamp and resource-bias separation.</w:t>
      </w:r>
    </w:p>
    <w:p>
      <w:pPr>
        <w:pStyle w:val="ListBullet"/>
      </w:pPr>
      <w:r>
        <w:t>Cross-domain no-score-effect test.</w:t>
      </w:r>
    </w:p>
    <w:p>
      <w:pPr>
        <w:pStyle w:val="ListBullet"/>
      </w:pPr>
      <w:r>
        <w:t>Evidence temporal-validity test.</w:t>
      </w:r>
    </w:p>
    <w:p>
      <w:pPr>
        <w:pStyle w:val="ListBullet"/>
      </w:pPr>
      <w:r>
        <w:t>High-score corroboration flag test.</w:t>
      </w:r>
    </w:p>
    <w:p>
      <w:pPr>
        <w:pStyle w:val="ListBullet"/>
      </w:pPr>
      <w:r>
        <w:t>RBAC/institution-isolation tests.</w:t>
      </w:r>
    </w:p>
    <w:p>
      <w:pPr>
        <w:pStyle w:val="ListBullet"/>
      </w:pPr>
      <w:r>
        <w:t>Methodology version immutability test.</w:t>
      </w:r>
    </w:p>
    <w:p>
      <w:pPr>
        <w:pStyle w:val="ListBullet"/>
      </w:pPr>
      <w:r>
        <w:t>Deterministic re-run test.</w:t>
      </w:r>
    </w:p>
    <w:p>
      <w:pPr>
        <w:pStyle w:val="ListBullet"/>
      </w:pPr>
      <w:r>
        <w:t>Adaptive screening cap test.</w:t>
      </w:r>
    </w:p>
    <w:p>
      <w:pPr>
        <w:pStyle w:val="ListBullet"/>
      </w:pPr>
      <w:r>
        <w:t>PDF partial/full coverage tests.</w:t>
      </w:r>
    </w:p>
    <w:p>
      <w:pPr>
        <w:pStyle w:val="Heading1"/>
      </w:pPr>
      <w:r>
        <w:t>24. Final developer instruction</w:t>
      </w:r>
    </w:p>
    <w:p>
      <w:r>
        <w:t>Treat ARUI as a measurement system, not a normal questionnaire. Preserve the separation: respondent signals → evidence → assessor judgement → scoring → diagnostics → report. Respondents do not directly generate scores. Context does not create score advantage. Evidence confidence does not multiply capability. Cross-domain findings do not alter scores. Commercial/consulting activity must never be able to change score, ranking, verification or recognition.</w:t>
      </w:r>
    </w:p>
    <w:p>
      <w:r>
        <w:t>Build the smallest complete production architecture capable of executing all 11 domains. Preserve every methodology item marked provisional/pending until the product owner approves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