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160" w:line="240" w:lineRule="auto"/>
        <w:jc w:val="center"/>
      </w:pPr>
      <w:r>
        <w:rPr>
          <w:rFonts w:ascii="Times New Roman" w:hAnsi="Times New Roman" w:eastAsia="Times New Roman"/>
          <w:b/>
          <w:i w:val="0"/>
          <w:sz w:val="28"/>
        </w:rPr>
        <w:t>Risk-Adaptive Evidence Revalidation for Consequential Tool Actions: A Prospective Failure Analysis</w:t>
      </w:r>
    </w:p>
    <w:p>
      <w:pPr>
        <w:keepLines/>
        <w:spacing w:before="0" w:after="200" w:line="240" w:lineRule="auto"/>
        <w:jc w:val="center"/>
      </w:pPr>
      <w:r>
        <w:rPr>
          <w:rFonts w:ascii="Times New Roman" w:hAnsi="Times New Roman" w:eastAsia="Times New Roman"/>
          <w:b w:val="0"/>
          <w:i w:val="0"/>
          <w:sz w:val="20"/>
        </w:rPr>
        <w:t>Anonymous submission</w:t>
      </w:r>
    </w:p>
    <w:p>
      <w:pPr>
        <w:keepLines w:val="0"/>
        <w:spacing w:before="0" w:after="100" w:line="240" w:lineRule="auto"/>
        <w:jc w:val="both"/>
      </w:pPr>
      <w:r>
        <w:rPr>
          <w:rFonts w:ascii="Times New Roman" w:hAnsi="Times New Roman" w:eastAsia="Times New Roman"/>
          <w:b/>
          <w:i w:val="0"/>
          <w:sz w:val="20"/>
        </w:rPr>
        <w:t xml:space="preserve">Abstract. </w:t>
      </w:r>
      <w:r>
        <w:rPr>
          <w:rFonts w:ascii="Times New Roman" w:hAnsi="Times New Roman" w:eastAsia="Times New Roman"/>
          <w:b w:val="0"/>
          <w:i w:val="0"/>
          <w:sz w:val="20"/>
        </w:rPr>
        <w:t>Consequential tool actions often depend on evidence that was valid when collected but may be invalid when used. Revalidating every prerequisite is costly, while acting on stale authorization, policy, identity, or operational state can cause harm. We formulate budgeted evidence revalidation as joint selection and abstention rather than as an evaluation of software tools. A preregistered first method (RAER v1) used a hard residual-risk feasibility threshold and failed its safe-completion gate. We then prospectively froze RAER v2, which minimizes an interpretable expected-loss objective combining harmful action, unnecessary abstention, validation cost, bounded budget slack, and an authorization safeguard. Six-domain leave-one-domain-out selection was performed on 72 exposed design cases; a separate 24-case test partition remained sealed. Out of fold, RAER v2 completed 25 of 27 valid cases (92.6%), caused harmful action in 14 of 45 invalid cases (31.1%), and incurred mean validation cost 0.547. FIXED_0.20 completed 27 of 27 valid cases, caused 18 harmful actions (40.0%), and cost 0.800. Seven of eight prospective criteria passed, but the required safe-completion rate was at least 95%. The gate therefore failed and no held-out evaluation was run. The result shows why favorable harm-cost summaries are insufficient when configuration transfer across domains degrades completion, and demonstrates a reproducible protocol for preserving negative design evidence without consuming confirmatory data.</w:t>
      </w:r>
    </w:p>
    <w:p>
      <w:pPr>
        <w:keepLines w:val="0"/>
        <w:spacing w:before="0" w:after="160" w:line="240" w:lineRule="auto"/>
        <w:jc w:val="both"/>
      </w:pPr>
      <w:r>
        <w:rPr>
          <w:rFonts w:ascii="Times New Roman" w:hAnsi="Times New Roman" w:eastAsia="Times New Roman"/>
          <w:b/>
          <w:i w:val="0"/>
          <w:sz w:val="20"/>
        </w:rPr>
        <w:t xml:space="preserve">Keywords: </w:t>
      </w:r>
      <w:r>
        <w:rPr>
          <w:rFonts w:ascii="Times New Roman" w:hAnsi="Times New Roman" w:eastAsia="Times New Roman"/>
          <w:b w:val="0"/>
          <w:i w:val="0"/>
          <w:sz w:val="20"/>
        </w:rPr>
        <w:t>evidence revalidation · abstention · authorization · tool actions · validation budget · prospective evaluation</w:t>
      </w:r>
    </w:p>
    <w:p>
      <w:pPr>
        <w:pStyle w:val="Heading1"/>
      </w:pPr>
      <w:r>
        <w:rPr>
          <w:rFonts w:ascii="Times New Roman" w:hAnsi="Times New Roman" w:eastAsia="Times New Roman"/>
          <w:b/>
          <w:i w:val="0"/>
          <w:sz w:val="24"/>
        </w:rPr>
        <w:t>1 Introduction</w:t>
      </w:r>
    </w:p>
    <w:p>
      <w:pPr>
        <w:keepLines w:val="0"/>
        <w:spacing w:before="0" w:after="80" w:line="240" w:lineRule="auto"/>
        <w:jc w:val="both"/>
      </w:pPr>
      <w:r>
        <w:rPr>
          <w:rFonts w:ascii="Times New Roman" w:hAnsi="Times New Roman" w:eastAsia="Times New Roman"/>
          <w:b w:val="0"/>
          <w:i w:val="0"/>
          <w:sz w:val="20"/>
        </w:rPr>
        <w:t>Tool-using agents do more than produce text: they may change access, release records, modify financial instructions, update employee status, or commit an operational transaction. Benchmarks for tool agents consequently expose state dependencies, policy constraints, and potentially severe failures [11-14]. A recurring but less isolated problem is temporal: an action can be planned from evidence that was once correct yet is no longer fit for use. An authorization may have been revoked, a governing policy may have changed, an identity binding may have expired, or a resource may have moved after the evidence was observed.</w:t>
      </w:r>
    </w:p>
    <w:p>
      <w:pPr>
        <w:keepLines w:val="0"/>
        <w:spacing w:before="0" w:after="80" w:line="240" w:lineRule="auto"/>
        <w:jc w:val="both"/>
      </w:pPr>
      <w:r>
        <w:rPr>
          <w:rFonts w:ascii="Times New Roman" w:hAnsi="Times New Roman" w:eastAsia="Times New Roman"/>
          <w:b w:val="0"/>
          <w:i w:val="0"/>
          <w:sz w:val="20"/>
        </w:rPr>
        <w:t>The obvious control—revalidate every prerequisite—can be infeasible when authoritative checks consume latency, money, rate limits, or human attention. The alternative—reuse all stored evidence—can allow invalid prerequisites to survive until an irreversible action is executed. This creates a decision problem with three linked choices: which evidence to check, whether to act after valid checks, and when to request authority or abstain. The central quantity is not generic model confidence. It is the expected operational loss induced by the remaining invalidity of action-specific prerequisites under a validation budget.</w:t>
      </w:r>
    </w:p>
    <w:p>
      <w:pPr>
        <w:keepLines w:val="0"/>
        <w:spacing w:before="0" w:after="80" w:line="240" w:lineRule="auto"/>
        <w:jc w:val="both"/>
      </w:pPr>
      <w:r>
        <w:rPr>
          <w:rFonts w:ascii="Times New Roman" w:hAnsi="Times New Roman" w:eastAsia="Times New Roman"/>
          <w:b w:val="0"/>
          <w:i w:val="0"/>
          <w:sz w:val="20"/>
        </w:rPr>
        <w:t>Risk-Adaptive Evidence Revalidation (RAER) was developed to study this problem with deterministic scenario states and explicit validation costs. RAER v1 selected a minimum-cost subset satisfying a hard residual-risk threshold. Its registered validation run reduced harmful actions and cost relative to a fixed 0.20 invalidity threshold, but safe completion was only 8/11 (72.7%) versus 11/11 for the best comparator. The protocol therefore required a stop before the held-out partition. Rather than relaxing the gate after observing the result, we retained v1 as a failure analysis and prospectively specified RAER v2.</w:t>
      </w:r>
    </w:p>
    <w:p>
      <w:pPr>
        <w:keepLines w:val="0"/>
        <w:spacing w:before="0" w:after="80" w:line="240" w:lineRule="auto"/>
        <w:jc w:val="both"/>
      </w:pPr>
      <w:r>
        <w:rPr>
          <w:rFonts w:ascii="Times New Roman" w:hAnsi="Times New Roman" w:eastAsia="Times New Roman"/>
          <w:b w:val="0"/>
          <w:i w:val="0"/>
          <w:sz w:val="20"/>
        </w:rPr>
        <w:t>RAER v2 replaces the hard feasibility rule with a joint expected-loss objective, introduces a mandatory safeguard for sufficiently risky authorization evidence, permits only a small penalized budget-boundary allowance, and enforces completion at an aggregate selection gate. This manuscript reports the complete design-stage result. It is intentionally not a positive effectiveness paper: v2 passed seven of eight criteria but completed only 25/27 valid cases (92.6%), below the prespecified 95% requirement. Consequently, the untouched 24-case test labels were not released.</w:t>
      </w:r>
    </w:p>
    <w:p>
      <w:pPr>
        <w:keepLines w:val="0"/>
        <w:spacing w:before="0" w:after="80" w:line="240" w:lineRule="auto"/>
        <w:jc w:val="both"/>
      </w:pPr>
      <w:r>
        <w:rPr>
          <w:rFonts w:ascii="Times New Roman" w:hAnsi="Times New Roman" w:eastAsia="Times New Roman"/>
          <w:b w:val="0"/>
          <w:i w:val="0"/>
          <w:sz w:val="20"/>
        </w:rPr>
        <w:t>The contribution is deliberately narrow. Budgeted evidence acquisition, abstention, stale-memory evaluation, and tool-safety enforcement already exist as separate and sometimes combined research themes. In particular, Budgeted Conformal Evidence Acquisition (BCEA) already couples additional evidence acquisition with abstention under a budget for vision-language claims [4]. We therefore do not claim that budgeted acquisition or abstention is new. The contribution evaluated here is their action-prerequisite instantiation: evidence validity changes through deterministic state transitions; evidence checks have explicit costs; action consequence and irreversibility affect modeled harm; authorization evidence receives a prespecified safeguard; and a prospective gate can preserve an informative negative result.</w:t>
      </w:r>
    </w:p>
    <w:p>
      <w:pPr>
        <w:keepLines w:val="0"/>
        <w:spacing w:before="0" w:after="80" w:line="240" w:lineRule="auto"/>
        <w:jc w:val="both"/>
      </w:pPr>
      <w:r>
        <w:rPr>
          <w:rFonts w:ascii="Times New Roman" w:hAnsi="Times New Roman" w:eastAsia="Times New Roman"/>
          <w:b w:val="0"/>
          <w:i w:val="0"/>
          <w:sz w:val="20"/>
        </w:rPr>
        <w:t>The paper makes four contributions:</w:t>
      </w:r>
    </w:p>
    <w:p>
      <w:pPr>
        <w:pStyle w:val="ListBullet"/>
      </w:pPr>
      <w:r>
        <w:rPr>
          <w:rFonts w:ascii="Times New Roman" w:hAnsi="Times New Roman" w:eastAsia="Times New Roman"/>
          <w:b w:val="0"/>
          <w:i w:val="0"/>
          <w:sz w:val="20"/>
        </w:rPr>
        <w:t>A formal, interpretable objective for selecting action-prerequisite checks while choosing between action and abstention under a bounded validation budget.</w:t>
      </w:r>
    </w:p>
    <w:p>
      <w:pPr>
        <w:pStyle w:val="ListBullet"/>
      </w:pPr>
      <w:r>
        <w:rPr>
          <w:rFonts w:ascii="Times New Roman" w:hAnsi="Times New Roman" w:eastAsia="Times New Roman"/>
          <w:b w:val="0"/>
          <w:i w:val="0"/>
          <w:sz w:val="20"/>
        </w:rPr>
        <w:t>An authorization-sensitive safeguard and an auditable treatment of correlated prerequisites and small budget-boundary slack.</w:t>
      </w:r>
    </w:p>
    <w:p>
      <w:pPr>
        <w:pStyle w:val="ListBullet"/>
      </w:pPr>
      <w:r>
        <w:rPr>
          <w:rFonts w:ascii="Times New Roman" w:hAnsi="Times New Roman" w:eastAsia="Times New Roman"/>
          <w:b w:val="0"/>
          <w:i w:val="0"/>
          <w:sz w:val="20"/>
        </w:rPr>
        <w:t>A leakage-resistant, six-domain constructed benchmark protocol that separates reviewer-visible facts from investigator-only validity labels and preserves an untouched test partition.</w:t>
      </w:r>
    </w:p>
    <w:p>
      <w:pPr>
        <w:pStyle w:val="ListBullet"/>
      </w:pPr>
      <w:r>
        <w:rPr>
          <w:rFonts w:ascii="Times New Roman" w:hAnsi="Times New Roman" w:eastAsia="Times New Roman"/>
          <w:b w:val="0"/>
          <w:i w:val="0"/>
          <w:sz w:val="20"/>
        </w:rPr>
        <w:t>A prospectively registered negative design result identifying cross-domain completion instability despite favorable descriptive harm and cost results.</w:t>
      </w:r>
    </w:p>
    <w:p>
      <w:pPr>
        <w:pStyle w:val="Heading1"/>
      </w:pPr>
      <w:r>
        <w:rPr>
          <w:rFonts w:ascii="Times New Roman" w:hAnsi="Times New Roman" w:eastAsia="Times New Roman"/>
          <w:b/>
          <w:i w:val="0"/>
          <w:sz w:val="24"/>
        </w:rPr>
        <w:t>2 Related Work and Novelty Boundary</w:t>
      </w:r>
    </w:p>
    <w:p>
      <w:pPr>
        <w:pStyle w:val="Heading2"/>
      </w:pPr>
      <w:r>
        <w:rPr>
          <w:rFonts w:ascii="Times New Roman" w:hAnsi="Times New Roman" w:eastAsia="Times New Roman"/>
          <w:b/>
          <w:i w:val="0"/>
          <w:sz w:val="20"/>
        </w:rPr>
        <w:t>2.1 Selective Prediction and Costed Acquisition</w:t>
      </w:r>
    </w:p>
    <w:p>
      <w:pPr>
        <w:keepLines w:val="0"/>
        <w:spacing w:before="0" w:after="80" w:line="240" w:lineRule="auto"/>
        <w:jc w:val="both"/>
      </w:pPr>
      <w:r>
        <w:rPr>
          <w:rFonts w:ascii="Times New Roman" w:hAnsi="Times New Roman" w:eastAsia="Times New Roman"/>
          <w:b w:val="0"/>
          <w:i w:val="0"/>
          <w:sz w:val="20"/>
        </w:rPr>
        <w:t>Reject-option and selective-classification research formalizes when a predictor should abstain, commonly through a rejection cost or a risk-coverage constraint [1]. Active feature acquisition instead decides which observations to purchase before predicting. Joint approaches learn acquisition and prediction together to balance accuracy against feature cost [2], while active-acquisition POMDPs extend this trade-off to sequential decisions under partial observability [3]. These lines establish that abstention and costed information acquisition are not individually novel.</w:t>
      </w:r>
    </w:p>
    <w:p>
      <w:pPr>
        <w:keepLines w:val="0"/>
        <w:spacing w:before="0" w:after="80" w:line="240" w:lineRule="auto"/>
        <w:jc w:val="both"/>
      </w:pPr>
      <w:r>
        <w:rPr>
          <w:rFonts w:ascii="Times New Roman" w:hAnsi="Times New Roman" w:eastAsia="Times New Roman"/>
          <w:b w:val="0"/>
          <w:i w:val="0"/>
          <w:sz w:val="20"/>
        </w:rPr>
        <w:t>BCEA is the closest located work at the component-combination level [4]. It gives a vision-language system three choices—answer, acquire further visual evidence, or abstain—and incorporates acquisition into a conformal calibration procedure. RAER differs in target and semantics rather than in the generic acquire-or-abstain pattern. BCEA re-examines visual claims to control hallucination risk; RAER revalidates named authorization, policy, scope, and state prerequisites before an external action. The current RAER benchmark uses deterministic state transitions and costed authoritative checks, not conformal coverage guarantees. This distinction is substantive, but it does not justify claiming the general combination of evidence acquisition and abstention as new.</w:t>
      </w:r>
    </w:p>
    <w:p>
      <w:pPr>
        <w:pStyle w:val="Heading2"/>
      </w:pPr>
      <w:r>
        <w:rPr>
          <w:rFonts w:ascii="Times New Roman" w:hAnsi="Times New Roman" w:eastAsia="Times New Roman"/>
          <w:b/>
          <w:i w:val="0"/>
          <w:sz w:val="20"/>
        </w:rPr>
        <w:t>2.2 Stale Memory and Agentic Abstention</w:t>
      </w:r>
    </w:p>
    <w:p>
      <w:pPr>
        <w:keepLines w:val="0"/>
        <w:spacing w:before="0" w:after="80" w:line="240" w:lineRule="auto"/>
        <w:jc w:val="both"/>
      </w:pPr>
      <w:r>
        <w:rPr>
          <w:rFonts w:ascii="Times New Roman" w:hAnsi="Times New Roman" w:eastAsia="Times New Roman"/>
          <w:b w:val="0"/>
          <w:i w:val="0"/>
          <w:sz w:val="20"/>
        </w:rPr>
        <w:t>Recent memory benchmarks directly examine whether agents recognize that stored information is no longer valid. STALE constructs implicit conflicts in which later observations invalidate earlier memories and tests state resolution, premise resistance, and policy adaptation [5]. MemConflict treats memory fitness for use as query-conditioned across temporal, factual, and contextual conflicts [6]. These works motivate explicit validity modeling but evaluate memory retrieval and answer behavior rather than the selection of authoritative checks before consequential state change.</w:t>
      </w:r>
    </w:p>
    <w:p>
      <w:pPr>
        <w:keepLines w:val="0"/>
        <w:spacing w:before="0" w:after="80" w:line="240" w:lineRule="auto"/>
        <w:jc w:val="both"/>
      </w:pPr>
      <w:r>
        <w:rPr>
          <w:rFonts w:ascii="Times New Roman" w:hAnsi="Times New Roman" w:eastAsia="Times New Roman"/>
          <w:b w:val="0"/>
          <w:i w:val="0"/>
          <w:sz w:val="20"/>
        </w:rPr>
        <w:t>AgentAbstain evaluates paired should-act and should-abstain tasks in executable sandboxes [7], while agentic abstention treats stopping as a sequential decision when further interaction is unlikely to help [8]. These benchmarks prevent RAER from claiming novelty for ACT/ABSTAIN pairing or timely stopping. RAER's narrower distinction is that REFRESH and ASK are operational consequences of selected prerequisite checks, with cost and authorization semantics attached to each check.</w:t>
      </w:r>
    </w:p>
    <w:p>
      <w:pPr>
        <w:pStyle w:val="Heading2"/>
      </w:pPr>
      <w:r>
        <w:rPr>
          <w:rFonts w:ascii="Times New Roman" w:hAnsi="Times New Roman" w:eastAsia="Times New Roman"/>
          <w:b/>
          <w:i w:val="0"/>
          <w:sz w:val="20"/>
        </w:rPr>
        <w:t>2.3 Runtime Verification and Tool-Agent Safety</w:t>
      </w:r>
    </w:p>
    <w:p>
      <w:pPr>
        <w:keepLines w:val="0"/>
        <w:spacing w:before="0" w:after="80" w:line="240" w:lineRule="auto"/>
        <w:jc w:val="both"/>
      </w:pPr>
      <w:r>
        <w:rPr>
          <w:rFonts w:ascii="Times New Roman" w:hAnsi="Times New Roman" w:eastAsia="Times New Roman"/>
          <w:b w:val="0"/>
          <w:i w:val="0"/>
          <w:sz w:val="20"/>
        </w:rPr>
        <w:t>Contract and policy systems gate tool calls against formal requirements. ToolGate maintains a symbolic state and uses preconditions and postconditions to control invocation and state commitment [9]. Solver-aided policy verification translates operational policies into constraints checked before tool execution [10]. These methods establish the importance of explicit prerequisites. RAER assumes, instead, that an observable prerequisite can itself be stale and that not all observations can be refreshed within budget; its selector decides which facts to reacquire before the contract is trusted.</w:t>
      </w:r>
    </w:p>
    <w:p>
      <w:pPr>
        <w:keepLines w:val="0"/>
        <w:spacing w:before="0" w:after="80" w:line="240" w:lineRule="auto"/>
        <w:jc w:val="both"/>
      </w:pPr>
      <w:r>
        <w:rPr>
          <w:rFonts w:ascii="Times New Roman" w:hAnsi="Times New Roman" w:eastAsia="Times New Roman"/>
          <w:b w:val="0"/>
          <w:i w:val="0"/>
          <w:sz w:val="20"/>
        </w:rPr>
        <w:t>ToolEmu supports scalable risk discovery through an LM-emulated sandbox [11]. The tau-bench and ToolSandbox benchmarks introduce dynamic conversation, domain policy, stateful tools, and implicit dependencies [12, 13]. Agent-SafetyBench broadens coverage across environments and safety failures [14]. ToolSafe and SafeAgent add proactive intervention and stateful runtime protection, particularly for adversarial threats [15, 16]. RAER does not compete as a generic prompt-injection detector or tool guardrail. Its primary threat model is non-adversarial evidence invalidity between observation and action.</w:t>
      </w:r>
    </w:p>
    <w:p>
      <w:pPr>
        <w:pStyle w:val="Caption"/>
      </w:pPr>
      <w:r>
        <w:rPr>
          <w:rFonts w:ascii="Times New Roman" w:hAnsi="Times New Roman" w:eastAsia="Times New Roman"/>
          <w:b w:val="0"/>
          <w:i w:val="0"/>
          <w:sz w:val="18"/>
        </w:rPr>
        <w:t>Table 1. Closest research families and the remaining RAER-specific boundary</w:t>
      </w:r>
    </w:p>
    <w:tbl>
      <w:tblPr>
        <w:tblStyle w:val="TableGrid"/>
        <w:tblW w:type="dxa" w:w="6917"/>
        <w:jc w:val="left"/>
        <w:tblLayout w:type="fixed"/>
        <w:tblLook w:firstColumn="1" w:firstRow="1" w:lastColumn="0" w:lastRow="0" w:noHBand="0" w:noVBand="1" w:val="04A0"/>
        <w:tblInd w:type="dxa" w:w="80"/>
      </w:tblPr>
      <w:tblGrid>
        <w:gridCol w:w="1550"/>
        <w:gridCol w:w="2500"/>
        <w:gridCol w:w="2867"/>
      </w:tblGrid>
      <w:tr>
        <w:trPr>
          <w:tblHeader w:val="true"/>
          <w:cantSplit/>
        </w:trPr>
        <w:tc>
          <w:tcPr>
            <w:tcW w:type="dxa" w:w="155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Research family</w:t>
            </w:r>
          </w:p>
        </w:tc>
        <w:tc>
          <w:tcPr>
            <w:tcW w:type="dxa" w:w="25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Established capability</w:t>
            </w:r>
          </w:p>
        </w:tc>
        <w:tc>
          <w:tcPr>
            <w:tcW w:type="dxa" w:w="2867"/>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RAER-specific boundary</w:t>
            </w:r>
          </w:p>
        </w:tc>
      </w:tr>
      <w:tr>
        <w:trPr>
          <w:cantSplit/>
        </w:trPr>
        <w:tc>
          <w:tcPr>
            <w:tcW w:type="dxa" w:w="155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Selective prediction</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Risk–coverage or reject-cost trade-off</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Checks named action prerequisites before deciding</w:t>
            </w:r>
          </w:p>
        </w:tc>
      </w:tr>
      <w:tr>
        <w:trPr>
          <w:cantSplit/>
        </w:trPr>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Active acquisition</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Costed selection of additional features</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Revalidates previously observed evidence after state drift</w:t>
            </w:r>
          </w:p>
        </w:tc>
      </w:tr>
      <w:tr>
        <w:trPr>
          <w:cantSplit/>
        </w:trPr>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BCEA</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Budgeted acquire/answer/abstain</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Authorization, tool-action harm, deterministic mutable state</w:t>
            </w:r>
          </w:p>
        </w:tc>
      </w:tr>
      <w:tr>
        <w:trPr>
          <w:cantSplit/>
        </w:trPr>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Stale memory</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Detects obsolete or conflicting memories</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Authoritative refresh chosen under an action budget</w:t>
            </w:r>
          </w:p>
        </w:tc>
      </w:tr>
      <w:tr>
        <w:trPr>
          <w:cantSplit/>
        </w:trPr>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Agent abstention</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Should-act/should-abstain or timely stopping</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REFRESH/ASK arise from prerequisite verification</w:t>
            </w:r>
          </w:p>
        </w:tc>
      </w:tr>
      <w:tr>
        <w:trPr>
          <w:cantSplit/>
        </w:trPr>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Contracts/policy</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Precondition and policy enforcement</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Treats prerequisite observations as uncertain and costly</w:t>
            </w:r>
          </w:p>
        </w:tc>
      </w:tr>
      <w:tr>
        <w:trPr>
          <w:cantSplit/>
        </w:trPr>
        <w:tc>
          <w:tcPr>
            <w:tcW w:type="dxa" w:w="155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Tool-safety benchmarks</w:t>
            </w:r>
          </w:p>
        </w:tc>
        <w:tc>
          <w:tcPr>
            <w:tcW w:type="dxa" w:w="25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Risk and stateful-tool evaluation</w:t>
            </w:r>
          </w:p>
        </w:tc>
        <w:tc>
          <w:tcPr>
            <w:tcW w:type="dxa" w:w="28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Isolates non-adversarial evidence invalidity and check cost</w:t>
            </w:r>
          </w:p>
        </w:tc>
      </w:tr>
    </w:tbl>
    <w:p>
      <w:pPr>
        <w:keepLines w:val="0"/>
        <w:spacing w:before="0" w:after="20" w:line="240" w:lineRule="auto"/>
        <w:jc w:val="both"/>
      </w:pPr>
    </w:p>
    <w:p>
      <w:pPr>
        <w:keepLines w:val="0"/>
        <w:spacing w:before="0" w:after="80" w:line="240" w:lineRule="auto"/>
        <w:jc w:val="both"/>
      </w:pPr>
      <w:r>
        <w:rPr>
          <w:rFonts w:ascii="Times New Roman" w:hAnsi="Times New Roman" w:eastAsia="Times New Roman"/>
          <w:b w:val="0"/>
          <w:i w:val="0"/>
          <w:sz w:val="20"/>
        </w:rPr>
        <w:t>Novelty claim. Within the screened literature, we did not locate an identical formulation joining mutable action prerequisites, consequence-weighted residual harm, explicit validation budgets, mandatory authorization checks, and a prospectively enforced safe-completion gate. This is a bounded literature-audit conclusion, not a claim of global or patent-level novelty.</w:t>
      </w:r>
    </w:p>
    <w:p>
      <w:pPr>
        <w:pStyle w:val="Heading1"/>
      </w:pPr>
      <w:r>
        <w:rPr>
          <w:rFonts w:ascii="Times New Roman" w:hAnsi="Times New Roman" w:eastAsia="Times New Roman"/>
          <w:b/>
          <w:i w:val="0"/>
          <w:sz w:val="24"/>
        </w:rPr>
        <w:t>3 Problem Formulation</w:t>
      </w:r>
    </w:p>
    <w:p>
      <w:pPr>
        <w:keepLines w:val="0"/>
        <w:spacing w:before="0" w:after="80" w:line="240" w:lineRule="auto"/>
        <w:jc w:val="both"/>
      </w:pPr>
      <w:r>
        <w:rPr>
          <w:rFonts w:ascii="Times New Roman" w:hAnsi="Times New Roman" w:eastAsia="Times New Roman"/>
          <w:b w:val="0"/>
          <w:i w:val="0"/>
          <w:sz w:val="20"/>
        </w:rPr>
        <w:t>A scenario contains a proposed action, a validation budget B, an action consequence score C, an irreversibility score I, and m evidence prerequisites. The present benchmark uses m=3. For evidence i, q_i is a pre-action invalidity estimate, w_i=W_i/5 is normalized criticality, and c_i=K_i/5 is normalized validation cost. C, I, W_i, and K_i are rubric scores from 1 to 5. Actual validity is an investigator-only outcome and cannot be used to select checks.</w:t>
      </w:r>
    </w:p>
    <w:p>
      <w:pPr>
        <w:keepLines w:val="0"/>
        <w:spacing w:before="0" w:after="80" w:line="240" w:lineRule="auto"/>
        <w:jc w:val="both"/>
      </w:pPr>
      <w:r>
        <w:rPr>
          <w:rFonts w:ascii="Times New Roman" w:hAnsi="Times New Roman" w:eastAsia="Times New Roman"/>
          <w:b w:val="0"/>
          <w:i w:val="0"/>
          <w:sz w:val="20"/>
        </w:rPr>
        <w:t>The frozen E0 estimator converts only reviewer-visible facts into q_i. Its inputs are normalized evidence age, source volatility, dependent changes, update frequency, inverse source reliability, authorization age, and contradictory observations. With feature vector x_i and fixed coefficient vector β=(1.25, 0.85, 0.75, 0.45, 0.95, 1.15, 1.40), E0 is:</w:t>
      </w:r>
    </w:p>
    <w:p>
      <w:pPr>
        <w:keepLines/>
        <w:tabs>
          <w:tab w:pos="3458" w:val="center"/>
          <w:tab w:pos="6860" w:val="right"/>
        </w:tabs>
        <w:spacing w:before="80" w:after="80"/>
      </w:pPr>
      <w:r>
        <w:rPr>
          <w:rFonts w:ascii="Times New Roman" w:hAnsi="Times New Roman" w:eastAsia="Times New Roman"/>
          <w:b w:val="0"/>
          <w:i w:val="0"/>
          <w:sz w:val="20"/>
        </w:rPr>
        <w:tab/>
        <w:t>q_i = sigmoid(−3.40 + βᵀx_i).</w:t>
        <w:tab/>
        <w:t>(1)</w:t>
      </w:r>
    </w:p>
    <w:p>
      <w:pPr>
        <w:keepLines w:val="0"/>
        <w:spacing w:before="0" w:after="80" w:line="240" w:lineRule="auto"/>
        <w:jc w:val="both"/>
      </w:pPr>
      <w:r>
        <w:rPr>
          <w:rFonts w:ascii="Times New Roman" w:hAnsi="Times New Roman" w:eastAsia="Times New Roman"/>
          <w:b w:val="0"/>
          <w:i w:val="0"/>
          <w:sz w:val="20"/>
        </w:rPr>
        <w:t>E0 was selected during calibration using mean leave-one-domain-out Brier score and the one-standard-error rule. It was not refitted for v2. Action harm combines consequence with irreversibility:</w:t>
      </w:r>
    </w:p>
    <w:p>
      <w:pPr>
        <w:keepLines/>
        <w:tabs>
          <w:tab w:pos="3458" w:val="center"/>
          <w:tab w:pos="6860" w:val="right"/>
        </w:tabs>
        <w:spacing w:before="80" w:after="80"/>
      </w:pPr>
      <w:r>
        <w:rPr>
          <w:rFonts w:ascii="Times New Roman" w:hAnsi="Times New Roman" w:eastAsia="Times New Roman"/>
          <w:b w:val="0"/>
          <w:i w:val="0"/>
          <w:sz w:val="20"/>
        </w:rPr>
        <w:tab/>
        <w:t>h = (C/5)[0.5 + 0.5(I−1)/4].</w:t>
        <w:tab/>
        <w:t>(2)</w:t>
      </w:r>
    </w:p>
    <w:p>
      <w:pPr>
        <w:keepLines w:val="0"/>
        <w:spacing w:before="0" w:after="80" w:line="240" w:lineRule="auto"/>
        <w:jc w:val="both"/>
      </w:pPr>
      <w:r>
        <w:rPr>
          <w:rFonts w:ascii="Times New Roman" w:hAnsi="Times New Roman" w:eastAsia="Times New Roman"/>
          <w:b w:val="0"/>
          <w:i w:val="0"/>
          <w:sz w:val="20"/>
        </w:rPr>
        <w:t>For a candidate validation subset S, q'_i=0.01 when i is checked and returns valid; otherwise q'_i=q_i. The 0.01 floor represents residual verifier error. Modeled residual harm is:</w:t>
      </w:r>
    </w:p>
    <w:p>
      <w:pPr>
        <w:keepLines/>
        <w:tabs>
          <w:tab w:pos="3458" w:val="center"/>
          <w:tab w:pos="6860" w:val="right"/>
        </w:tabs>
        <w:spacing w:before="80" w:after="80"/>
      </w:pPr>
      <w:r>
        <w:rPr>
          <w:rFonts w:ascii="Times New Roman" w:hAnsi="Times New Roman" w:eastAsia="Times New Roman"/>
          <w:b w:val="0"/>
          <w:i w:val="0"/>
          <w:sz w:val="20"/>
        </w:rPr>
        <w:tab/>
        <w:t>R(S) = min{h, h[1−∏_i(1−q'_i w_i)] + U(S)}.</w:t>
        <w:tab/>
        <w:t>(3)</w:t>
      </w:r>
    </w:p>
    <w:p>
      <w:pPr>
        <w:keepLines w:val="0"/>
        <w:spacing w:before="0" w:after="80" w:line="240" w:lineRule="auto"/>
        <w:jc w:val="both"/>
      </w:pPr>
      <w:r>
        <w:rPr>
          <w:rFonts w:ascii="Times New Roman" w:hAnsi="Times New Roman" w:eastAsia="Times New Roman"/>
          <w:b w:val="0"/>
          <w:i w:val="0"/>
          <w:sz w:val="20"/>
        </w:rPr>
        <w:t>U(S) is a frozen correlation uplift. If at least two unchecked prerequisites belong to the predeclared correlated group, U(S)=0.20h times the maximum unchecked-pair value sqrt(q_i q_j)min(w_i,w_j); otherwise U(S)=0. This dependence term is applied once. The safe-probability proxy is:</w:t>
      </w:r>
    </w:p>
    <w:p>
      <w:pPr>
        <w:keepLines/>
        <w:tabs>
          <w:tab w:pos="3458" w:val="center"/>
          <w:tab w:pos="6860" w:val="right"/>
        </w:tabs>
        <w:spacing w:before="80" w:after="80"/>
      </w:pPr>
      <w:r>
        <w:rPr>
          <w:rFonts w:ascii="Times New Roman" w:hAnsi="Times New Roman" w:eastAsia="Times New Roman"/>
          <w:b w:val="0"/>
          <w:i w:val="0"/>
          <w:sz w:val="20"/>
        </w:rPr>
        <w:tab/>
        <w:t>P_safe(S) = ∏_i(1−q'_i).</w:t>
        <w:tab/>
        <w:t>(4)</w:t>
      </w:r>
    </w:p>
    <w:p>
      <w:pPr>
        <w:keepLines w:val="0"/>
        <w:spacing w:before="0" w:after="80" w:line="240" w:lineRule="auto"/>
        <w:jc w:val="both"/>
      </w:pPr>
      <w:r>
        <w:rPr>
          <w:rFonts w:ascii="Times New Roman" w:hAnsi="Times New Roman" w:eastAsia="Times New Roman"/>
          <w:b w:val="0"/>
          <w:i w:val="0"/>
          <w:sz w:val="20"/>
        </w:rPr>
        <w:t>R(S) and P_safe(S) are planning proxies, not observed outcomes or guarantees. With λ_H=1 and slack penalty λ_S=1, the v2 objective is:</w:t>
      </w:r>
    </w:p>
    <w:p>
      <w:pPr>
        <w:keepLines/>
        <w:tabs>
          <w:tab w:pos="3458" w:val="center"/>
          <w:tab w:pos="6860" w:val="right"/>
        </w:tabs>
        <w:spacing w:before="80" w:after="80"/>
      </w:pPr>
      <w:r>
        <w:rPr>
          <w:rFonts w:ascii="Times New Roman" w:hAnsi="Times New Roman" w:eastAsia="Times New Roman"/>
          <w:b w:val="0"/>
          <w:i w:val="0"/>
          <w:sz w:val="20"/>
        </w:rPr>
        <w:tab/>
        <w:t>J(S)=λ_C∑_{i∈S}c_i + λ_S max(0,∑_{i∈S}c_i−B) + min{λ_HR(S), λ_AP_safe(S)}.</w:t>
        <w:tab/>
        <w:t>(5)</w:t>
      </w:r>
    </w:p>
    <w:p>
      <w:pPr>
        <w:keepLines w:val="0"/>
        <w:spacing w:before="0" w:after="80" w:line="240" w:lineRule="auto"/>
        <w:jc w:val="both"/>
      </w:pPr>
      <w:r>
        <w:rPr>
          <w:rFonts w:ascii="Times New Roman" w:hAnsi="Times New Roman" w:eastAsia="Times New Roman"/>
          <w:b w:val="0"/>
          <w:i w:val="0"/>
          <w:sz w:val="20"/>
        </w:rPr>
        <w:t>Candidate subsets satisfy ∑c_i≤B+δ. Exact enumeration chooses the minimum J(S), breaking ties by lower validation cost, lower residual harm, fewer checks, and lexicographic evidence identifiers. After every selected check returns valid, the policy acts when λ_HR(S)≤λ_AP_safe(S); otherwise it abstains. A detected invalid authorization returns ASK, whereas another detected invalid prerequisite returns REFRESH. Either detected invalidity overrides the planned action decision.</w:t>
      </w:r>
    </w:p>
    <w:p>
      <w:pPr>
        <w:pStyle w:val="Heading2"/>
      </w:pPr>
      <w:r>
        <w:rPr>
          <w:rFonts w:ascii="Times New Roman" w:hAnsi="Times New Roman" w:eastAsia="Times New Roman"/>
          <w:b/>
          <w:i w:val="0"/>
          <w:sz w:val="20"/>
        </w:rPr>
        <w:t>3.1 Authorization Safeguard</w:t>
      </w:r>
    </w:p>
    <w:p>
      <w:pPr>
        <w:keepLines w:val="0"/>
        <w:spacing w:before="0" w:after="80" w:line="240" w:lineRule="auto"/>
        <w:jc w:val="both"/>
      </w:pPr>
      <w:r>
        <w:rPr>
          <w:rFonts w:ascii="Times New Roman" w:hAnsi="Times New Roman" w:eastAsia="Times New Roman"/>
          <w:b w:val="0"/>
          <w:i w:val="0"/>
          <w:sz w:val="20"/>
        </w:rPr>
        <w:t>When authorization sensitivity is at least 4 and an authorization prerequisite satisfies q_iw_i≥θ_auth, that prerequisite is mandatory. If all mandatory authorization checks do not fit within B+δ, the policy abstains. It may not omit authorization silently. This rule reflects a qualitative distinction: many stale-state failures can be repaired by refresh, while missing authority can make the action impermissible regardless of other evidence.</w:t>
      </w:r>
    </w:p>
    <w:p>
      <w:pPr>
        <w:pStyle w:val="Heading2"/>
      </w:pPr>
      <w:r>
        <w:rPr>
          <w:rFonts w:ascii="Times New Roman" w:hAnsi="Times New Roman" w:eastAsia="Times New Roman"/>
          <w:b/>
          <w:i w:val="0"/>
          <w:sz w:val="20"/>
        </w:rPr>
        <w:t>3.2 Controlled Boundary Slack</w:t>
      </w:r>
    </w:p>
    <w:p>
      <w:pPr>
        <w:keepLines w:val="0"/>
        <w:spacing w:before="0" w:after="80" w:line="240" w:lineRule="auto"/>
        <w:jc w:val="both"/>
      </w:pPr>
      <w:r>
        <w:rPr>
          <w:rFonts w:ascii="Times New Roman" w:hAnsi="Times New Roman" w:eastAsia="Times New Roman"/>
          <w:b w:val="0"/>
          <w:i w:val="0"/>
          <w:sz w:val="20"/>
        </w:rPr>
        <w:t>The candidate δ values are 0 and 0.05. Because each full rubric cost unit equals 0.20 after normalization, the 0.05 allowance cannot purchase a complete additional unit. Slack is penalized one-for-one in J(S), and the protocol caps its case rate, mean, and maximum. It is therefore a controlled boundary device rather than an unrestricted budget relaxation.</w:t>
      </w:r>
    </w:p>
    <w:p>
      <w:pPr>
        <w:pStyle w:val="Heading1"/>
      </w:pPr>
      <w:r>
        <w:rPr>
          <w:rFonts w:ascii="Times New Roman" w:hAnsi="Times New Roman" w:eastAsia="Times New Roman"/>
          <w:b/>
          <w:i w:val="0"/>
          <w:sz w:val="24"/>
        </w:rPr>
        <w:t>4 Benchmark and Integrity Controls</w:t>
      </w:r>
    </w:p>
    <w:p>
      <w:pPr>
        <w:pStyle w:val="Heading2"/>
      </w:pPr>
      <w:r>
        <w:rPr>
          <w:rFonts w:ascii="Times New Roman" w:hAnsi="Times New Roman" w:eastAsia="Times New Roman"/>
          <w:b/>
          <w:i w:val="0"/>
          <w:sz w:val="20"/>
        </w:rPr>
        <w:t>4.1 Scenario Structure</w:t>
      </w:r>
    </w:p>
    <w:p>
      <w:pPr>
        <w:keepLines w:val="0"/>
        <w:spacing w:before="0" w:after="80" w:line="240" w:lineRule="auto"/>
        <w:jc w:val="both"/>
      </w:pPr>
      <w:r>
        <w:rPr>
          <w:rFonts w:ascii="Times New Roman" w:hAnsi="Times New Roman" w:eastAsia="Times New Roman"/>
          <w:b w:val="0"/>
          <w:i w:val="0"/>
          <w:sz w:val="20"/>
        </w:rPr>
        <w:t>The frozen RAER-B96 benchmark contains 96 constructed cases across commerce, cybersecurity, finance, healthcare administration, human resources, and privacy, with 16 cases per domain. Each case contains three evidence prerequisites and one proposed consequential action. Cases span all-valid states, single invalidities, correlated failures, independent dual failures, authorization revocation, policy change, contradiction, and budget insufficiency. The original split contains 48 development, 24 validation, and 24 held-out cases.</w:t>
      </w:r>
    </w:p>
    <w:p>
      <w:pPr>
        <w:keepLines w:val="0"/>
        <w:spacing w:before="0" w:after="80" w:line="240" w:lineRule="auto"/>
        <w:jc w:val="both"/>
      </w:pPr>
      <w:r>
        <w:rPr>
          <w:rFonts w:ascii="Times New Roman" w:hAnsi="Times New Roman" w:eastAsia="Times New Roman"/>
          <w:b w:val="0"/>
          <w:i w:val="0"/>
          <w:sz w:val="20"/>
        </w:rPr>
        <w:t>Each reviewer-visible record contains the operational context, proposed action, evidence descriptions, evidence kind, age, validity window, volatility, update frequency, source reliability, dependent changes, contradiction strength, validation check, and scenario budget. Investigator-only files contain actual validity, correlation membership, and state-transition labels. This physical separation prevents a reviewer or selector from inferring q_i from the observed outcome by construction.</w:t>
      </w:r>
    </w:p>
    <w:p>
      <w:pPr>
        <w:pStyle w:val="Heading2"/>
      </w:pPr>
      <w:r>
        <w:rPr>
          <w:rFonts w:ascii="Times New Roman" w:hAnsi="Times New Roman" w:eastAsia="Times New Roman"/>
          <w:b/>
          <w:i w:val="0"/>
          <w:sz w:val="20"/>
        </w:rPr>
        <w:t>4.2 Scoring and Review</w:t>
      </w:r>
    </w:p>
    <w:p>
      <w:pPr>
        <w:keepLines w:val="0"/>
        <w:spacing w:before="0" w:after="80" w:line="240" w:lineRule="auto"/>
        <w:jc w:val="both"/>
      </w:pPr>
      <w:r>
        <w:rPr>
          <w:rFonts w:ascii="Times New Roman" w:hAnsi="Times New Roman" w:eastAsia="Times New Roman"/>
          <w:b w:val="0"/>
          <w:i w:val="0"/>
          <w:sz w:val="20"/>
        </w:rPr>
        <w:t>Consequence, irreversibility, authorization sensitivity, evidence criticality, and validation cost were scored using frozen 1–5 rubrics with boundary examples. Two isolated model-based pre-reviewers independently scored the reviewer-visible package with different safety-governance and operations-reliability orientations. Disagreements were preserved and adjudicated in a versioned register. This process was used to stress-test clarity and rubric consistency; it is not human inter-rater reliability and is not presented as a substitute for independent domain experts.</w:t>
      </w:r>
    </w:p>
    <w:p>
      <w:pPr>
        <w:pStyle w:val="Caption"/>
      </w:pPr>
      <w:r>
        <w:rPr>
          <w:rFonts w:ascii="Times New Roman" w:hAnsi="Times New Roman" w:eastAsia="Times New Roman"/>
          <w:b w:val="0"/>
          <w:i w:val="0"/>
          <w:sz w:val="18"/>
        </w:rPr>
        <w:t>Table 2. Benchmark scoring dimensions</w:t>
      </w:r>
    </w:p>
    <w:tbl>
      <w:tblPr>
        <w:tblStyle w:val="TableGrid"/>
        <w:tblW w:type="dxa" w:w="6917"/>
        <w:jc w:val="left"/>
        <w:tblLayout w:type="fixed"/>
        <w:tblLook w:firstColumn="1" w:firstRow="1" w:lastColumn="0" w:lastRow="0" w:noHBand="0" w:noVBand="1" w:val="04A0"/>
        <w:tblInd w:type="dxa" w:w="80"/>
      </w:tblPr>
      <w:tblGrid>
        <w:gridCol w:w="1800"/>
        <w:gridCol w:w="900"/>
        <w:gridCol w:w="4217"/>
      </w:tblGrid>
      <w:tr>
        <w:trPr>
          <w:tblHeader w:val="true"/>
          <w:cantSplit/>
        </w:trPr>
        <w:tc>
          <w:tcPr>
            <w:tcW w:type="dxa" w:w="18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Dimension</w:t>
            </w:r>
          </w:p>
        </w:tc>
        <w:tc>
          <w:tcPr>
            <w:tcW w:type="dxa" w:w="9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Unit</w:t>
            </w:r>
          </w:p>
        </w:tc>
        <w:tc>
          <w:tcPr>
            <w:tcW w:type="dxa" w:w="4217"/>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Operational meaning</w:t>
            </w:r>
          </w:p>
        </w:tc>
      </w:tr>
      <w:tr>
        <w:trPr>
          <w:cantSplit/>
        </w:trPr>
        <w:tc>
          <w:tcPr>
            <w:tcW w:type="dxa" w:w="18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Consequence C</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1–5</w:t>
            </w:r>
          </w:p>
        </w:tc>
        <w:tc>
          <w:tcPr>
            <w:tcW w:type="dxa" w:w="4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Severity if the proposed action is harmful</w:t>
            </w:r>
          </w:p>
        </w:tc>
      </w:tr>
      <w:tr>
        <w:trPr>
          <w:cantSplit/>
        </w:trPr>
        <w:tc>
          <w:tcPr>
            <w:tcW w:type="dxa" w:w="18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Irreversibility I</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1–5</w:t>
            </w:r>
          </w:p>
        </w:tc>
        <w:tc>
          <w:tcPr>
            <w:tcW w:type="dxa" w:w="4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Difficulty of undoing or containing the action</w:t>
            </w:r>
          </w:p>
        </w:tc>
      </w:tr>
      <w:tr>
        <w:trPr>
          <w:cantSplit/>
        </w:trPr>
        <w:tc>
          <w:tcPr>
            <w:tcW w:type="dxa" w:w="18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Authorization sensitivity</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1–5</w:t>
            </w:r>
          </w:p>
        </w:tc>
        <w:tc>
          <w:tcPr>
            <w:tcW w:type="dxa" w:w="4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Dependence on current, explicit authority</w:t>
            </w:r>
          </w:p>
        </w:tc>
      </w:tr>
      <w:tr>
        <w:trPr>
          <w:cantSplit/>
        </w:trPr>
        <w:tc>
          <w:tcPr>
            <w:tcW w:type="dxa" w:w="18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Criticality W_i</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1–5</w:t>
            </w:r>
          </w:p>
        </w:tc>
        <w:tc>
          <w:tcPr>
            <w:tcW w:type="dxa" w:w="4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How strongly invalid evidence undermines safe action</w:t>
            </w:r>
          </w:p>
        </w:tc>
      </w:tr>
      <w:tr>
        <w:trPr>
          <w:cantSplit/>
        </w:trPr>
        <w:tc>
          <w:tcPr>
            <w:tcW w:type="dxa" w:w="18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Validation cost K_i</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1–5</w:t>
            </w:r>
          </w:p>
        </w:tc>
        <w:tc>
          <w:tcPr>
            <w:tcW w:type="dxa" w:w="4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Relative authoritative-check burden</w:t>
            </w:r>
          </w:p>
        </w:tc>
      </w:tr>
    </w:tbl>
    <w:p>
      <w:pPr>
        <w:keepLines w:val="0"/>
        <w:spacing w:before="0" w:after="20" w:line="240" w:lineRule="auto"/>
        <w:jc w:val="both"/>
      </w:pPr>
    </w:p>
    <w:p>
      <w:pPr>
        <w:pStyle w:val="Heading2"/>
      </w:pPr>
      <w:r>
        <w:rPr>
          <w:rFonts w:ascii="Times New Roman" w:hAnsi="Times New Roman" w:eastAsia="Times New Roman"/>
          <w:b/>
          <w:i w:val="0"/>
          <w:sz w:val="20"/>
        </w:rPr>
        <w:t>4.3 Leakage, Provenance, and Version Controls</w:t>
      </w:r>
    </w:p>
    <w:p>
      <w:pPr>
        <w:keepLines w:val="0"/>
        <w:spacing w:before="0" w:after="80" w:line="240" w:lineRule="auto"/>
        <w:jc w:val="both"/>
      </w:pPr>
      <w:r>
        <w:rPr>
          <w:rFonts w:ascii="Times New Roman" w:hAnsi="Times New Roman" w:eastAsia="Times New Roman"/>
          <w:b w:val="0"/>
          <w:i w:val="0"/>
          <w:sz w:val="20"/>
        </w:rPr>
        <w:t>Candidate benchmark versions underwent blinded clarity review, identifier-pattern checks, duplicate-text checks, topology-order randomization, forbidden-clue scans, schema validation, and exact identifier coverage tests. The final reviewer-visible release and adjudicated scores were locked with SHA-256 hashes. Pilot artifacts, scoring outputs, source provenance, experiment versions, and decision gates remain immutable. Later closure manifests are additive and do not rewrite the original release lock.</w:t>
      </w:r>
    </w:p>
    <w:p>
      <w:pPr>
        <w:keepLines w:val="0"/>
        <w:spacing w:before="0" w:after="80" w:line="240" w:lineRule="auto"/>
        <w:jc w:val="both"/>
      </w:pPr>
      <w:r>
        <w:rPr>
          <w:rFonts w:ascii="Times New Roman" w:hAnsi="Times New Roman" w:eastAsia="Times New Roman"/>
          <w:b w:val="0"/>
          <w:i w:val="0"/>
          <w:sz w:val="20"/>
        </w:rPr>
        <w:t>The held-out labels are represented by an absent release file. Both v1 and v2 evaluators abort if that file is present before authorization. At the time of this manuscript, the file remains absent. This negative control is important: a held-out set is not protected merely because results are omitted; it must be inaccessible to design and selection code.</w:t>
      </w:r>
    </w:p>
    <w:p>
      <w:pPr>
        <w:pStyle w:val="Heading1"/>
      </w:pPr>
      <w:r>
        <w:rPr>
          <w:rFonts w:ascii="Times New Roman" w:hAnsi="Times New Roman" w:eastAsia="Times New Roman"/>
          <w:b/>
          <w:i w:val="0"/>
          <w:sz w:val="24"/>
        </w:rPr>
        <w:t>5 Method History and Prospective Design</w:t>
      </w:r>
    </w:p>
    <w:p>
      <w:pPr>
        <w:pStyle w:val="Heading2"/>
      </w:pPr>
      <w:r>
        <w:rPr>
          <w:rFonts w:ascii="Times New Roman" w:hAnsi="Times New Roman" w:eastAsia="Times New Roman"/>
          <w:b/>
          <w:i w:val="0"/>
          <w:sz w:val="20"/>
        </w:rPr>
        <w:t>5.1 RAER v1 as the Motivating Failure</w:t>
      </w:r>
    </w:p>
    <w:p>
      <w:pPr>
        <w:keepLines w:val="0"/>
        <w:spacing w:before="0" w:after="80" w:line="240" w:lineRule="auto"/>
        <w:jc w:val="both"/>
      </w:pPr>
      <w:r>
        <w:rPr>
          <w:rFonts w:ascii="Times New Roman" w:hAnsi="Times New Roman" w:eastAsia="Times New Roman"/>
          <w:b w:val="0"/>
          <w:i w:val="0"/>
          <w:sz w:val="20"/>
        </w:rPr>
        <w:t>RAER v1 used a consequence-adjusted hard threshold. It selected the cheapest subset whose residual risk was below τ_0(1−αh), with τ_0=0.22 and α=0.30; when no affordable subset was feasible, it selected the minimum-risk affordable subset and abstained. On the 24-case registered validation partition, v1 caused 3/13 harmful actions (23.1%) versus 4/13 (30.8%) for FIXED_0.20 and reduced mean cost from 0.850 to 0.333. However, it completed only 8/11 valid cases (72.7%) versus 11/11 for the comparator. The preregistered decision was STOP_BEFORE_HELD_OUT. These values motivated v2 but are not relabeled as v2 evidence.</w:t>
      </w:r>
    </w:p>
    <w:p>
      <w:pPr>
        <w:pStyle w:val="Heading2"/>
      </w:pPr>
      <w:r>
        <w:rPr>
          <w:rFonts w:ascii="Times New Roman" w:hAnsi="Times New Roman" w:eastAsia="Times New Roman"/>
          <w:b/>
          <w:i w:val="0"/>
          <w:sz w:val="20"/>
        </w:rPr>
        <w:t>5.2 Prospective RAER v2 Grid</w:t>
      </w:r>
    </w:p>
    <w:p>
      <w:pPr>
        <w:keepLines w:val="0"/>
        <w:spacing w:before="0" w:after="80" w:line="240" w:lineRule="auto"/>
        <w:jc w:val="both"/>
      </w:pPr>
      <w:r>
        <w:rPr>
          <w:rFonts w:ascii="Times New Roman" w:hAnsi="Times New Roman" w:eastAsia="Times New Roman"/>
          <w:b w:val="0"/>
          <w:i w:val="0"/>
          <w:sz w:val="20"/>
        </w:rPr>
        <w:t>Before any aggregate v2 result, the objective, grid, implementation, tests, design plan, and 72 exposed label inputs were hashed into a nine-file pre-execution lock. The harmful-action and slack weights remained fixed at one. The Cartesian grid contained 80 configurations.</w:t>
      </w:r>
    </w:p>
    <w:p>
      <w:pPr>
        <w:pStyle w:val="Caption"/>
      </w:pPr>
      <w:r>
        <w:rPr>
          <w:rFonts w:ascii="Times New Roman" w:hAnsi="Times New Roman" w:eastAsia="Times New Roman"/>
          <w:b w:val="0"/>
          <w:i w:val="0"/>
          <w:sz w:val="18"/>
        </w:rPr>
        <w:t>Table 3. Prospectively frozen RAER v2 configuration grid</w:t>
      </w:r>
    </w:p>
    <w:tbl>
      <w:tblPr>
        <w:tblStyle w:val="TableGrid"/>
        <w:tblW w:type="dxa" w:w="6917"/>
        <w:jc w:val="left"/>
        <w:tblLayout w:type="fixed"/>
        <w:tblLook w:firstColumn="1" w:firstRow="1" w:lastColumn="0" w:lastRow="0" w:noHBand="0" w:noVBand="1" w:val="04A0"/>
        <w:tblInd w:type="dxa" w:w="80"/>
      </w:tblPr>
      <w:tblGrid>
        <w:gridCol w:w="1100"/>
        <w:gridCol w:w="2600"/>
        <w:gridCol w:w="3217"/>
      </w:tblGrid>
      <w:tr>
        <w:trPr>
          <w:tblHeader w:val="true"/>
          <w:cantSplit/>
        </w:trPr>
        <w:tc>
          <w:tcPr>
            <w:tcW w:type="dxa" w:w="11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Parameter</w:t>
            </w:r>
          </w:p>
        </w:tc>
        <w:tc>
          <w:tcPr>
            <w:tcW w:type="dxa" w:w="26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Values</w:t>
            </w:r>
          </w:p>
        </w:tc>
        <w:tc>
          <w:tcPr>
            <w:tcW w:type="dxa" w:w="3217"/>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Role</w:t>
            </w:r>
          </w:p>
        </w:tc>
      </w:tr>
      <w:tr>
        <w:trPr>
          <w:cantSplit/>
        </w:trPr>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λ_H</w:t>
            </w:r>
          </w:p>
        </w:tc>
        <w:tc>
          <w:tcPr>
            <w:tcW w:type="dxa" w:w="2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1.0</w:t>
            </w:r>
          </w:p>
        </w:tc>
        <w:tc>
          <w:tcPr>
            <w:tcW w:type="dxa" w:w="3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Harmful-action loss</w:t>
            </w:r>
          </w:p>
        </w:tc>
      </w:tr>
      <w:tr>
        <w:trPr>
          <w:cantSplit/>
        </w:trPr>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λ_A</w:t>
            </w:r>
          </w:p>
        </w:tc>
        <w:tc>
          <w:tcPr>
            <w:tcW w:type="dxa" w:w="26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0.25, 0.50, 0.75, 1.00, 1.50</w:t>
            </w:r>
          </w:p>
        </w:tc>
        <w:tc>
          <w:tcPr>
            <w:tcW w:type="dxa" w:w="3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Unnecessary-abstention loss</w:t>
            </w:r>
          </w:p>
        </w:tc>
      </w:tr>
      <w:tr>
        <w:trPr>
          <w:cantSplit/>
        </w:trPr>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λ_C</w:t>
            </w:r>
          </w:p>
        </w:tc>
        <w:tc>
          <w:tcPr>
            <w:tcW w:type="dxa" w:w="26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0.02, 0.05, 0.10, 0.20</w:t>
            </w:r>
          </w:p>
        </w:tc>
        <w:tc>
          <w:tcPr>
            <w:tcW w:type="dxa" w:w="3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Validation-cost loss</w:t>
            </w:r>
          </w:p>
        </w:tc>
      </w:tr>
      <w:tr>
        <w:trPr>
          <w:cantSplit/>
        </w:trPr>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δ</w:t>
            </w:r>
          </w:p>
        </w:tc>
        <w:tc>
          <w:tcPr>
            <w:tcW w:type="dxa" w:w="2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0, 0.05</w:t>
            </w:r>
          </w:p>
        </w:tc>
        <w:tc>
          <w:tcPr>
            <w:tcW w:type="dxa" w:w="3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Maximum boundary slack</w:t>
            </w:r>
          </w:p>
        </w:tc>
      </w:tr>
      <w:tr>
        <w:trPr>
          <w:cantSplit/>
        </w:trPr>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θ_auth</w:t>
            </w:r>
          </w:p>
        </w:tc>
        <w:tc>
          <w:tcPr>
            <w:tcW w:type="dxa" w:w="2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0.08, 0.12</w:t>
            </w:r>
          </w:p>
        </w:tc>
        <w:tc>
          <w:tcPr>
            <w:tcW w:type="dxa" w:w="32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Authorization trigger</w:t>
            </w:r>
          </w:p>
        </w:tc>
      </w:tr>
      <w:tr>
        <w:trPr>
          <w:cantSplit/>
        </w:trPr>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λ_S</w:t>
            </w:r>
          </w:p>
        </w:tc>
        <w:tc>
          <w:tcPr>
            <w:tcW w:type="dxa" w:w="2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1.0</w:t>
            </w:r>
          </w:p>
        </w:tc>
        <w:tc>
          <w:tcPr>
            <w:tcW w:type="dxa" w:w="32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Slack penalty</w:t>
            </w:r>
          </w:p>
        </w:tc>
      </w:tr>
    </w:tbl>
    <w:p>
      <w:pPr>
        <w:keepLines w:val="0"/>
        <w:spacing w:before="0" w:after="20" w:line="240" w:lineRule="auto"/>
        <w:jc w:val="both"/>
      </w:pPr>
    </w:p>
    <w:p>
      <w:pPr>
        <w:pStyle w:val="Heading2"/>
      </w:pPr>
      <w:r>
        <w:rPr>
          <w:rFonts w:ascii="Times New Roman" w:hAnsi="Times New Roman" w:eastAsia="Times New Roman"/>
          <w:b/>
          <w:i w:val="0"/>
          <w:sz w:val="20"/>
        </w:rPr>
        <w:t>5.3 Nested Design-Only Evaluation</w:t>
      </w:r>
    </w:p>
    <w:p>
      <w:pPr>
        <w:keepLines w:val="0"/>
        <w:spacing w:before="0" w:after="80" w:line="240" w:lineRule="auto"/>
        <w:jc w:val="both"/>
      </w:pPr>
      <w:r>
        <w:rPr>
          <w:rFonts w:ascii="Times New Roman" w:hAnsi="Times New Roman" w:eastAsia="Times New Roman"/>
          <w:b w:val="0"/>
          <w:i w:val="0"/>
          <w:sz w:val="20"/>
        </w:rPr>
        <w:t>Because the v1 development and validation labels had been exposed, all 72 cases were treated as non-confirmatory design data. Six outer folds each omitted one complete domain. Within each fold, all 80 configurations were evaluated on the other five domains. A configuration was eligible only if it met the safe-completion, harmful-action, authorization, and slack limits. Eligible configurations were ordered by lower harm, lower mean cost, higher completion, lower slack rate, and frozen parameter tie-breaks. The chosen configuration was then applied unchanged to the omitted domain. Concatenating outer predictions yielded one out-of-fold result for every design case.</w:t>
      </w:r>
    </w:p>
    <w:p>
      <w:pPr>
        <w:keepLines w:val="0"/>
        <w:spacing w:before="0" w:after="80" w:line="240" w:lineRule="auto"/>
        <w:jc w:val="both"/>
      </w:pPr>
      <w:r>
        <w:rPr>
          <w:rFonts w:ascii="Times New Roman" w:hAnsi="Times New Roman" w:eastAsia="Times New Roman"/>
          <w:b w:val="0"/>
          <w:i w:val="0"/>
          <w:sz w:val="20"/>
        </w:rPr>
        <w:t>The registered comparators were STATIC, CONTRACT_ONLY, FIXED_0.10, FIXED_0.20, FIXED_0.35, FIXED_0.50, ALWAYS_REFRESH, and frozen RAER v1. FIXED_t checks evidence with q_i≥t. CONTRACT_ONLY checks authorization and scope evidence. ALWAYS_REFRESH checks all evidence. Comparator checks were retained even when their rule exceeded a scenario budget, with cost and overrun reported; RAER itself remained subject to B+δ.</w:t>
      </w:r>
    </w:p>
    <w:p>
      <w:pPr>
        <w:pStyle w:val="Heading2"/>
      </w:pPr>
      <w:r>
        <w:rPr>
          <w:rFonts w:ascii="Times New Roman" w:hAnsi="Times New Roman" w:eastAsia="Times New Roman"/>
          <w:b/>
          <w:i w:val="0"/>
          <w:sz w:val="20"/>
        </w:rPr>
        <w:t>5.4 Gate and Uncertainty</w:t>
      </w:r>
    </w:p>
    <w:p>
      <w:pPr>
        <w:spacing w:before="0" w:after="80" w:line="240" w:lineRule="exact"/>
        <w:jc w:val="both"/>
      </w:pPr>
      <w:r>
        <w:rPr>
          <w:rFonts w:ascii="Times New Roman" w:hAnsi="Times New Roman" w:eastAsia="Times New Roman"/>
          <w:b/>
          <w:sz w:val="20"/>
        </w:rPr>
        <w:t xml:space="preserve">Prospective hypotheses. </w:t>
      </w:r>
      <w:r>
        <w:rPr>
          <w:rFonts w:ascii="Times New Roman" w:hAnsi="Times New Roman" w:eastAsia="Times New Roman"/>
          <w:sz w:val="20"/>
        </w:rPr>
        <w:t>The primary hypothesis (H1) was that out-of-fold safe completion would be within 0.05 of the best registered comparator. The seven co-required secondary hypotheses were: harmful action no worse than FIXED_0.20 (H2), zero triggered-authorization harms (H3), non-dominance among comparably safe policies (H4), positive-slack rate ≤ 0.25 (H5), mean slack ≤ 0.025 (H6), maximum slack ≤ 0.05 (H7), and eligible selection in at least five of six outer folds (H8). Because every criterion was mandatory, failure of any one required a failed design gate.</w:t>
      </w:r>
    </w:p>
    <w:p>
      <w:pPr>
        <w:pStyle w:val="Caption"/>
        <w:keepNext/>
        <w:pageBreakBefore w:val="0"/>
      </w:pPr>
      <w:r>
        <w:rPr>
          <w:rFonts w:ascii="Times New Roman" w:hAnsi="Times New Roman" w:eastAsia="Times New Roman"/>
          <w:b w:val="0"/>
          <w:i w:val="0"/>
          <w:sz w:val="18"/>
        </w:rPr>
        <w:t>Table 4. Prospective v2 gate; every criterion was mandatory</w:t>
      </w:r>
    </w:p>
    <w:tbl>
      <w:tblPr>
        <w:tblStyle w:val="TableGrid"/>
        <w:tblW w:type="dxa" w:w="6917"/>
        <w:jc w:val="left"/>
        <w:tblLayout w:type="fixed"/>
        <w:tblLook w:firstColumn="1" w:firstRow="1" w:lastColumn="0" w:lastRow="0" w:noHBand="0" w:noVBand="1" w:val="04A0"/>
        <w:tblInd w:type="dxa" w:w="80"/>
      </w:tblPr>
      <w:tblGrid>
        <w:gridCol w:w="2300"/>
        <w:gridCol w:w="4617"/>
      </w:tblGrid>
      <w:tr>
        <w:trPr>
          <w:tblHeader w:val="true"/>
          <w:cantSplit/>
        </w:trPr>
        <w:tc>
          <w:tcPr>
            <w:tcW w:type="dxa" w:w="23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Criterion</w:t>
            </w:r>
          </w:p>
        </w:tc>
        <w:tc>
          <w:tcPr>
            <w:tcW w:type="dxa" w:w="4617"/>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Required value</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Safe completion</w:t>
            </w:r>
          </w:p>
        </w:tc>
        <w:tc>
          <w:tcPr>
            <w:tcW w:type="dxa" w:w="46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Within 0.05 of the best comparator</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Harmful action</w:t>
            </w:r>
          </w:p>
        </w:tc>
        <w:tc>
          <w:tcPr>
            <w:tcW w:type="dxa" w:w="46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No worse than FIXED_0.20</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Authorization</w:t>
            </w:r>
          </w:p>
        </w:tc>
        <w:tc>
          <w:tcPr>
            <w:tcW w:type="dxa" w:w="46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Zero triggered-authorization harmful actions</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Non-dominance</w:t>
            </w:r>
          </w:p>
        </w:tc>
        <w:tc>
          <w:tcPr>
            <w:tcW w:type="dxa" w:w="46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No comparable-safe policy no worse in harm and cost, one strict</w:t>
            </w:r>
          </w:p>
        </w:tc>
      </w:tr>
      <w:tr>
        <w:trPr>
          <w:cantSplit/>
        </w:trPr>
        <w:tc>
          <w:tcPr>
            <w:tcW w:type="dxa" w:w="23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Positive-slack rate</w:t>
            </w:r>
          </w:p>
        </w:tc>
        <w:tc>
          <w:tcPr>
            <w:tcW w:type="dxa" w:w="46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≤0.25</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Mean slack</w:t>
            </w:r>
          </w:p>
        </w:tc>
        <w:tc>
          <w:tcPr>
            <w:tcW w:type="dxa" w:w="46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≤0.025</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Maximum slack</w:t>
            </w:r>
          </w:p>
        </w:tc>
        <w:tc>
          <w:tcPr>
            <w:tcW w:type="dxa" w:w="46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≤0.05</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Fold stability</w:t>
            </w:r>
          </w:p>
        </w:tc>
        <w:tc>
          <w:tcPr>
            <w:tcW w:type="dxa" w:w="461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Eligible configuration in at least five of six folds</w:t>
            </w:r>
          </w:p>
        </w:tc>
      </w:tr>
    </w:tbl>
    <w:p>
      <w:pPr>
        <w:keepLines w:val="0"/>
        <w:spacing w:before="0" w:after="20" w:line="240" w:lineRule="auto"/>
        <w:jc w:val="both"/>
      </w:pPr>
    </w:p>
    <w:p>
      <w:pPr>
        <w:keepLines w:val="0"/>
        <w:spacing w:before="0" w:after="80" w:line="240" w:lineRule="auto"/>
        <w:jc w:val="both"/>
      </w:pPr>
      <w:r>
        <w:rPr>
          <w:rFonts w:ascii="Times New Roman" w:hAnsi="Times New Roman" w:eastAsia="Times New Roman"/>
          <w:b w:val="0"/>
          <w:i w:val="0"/>
          <w:sz w:val="20"/>
        </w:rPr>
        <w:t>Primary outcomes were safe successes divided by all-valid cases, harmful actions divided by cases with at least one invalid prerequisite, and mean validation cost across all cases. Numerators and denominators were fixed. Ten thousand scenario bootstraps stratified by domain used seed 20260812 and percentile 95% intervals. These intervals are descriptive because all 72 cases are design data; they cannot turn the result into confirmatory evidence.</w:t>
      </w:r>
    </w:p>
    <w:p>
      <w:pPr>
        <w:pStyle w:val="Heading1"/>
      </w:pPr>
      <w:r>
        <w:rPr>
          <w:rFonts w:ascii="Times New Roman" w:hAnsi="Times New Roman" w:eastAsia="Times New Roman"/>
          <w:b/>
          <w:i w:val="0"/>
          <w:sz w:val="24"/>
        </w:rPr>
        <w:t>6 Results</w:t>
      </w:r>
    </w:p>
    <w:p>
      <w:pPr>
        <w:pStyle w:val="Heading2"/>
      </w:pPr>
      <w:r>
        <w:rPr>
          <w:rFonts w:ascii="Times New Roman" w:hAnsi="Times New Roman" w:eastAsia="Times New Roman"/>
          <w:b/>
          <w:i w:val="0"/>
          <w:sz w:val="20"/>
        </w:rPr>
        <w:t>6.1 Main Out-of-Fold Result</w:t>
      </w:r>
    </w:p>
    <w:p>
      <w:pPr>
        <w:keepLines w:val="0"/>
        <w:spacing w:before="0" w:after="80" w:line="240" w:lineRule="auto"/>
        <w:jc w:val="both"/>
      </w:pPr>
      <w:r>
        <w:rPr>
          <w:rFonts w:ascii="Times New Roman" w:hAnsi="Times New Roman" w:eastAsia="Times New Roman"/>
          <w:b w:val="0"/>
          <w:i w:val="0"/>
          <w:sz w:val="20"/>
        </w:rPr>
        <w:t>RAER v2 safely completed 25 of 27 all-valid cases and blocked 31 of 45 invalid cases. Fourteen invalid cases proceeded to harmful action, and two valid cases were false blocks. Mean validation cost was 0.547. FIXED_0.20 completed all 27 valid cases, blocked 27 invalid cases, caused 18 harmful actions, and cost 0.800. Thus v2 showed a favorable descriptive movement in harm and cost but lost two valid completions.</w:t>
      </w:r>
    </w:p>
    <w:p>
      <w:pPr>
        <w:pStyle w:val="Caption"/>
      </w:pPr>
      <w:r>
        <w:rPr>
          <w:rFonts w:ascii="Times New Roman" w:hAnsi="Times New Roman" w:eastAsia="Times New Roman"/>
          <w:b w:val="0"/>
          <w:i w:val="0"/>
          <w:sz w:val="18"/>
        </w:rPr>
        <w:t>Table 5. Main design-stage results on 72 exposed cases</w:t>
      </w:r>
    </w:p>
    <w:tbl>
      <w:tblPr>
        <w:tblStyle w:val="TableGrid"/>
        <w:tblW w:type="dxa" w:w="6917"/>
        <w:jc w:val="left"/>
        <w:tblLayout w:type="fixed"/>
        <w:tblLook w:firstColumn="1" w:firstRow="1" w:lastColumn="0" w:lastRow="0" w:noHBand="0" w:noVBand="1" w:val="04A0"/>
        <w:tblInd w:type="dxa" w:w="80"/>
      </w:tblPr>
      <w:tblGrid>
        <w:gridCol w:w="1600"/>
        <w:gridCol w:w="1550"/>
        <w:gridCol w:w="1550"/>
        <w:gridCol w:w="1100"/>
        <w:gridCol w:w="1117"/>
      </w:tblGrid>
      <w:tr>
        <w:trPr>
          <w:tblHeader w:val="true"/>
          <w:cantSplit/>
        </w:trPr>
        <w:tc>
          <w:tcPr>
            <w:tcW w:type="dxa" w:w="160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Policy</w:t>
            </w:r>
          </w:p>
        </w:tc>
        <w:tc>
          <w:tcPr>
            <w:tcW w:type="dxa" w:w="155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Safe completion</w:t>
            </w:r>
          </w:p>
        </w:tc>
        <w:tc>
          <w:tcPr>
            <w:tcW w:type="dxa" w:w="155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Harmful action</w:t>
            </w:r>
          </w:p>
        </w:tc>
        <w:tc>
          <w:tcPr>
            <w:tcW w:type="dxa" w:w="110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Mean cost</w:t>
            </w:r>
          </w:p>
        </w:tc>
        <w:tc>
          <w:tcPr>
            <w:tcW w:type="dxa" w:w="1117"/>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False blocks</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STATIC</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45/45 (1.000)</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0.000</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CONTRACT_ONLY</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10/45 (0.222)</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0.956</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FIXED_0.10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0/45 (0.000)</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1.319</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FIXED_0.20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18/45 (0.400)</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0.800</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FIXED_0.35</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40/45 (0.889)</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0.150</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FIXED_0.50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45/45 (1.000)</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0.000</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ALWAYS_REFRESH</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27/27 (1.000)</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0/45 (0.000)</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1.456</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RAER v1</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16/27 (0.593)</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16/45 (0.356)</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0.364</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11</w:t>
            </w:r>
          </w:p>
        </w:tc>
      </w:tr>
      <w:tr>
        <w:trPr>
          <w:cantSplit/>
        </w:trPr>
        <w:tc>
          <w:tcPr>
            <w:tcW w:type="dxa" w:w="16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RAER v2 OOF</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25/27 (0.926)</w:t>
            </w:r>
          </w:p>
        </w:tc>
        <w:tc>
          <w:tcPr>
            <w:tcW w:type="dxa" w:w="15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14/45 (0.311)</w:t>
            </w:r>
          </w:p>
        </w:tc>
        <w:tc>
          <w:tcPr>
            <w:tcW w:type="dxa" w:w="1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0.547</w:t>
            </w:r>
          </w:p>
        </w:tc>
        <w:tc>
          <w:tcPr>
            <w:tcW w:type="dxa" w:w="11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2</w:t>
            </w:r>
          </w:p>
        </w:tc>
      </w:tr>
    </w:tbl>
    <w:p>
      <w:pPr>
        <w:keepLines w:val="0"/>
        <w:spacing w:before="0" w:after="20" w:line="240" w:lineRule="auto"/>
        <w:jc w:val="both"/>
      </w:pPr>
    </w:p>
    <w:p>
      <w:pPr>
        <w:keepLines w:val="0"/>
        <w:spacing w:before="0" w:after="80" w:line="240" w:lineRule="auto"/>
        <w:jc w:val="both"/>
      </w:pPr>
      <w:r>
        <w:rPr>
          <w:rFonts w:ascii="Times New Roman" w:hAnsi="Times New Roman" w:eastAsia="Times New Roman"/>
          <w:b w:val="0"/>
          <w:i w:val="0"/>
          <w:sz w:val="20"/>
        </w:rPr>
        <w:t>For RAER v2, descriptive domain-stratified bootstrap intervals were 0.815–1.000 for safe completion, 0.182–0.449 for harmful-action rate, and 0.481–0.611 for mean validation cost. FIXED_0.20 intervals were 1.000–1.000, 0.257–0.545, and 0.681–0.922, respectively. The overlap in harmful-action uncertainty and the small valid-case denominator preclude a claim of superiority.</w:t>
      </w:r>
    </w:p>
    <w:p>
      <w:pPr>
        <w:pStyle w:val="Heading2"/>
      </w:pPr>
      <w:r>
        <w:rPr>
          <w:rFonts w:ascii="Times New Roman" w:hAnsi="Times New Roman" w:eastAsia="Times New Roman"/>
          <w:b/>
          <w:i w:val="0"/>
          <w:sz w:val="20"/>
        </w:rPr>
        <w:t>6.2 Prospective Gate Decision</w:t>
      </w:r>
    </w:p>
    <w:p>
      <w:pPr>
        <w:keepLines w:val="0"/>
        <w:spacing w:before="0" w:after="80" w:line="240" w:lineRule="auto"/>
        <w:jc w:val="both"/>
      </w:pPr>
      <w:r>
        <w:rPr>
          <w:rFonts w:ascii="Times New Roman" w:hAnsi="Times New Roman" w:eastAsia="Times New Roman"/>
          <w:b w:val="0"/>
          <w:i w:val="0"/>
          <w:sz w:val="20"/>
        </w:rPr>
        <w:t>Seven criteria passed. RAER v2 had no comparable-safe dominator, harmful-action rate was no worse than FIXED_0.20, no harmful action arose from an unchecked triggered authorization prerequisite, positive slack occurred in 12/72 cases (16.7%), mean slack was 0.0083, maximum slack was 0.05 up to floating-point tolerance, and all six outer folds selected an eligible configuration. Safe completion was the only failure: the best comparator achieved 1.00, so the gate required at least 0.95; v2 achieved 25/27=0.9259.</w:t>
      </w:r>
    </w:p>
    <w:p>
      <w:pPr>
        <w:pStyle w:val="Caption"/>
      </w:pPr>
      <w:r>
        <w:rPr>
          <w:rFonts w:ascii="Times New Roman" w:hAnsi="Times New Roman" w:eastAsia="Times New Roman"/>
          <w:b w:val="0"/>
          <w:i w:val="0"/>
          <w:sz w:val="18"/>
        </w:rPr>
        <w:t>Table 6. Registered gate outcome</w:t>
      </w:r>
    </w:p>
    <w:tbl>
      <w:tblPr>
        <w:tblStyle w:val="TableGrid"/>
        <w:tblW w:type="dxa" w:w="6917"/>
        <w:jc w:val="left"/>
        <w:tblLayout w:type="fixed"/>
        <w:tblLook w:firstColumn="1" w:firstRow="1" w:lastColumn="0" w:lastRow="0" w:noHBand="0" w:noVBand="1" w:val="04A0"/>
        <w:tblInd w:type="dxa" w:w="80"/>
      </w:tblPr>
      <w:tblGrid>
        <w:gridCol w:w="2300"/>
        <w:gridCol w:w="3100"/>
        <w:gridCol w:w="1517"/>
      </w:tblGrid>
      <w:tr>
        <w:trPr>
          <w:tblHeader w:val="true"/>
          <w:cantSplit/>
        </w:trPr>
        <w:tc>
          <w:tcPr>
            <w:tcW w:type="dxa" w:w="23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Criterion</w:t>
            </w:r>
          </w:p>
        </w:tc>
        <w:tc>
          <w:tcPr>
            <w:tcW w:type="dxa" w:w="31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Observed</w:t>
            </w:r>
          </w:p>
        </w:tc>
        <w:tc>
          <w:tcPr>
            <w:tcW w:type="dxa" w:w="1517"/>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Decision</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Safe completion</w:t>
            </w:r>
          </w:p>
        </w:tc>
        <w:tc>
          <w:tcPr>
            <w:tcW w:type="dxa" w:w="31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0.9259; required ≥0.9500</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FAIL</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Harmful action</w:t>
            </w:r>
          </w:p>
        </w:tc>
        <w:tc>
          <w:tcPr>
            <w:tcW w:type="dxa" w:w="31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0.3111 vs. FIXED_0.20 at 0.4000</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Authorization</w:t>
            </w:r>
          </w:p>
        </w:tc>
        <w:tc>
          <w:tcPr>
            <w:tcW w:type="dxa" w:w="31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0 triggered-authorization harms</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Non-dominance</w:t>
            </w:r>
          </w:p>
        </w:tc>
        <w:tc>
          <w:tcPr>
            <w:tcW w:type="dxa" w:w="31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No comparable-safe dominator</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r>
        <w:trPr>
          <w:cantSplit/>
        </w:trPr>
        <w:tc>
          <w:tcPr>
            <w:tcW w:type="dxa" w:w="23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Positive-slack rate</w:t>
            </w:r>
          </w:p>
        </w:tc>
        <w:tc>
          <w:tcPr>
            <w:tcW w:type="dxa" w:w="3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0.1667; limit 0.25</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Mean slack</w:t>
            </w:r>
          </w:p>
        </w:tc>
        <w:tc>
          <w:tcPr>
            <w:tcW w:type="dxa" w:w="31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0.0083; limit 0.025</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Maximum slack</w:t>
            </w:r>
          </w:p>
        </w:tc>
        <w:tc>
          <w:tcPr>
            <w:tcW w:type="dxa" w:w="3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0.0500; limit 0.05</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r>
        <w:trPr>
          <w:cantSplit/>
        </w:trPr>
        <w:tc>
          <w:tcPr>
            <w:tcW w:type="dxa" w:w="23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Fold stability</w:t>
            </w:r>
          </w:p>
        </w:tc>
        <w:tc>
          <w:tcPr>
            <w:tcW w:type="dxa" w:w="31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6/6 eligible folds</w:t>
            </w:r>
          </w:p>
        </w:tc>
        <w:tc>
          <w:tcPr>
            <w:tcW w:type="dxa" w:w="15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PASS</w:t>
            </w:r>
          </w:p>
        </w:tc>
      </w:tr>
    </w:tbl>
    <w:p>
      <w:pPr>
        <w:keepLines w:val="0"/>
        <w:spacing w:before="0" w:after="20" w:line="240" w:lineRule="auto"/>
        <w:jc w:val="both"/>
      </w:pPr>
    </w:p>
    <w:p>
      <w:pPr>
        <w:keepLines w:val="0"/>
        <w:spacing w:before="0" w:after="80" w:line="240" w:lineRule="auto"/>
        <w:jc w:val="both"/>
      </w:pPr>
      <w:r>
        <w:rPr>
          <w:rFonts w:ascii="Times New Roman" w:hAnsi="Times New Roman" w:eastAsia="Times New Roman"/>
          <w:b w:val="0"/>
          <w:i w:val="0"/>
          <w:sz w:val="20"/>
        </w:rPr>
        <w:t>The registered decision was FAIL_KEEP_HELD_OUT_SEALED. With 27 valid cases, one fewer false block would have produced 26/27=96.3%, but discreteness does not permit changing the threshold or substituting the fitted-design result. The test release file was not created, and no held-out outcome is reported.</w:t>
      </w:r>
    </w:p>
    <w:p>
      <w:pPr>
        <w:pStyle w:val="Heading2"/>
      </w:pPr>
      <w:r>
        <w:rPr>
          <w:rFonts w:ascii="Times New Roman" w:hAnsi="Times New Roman" w:eastAsia="Times New Roman"/>
          <w:b/>
          <w:i w:val="0"/>
          <w:sz w:val="20"/>
        </w:rPr>
        <w:t>6.3 Failure Analysis</w:t>
      </w:r>
    </w:p>
    <w:p>
      <w:pPr>
        <w:keepLines w:val="0"/>
        <w:spacing w:before="0" w:after="80" w:line="240" w:lineRule="auto"/>
        <w:jc w:val="both"/>
      </w:pPr>
      <w:r>
        <w:rPr>
          <w:rFonts w:ascii="Times New Roman" w:hAnsi="Times New Roman" w:eastAsia="Times New Roman"/>
          <w:b w:val="0"/>
          <w:i w:val="0"/>
          <w:sz w:val="20"/>
        </w:rPr>
        <w:t>The two out-of-fold false blocks were RB-FIN-04 and RB-PRI-05. In both the finance and privacy outer folds, the inner selector chose λ_A=0.50 rather than 1.00. For RB-FIN-04, one check costing 0.60 left modeled residual harm 0.391 and safe-probability proxy 0.447; the policy abstained. For RB-PRI-05, the selected subset was empty, with residual harm 0.311 and safe-probability proxy 0.603; the policy again abstained. Every prerequisite in both cases was actually valid, but that information was unavailable to the selector.</w:t>
      </w:r>
    </w:p>
    <w:p>
      <w:pPr>
        <w:pStyle w:val="Caption"/>
      </w:pPr>
      <w:r>
        <w:rPr>
          <w:rFonts w:ascii="Times New Roman" w:hAnsi="Times New Roman" w:eastAsia="Times New Roman"/>
          <w:b w:val="0"/>
          <w:i w:val="0"/>
          <w:sz w:val="18"/>
        </w:rPr>
        <w:t>Table 7. Out-of-fold false blocks</w:t>
      </w:r>
    </w:p>
    <w:tbl>
      <w:tblPr>
        <w:tblStyle w:val="TableGrid"/>
        <w:tblW w:type="dxa" w:w="6917"/>
        <w:jc w:val="left"/>
        <w:tblLayout w:type="fixed"/>
        <w:tblLook w:firstColumn="1" w:firstRow="1" w:lastColumn="0" w:lastRow="0" w:noHBand="0" w:noVBand="1" w:val="04A0"/>
        <w:tblInd w:type="dxa" w:w="80"/>
      </w:tblPr>
      <w:tblGrid>
        <w:gridCol w:w="1150"/>
        <w:gridCol w:w="1000"/>
        <w:gridCol w:w="700"/>
        <w:gridCol w:w="1200"/>
        <w:gridCol w:w="1967"/>
        <w:gridCol w:w="900"/>
      </w:tblGrid>
      <w:tr>
        <w:trPr>
          <w:tblHeader w:val="true"/>
          <w:cantSplit/>
        </w:trPr>
        <w:tc>
          <w:tcPr>
            <w:tcW w:type="dxa" w:w="115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Case</w:t>
            </w:r>
          </w:p>
        </w:tc>
        <w:tc>
          <w:tcPr>
            <w:tcW w:type="dxa" w:w="100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Domain</w:t>
            </w:r>
          </w:p>
        </w:tc>
        <w:tc>
          <w:tcPr>
            <w:tcW w:type="dxa" w:w="70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λ_A</w:t>
            </w:r>
          </w:p>
        </w:tc>
        <w:tc>
          <w:tcPr>
            <w:tcW w:type="dxa" w:w="120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Checks / cost</w:t>
            </w:r>
          </w:p>
        </w:tc>
        <w:tc>
          <w:tcPr>
            <w:tcW w:type="dxa" w:w="1967"/>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Planning proxies</w:t>
            </w:r>
          </w:p>
        </w:tc>
        <w:tc>
          <w:tcPr>
            <w:tcW w:type="dxa" w:w="900"/>
            <w:tcMar>
              <w:top w:w="60" w:type="dxa"/>
              <w:start w:w="80" w:type="dxa"/>
              <w:bottom w:w="60" w:type="dxa"/>
              <w:end w:w="80" w:type="dxa"/>
            </w:tcMar>
            <w:vAlign w:val="center"/>
          </w:tcPr>
          <w:p>
            <w:pPr>
              <w:spacing w:after="0"/>
              <w:jc w:val="center"/>
            </w:pPr>
            <w:r>
              <w:rPr>
                <w:rFonts w:ascii="Times New Roman" w:hAnsi="Times New Roman" w:eastAsia="Times New Roman"/>
                <w:b/>
                <w:i w:val="0"/>
                <w:sz w:val="15"/>
              </w:rPr>
              <w:t>Outcome</w:t>
            </w:r>
          </w:p>
        </w:tc>
      </w:tr>
      <w:tr>
        <w:trPr>
          <w:cantSplit/>
        </w:trPr>
        <w:tc>
          <w:tcPr>
            <w:tcW w:type="dxa" w:w="11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RB-FIN-04</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Finance</w:t>
            </w:r>
          </w:p>
        </w:tc>
        <w:tc>
          <w:tcPr>
            <w:tcW w:type="dxa" w:w="7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0.50</w:t>
            </w:r>
          </w:p>
        </w:tc>
        <w:tc>
          <w:tcPr>
            <w:tcW w:type="dxa" w:w="12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1 / 0.60</w:t>
            </w:r>
          </w:p>
        </w:tc>
        <w:tc>
          <w:tcPr>
            <w:tcW w:type="dxa" w:w="19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5"/>
              </w:rPr>
              <w:t>R=0.391; P_safe=0.447</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ABSTAIN</w:t>
            </w:r>
          </w:p>
        </w:tc>
      </w:tr>
      <w:tr>
        <w:trPr>
          <w:cantSplit/>
        </w:trPr>
        <w:tc>
          <w:tcPr>
            <w:tcW w:type="dxa" w:w="115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RB-PRI-05</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Privacy</w:t>
            </w:r>
          </w:p>
        </w:tc>
        <w:tc>
          <w:tcPr>
            <w:tcW w:type="dxa" w:w="7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0.50</w:t>
            </w:r>
          </w:p>
        </w:tc>
        <w:tc>
          <w:tcPr>
            <w:tcW w:type="dxa" w:w="12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0 / 0.00</w:t>
            </w:r>
          </w:p>
        </w:tc>
        <w:tc>
          <w:tcPr>
            <w:tcW w:type="dxa" w:w="1967"/>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5"/>
              </w:rPr>
              <w:t>R=0.311; P_safe=0.603</w:t>
            </w:r>
          </w:p>
        </w:tc>
        <w:tc>
          <w:tcPr>
            <w:tcW w:type="dxa" w:w="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5"/>
              </w:rPr>
              <w:t>ABSTAIN</w:t>
            </w:r>
          </w:p>
        </w:tc>
      </w:tr>
    </w:tbl>
    <w:p>
      <w:pPr>
        <w:keepLines w:val="0"/>
        <w:spacing w:before="0" w:after="20" w:line="240" w:lineRule="auto"/>
        <w:jc w:val="both"/>
      </w:pPr>
    </w:p>
    <w:p>
      <w:pPr>
        <w:keepLines w:val="0"/>
        <w:spacing w:before="0" w:after="80" w:line="240" w:lineRule="auto"/>
        <w:jc w:val="both"/>
      </w:pPr>
      <w:r>
        <w:rPr>
          <w:rFonts w:ascii="Times New Roman" w:hAnsi="Times New Roman" w:eastAsia="Times New Roman"/>
          <w:b w:val="0"/>
          <w:i w:val="0"/>
          <w:sz w:val="20"/>
        </w:rPr>
        <w:t>After the gate, the identical selector fitted to all 72 design cases chose λ_A=1.00, λ_C=0.10, δ=0.05, and θ_auth=0.08. That fitted configuration completed 26/27 valid cases. This observation localizes the issue to cross-domain configuration transfer, but it is not a replacement endpoint: it uses every exposed label and was computed after the out-of-fold gate.</w:t>
      </w:r>
    </w:p>
    <w:p>
      <w:pPr>
        <w:pStyle w:val="Heading2"/>
      </w:pPr>
      <w:r>
        <w:rPr>
          <w:rFonts w:ascii="Times New Roman" w:hAnsi="Times New Roman" w:eastAsia="Times New Roman"/>
          <w:b/>
          <w:i w:val="0"/>
          <w:sz w:val="20"/>
        </w:rPr>
        <w:t>6.4 Ablations</w:t>
      </w:r>
    </w:p>
    <w:p>
      <w:pPr>
        <w:keepLines w:val="0"/>
        <w:spacing w:before="0" w:after="80" w:line="240" w:lineRule="auto"/>
        <w:jc w:val="both"/>
      </w:pPr>
      <w:r>
        <w:rPr>
          <w:rFonts w:ascii="Times New Roman" w:hAnsi="Times New Roman" w:eastAsia="Times New Roman"/>
          <w:b w:val="0"/>
          <w:i w:val="0"/>
          <w:sz w:val="20"/>
        </w:rPr>
        <w:t>Ablations were evaluated descriptively using the all-design fitted configuration. Removing abstention loss caused the policy to abstain on every valid case. Removing the authorization safeguard preserved completion but increased harmful actions to 19/45 and produced seven triggered-authorization harmful actions. Removing slack reduced safe completion to 24/27 while slightly lowering harm and cost. Removing the correlation uplift did not change aggregate outcomes in these cases, suggesting that its present implementation was behaviorally inactive at the fitted operating point.</w:t>
      </w:r>
    </w:p>
    <w:p>
      <w:pPr>
        <w:pStyle w:val="Caption"/>
      </w:pPr>
      <w:r>
        <w:rPr>
          <w:rFonts w:ascii="Times New Roman" w:hAnsi="Times New Roman" w:eastAsia="Times New Roman"/>
          <w:b w:val="0"/>
          <w:i w:val="0"/>
          <w:sz w:val="18"/>
        </w:rPr>
        <w:t>Table 8. Design-data ablations of the fitted v2 configuration</w:t>
      </w:r>
    </w:p>
    <w:tbl>
      <w:tblPr>
        <w:tblStyle w:val="TableGrid"/>
        <w:tblW w:type="dxa" w:w="6917"/>
        <w:jc w:val="left"/>
        <w:tblLayout w:type="fixed"/>
        <w:tblLook w:firstColumn="1" w:firstRow="1" w:lastColumn="0" w:lastRow="0" w:noHBand="0" w:noVBand="1" w:val="04A0"/>
        <w:tblInd w:type="dxa" w:w="80"/>
      </w:tblPr>
      <w:tblGrid>
        <w:gridCol w:w="1900"/>
        <w:gridCol w:w="1500"/>
        <w:gridCol w:w="1500"/>
        <w:gridCol w:w="1000"/>
        <w:gridCol w:w="1017"/>
      </w:tblGrid>
      <w:tr>
        <w:trPr>
          <w:tblHeader w:val="true"/>
          <w:cantSplit/>
        </w:trPr>
        <w:tc>
          <w:tcPr>
            <w:tcW w:type="dxa" w:w="19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Variant</w:t>
            </w:r>
          </w:p>
        </w:tc>
        <w:tc>
          <w:tcPr>
            <w:tcW w:type="dxa" w:w="15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Safe completion</w:t>
            </w:r>
          </w:p>
        </w:tc>
        <w:tc>
          <w:tcPr>
            <w:tcW w:type="dxa" w:w="15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Harmful action</w:t>
            </w:r>
          </w:p>
        </w:tc>
        <w:tc>
          <w:tcPr>
            <w:tcW w:type="dxa" w:w="1000"/>
            <w:tcMar>
              <w:top w:w="60" w:type="dxa"/>
              <w:start w:w="80" w:type="dxa"/>
              <w:bottom w:w="60" w:type="dxa"/>
              <w:end w:w="80" w:type="dxa"/>
            </w:tcMar>
            <w:vAlign w:val="center"/>
          </w:tcPr>
          <w:p>
            <w:pPr>
              <w:spacing w:after="0"/>
              <w:jc w:val="center"/>
            </w:pPr>
            <w:r>
              <w:rPr>
                <w:rFonts w:ascii="Times New Roman" w:hAnsi="Times New Roman" w:eastAsia="Times New Roman"/>
                <w:b/>
                <w:i w:val="0"/>
                <w:sz w:val="16"/>
              </w:rPr>
              <w:t>Mean cost</w:t>
            </w:r>
          </w:p>
        </w:tc>
        <w:tc>
          <w:tcPr>
            <w:tcW w:type="dxa" w:w="1017"/>
            <w:tcMar>
              <w:top w:w="60" w:type="dxa"/>
              <w:start w:w="80" w:type="dxa"/>
              <w:bottom w:w="60" w:type="dxa"/>
              <w:end w:w="80" w:type="dxa"/>
            </w:tcMar>
            <w:vAlign w:val="center"/>
          </w:tcPr>
          <w:p>
            <w:pPr>
              <w:jc w:val="center"/>
            </w:pPr>
            <w:r>
              <w:rPr>
                <w:rFonts w:ascii="Times New Roman" w:hAnsi="Times New Roman" w:eastAsia="Times New Roman"/>
                <w:b/>
                <w:sz w:val="18"/>
              </w:rPr>
              <w:t>Auth. harms</w:t>
            </w:r>
          </w:p>
        </w:tc>
      </w:tr>
      <w:tr>
        <w:trPr>
          <w:cantSplit/>
        </w:trPr>
        <w:tc>
          <w:tcPr>
            <w:tcW w:type="dxa" w:w="1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Full v2</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26/27 (0.963)</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14/45 (0.311)</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0.606</w:t>
            </w:r>
          </w:p>
        </w:tc>
        <w:tc>
          <w:tcPr>
            <w:tcW w:type="dxa" w:w="10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w:t>
            </w:r>
          </w:p>
        </w:tc>
      </w:tr>
      <w:tr>
        <w:trPr>
          <w:cantSplit/>
        </w:trPr>
        <w:tc>
          <w:tcPr>
            <w:tcW w:type="dxa" w:w="1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No abstention loss</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0/27 (0.000)</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0/45 (0.000)</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0.358</w:t>
            </w:r>
          </w:p>
        </w:tc>
        <w:tc>
          <w:tcPr>
            <w:tcW w:type="dxa" w:w="10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w:t>
            </w:r>
          </w:p>
        </w:tc>
      </w:tr>
      <w:tr>
        <w:trPr>
          <w:cantSplit/>
        </w:trPr>
        <w:tc>
          <w:tcPr>
            <w:tcW w:type="dxa" w:w="19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No authorization safeguard</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26/27 (0.963)</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19/45 (0.422)</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0.561</w:t>
            </w:r>
          </w:p>
        </w:tc>
        <w:tc>
          <w:tcPr>
            <w:tcW w:type="dxa" w:w="10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7</w:t>
            </w:r>
          </w:p>
        </w:tc>
      </w:tr>
      <w:tr>
        <w:trPr>
          <w:cantSplit/>
        </w:trPr>
        <w:tc>
          <w:tcPr>
            <w:tcW w:type="dxa" w:w="19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No slack</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24/27 (0.889)</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13/45 (0.289)</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0.528</w:t>
            </w:r>
          </w:p>
        </w:tc>
        <w:tc>
          <w:tcPr>
            <w:tcW w:type="dxa" w:w="10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w:t>
            </w:r>
          </w:p>
        </w:tc>
      </w:tr>
      <w:tr>
        <w:trPr>
          <w:cantSplit/>
        </w:trPr>
        <w:tc>
          <w:tcPr>
            <w:tcW w:type="dxa" w:w="1900"/>
            <w:tcMar>
              <w:top w:w="60" w:type="dxa"/>
              <w:start w:w="80" w:type="dxa"/>
              <w:bottom w:w="60" w:type="dxa"/>
              <w:end w:w="80" w:type="dxa"/>
            </w:tcMar>
            <w:vAlign w:val="center"/>
          </w:tcPr>
          <w:p>
            <w:pPr>
              <w:spacing w:after="0" w:line="240" w:lineRule="auto"/>
              <w:jc w:val="left"/>
            </w:pPr>
            <w:r>
              <w:rPr>
                <w:rFonts w:ascii="Times New Roman" w:hAnsi="Times New Roman" w:eastAsia="Times New Roman"/>
                <w:b w:val="0"/>
                <w:i w:val="0"/>
                <w:sz w:val="16"/>
              </w:rPr>
              <w:t>No correlation uplift</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26/27 (0.963)</w:t>
            </w:r>
          </w:p>
        </w:tc>
        <w:tc>
          <w:tcPr>
            <w:tcW w:type="dxa" w:w="15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14/45 (0.311)</w:t>
            </w:r>
          </w:p>
        </w:tc>
        <w:tc>
          <w:tcPr>
            <w:tcW w:type="dxa" w:w="1000"/>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0.606</w:t>
            </w:r>
          </w:p>
        </w:tc>
        <w:tc>
          <w:tcPr>
            <w:tcW w:type="dxa" w:w="1017"/>
            <w:tcMar>
              <w:top w:w="60" w:type="dxa"/>
              <w:start w:w="80" w:type="dxa"/>
              <w:bottom w:w="60" w:type="dxa"/>
              <w:end w:w="80" w:type="dxa"/>
            </w:tcMar>
            <w:vAlign w:val="center"/>
          </w:tcPr>
          <w:p>
            <w:pPr>
              <w:spacing w:after="0" w:line="240" w:lineRule="auto"/>
              <w:jc w:val="center"/>
            </w:pPr>
            <w:r>
              <w:rPr>
                <w:rFonts w:ascii="Times New Roman" w:hAnsi="Times New Roman" w:eastAsia="Times New Roman"/>
                <w:b w:val="0"/>
                <w:i w:val="0"/>
                <w:sz w:val="16"/>
              </w:rPr>
              <w:t>0</w:t>
            </w:r>
          </w:p>
        </w:tc>
      </w:tr>
    </w:tbl>
    <w:p>
      <w:pPr>
        <w:keepLines w:val="0"/>
        <w:spacing w:before="0" w:after="20" w:line="240" w:lineRule="auto"/>
        <w:jc w:val="both"/>
      </w:pPr>
    </w:p>
    <w:p>
      <w:pPr>
        <w:pStyle w:val="Heading1"/>
      </w:pPr>
      <w:r>
        <w:rPr>
          <w:rFonts w:ascii="Times New Roman" w:hAnsi="Times New Roman" w:eastAsia="Times New Roman"/>
          <w:b/>
          <w:i w:val="0"/>
          <w:sz w:val="24"/>
        </w:rPr>
        <w:t>7 Discussion</w:t>
      </w:r>
    </w:p>
    <w:p>
      <w:pPr>
        <w:pStyle w:val="Heading2"/>
      </w:pPr>
      <w:r>
        <w:rPr>
          <w:rFonts w:ascii="Times New Roman" w:hAnsi="Times New Roman" w:eastAsia="Times New Roman"/>
          <w:b/>
          <w:i w:val="0"/>
          <w:sz w:val="20"/>
        </w:rPr>
        <w:t>7.1 What the Result Supports</w:t>
      </w:r>
    </w:p>
    <w:p>
      <w:pPr>
        <w:keepLines w:val="0"/>
        <w:spacing w:before="0" w:after="80" w:line="240" w:lineRule="auto"/>
        <w:jc w:val="both"/>
      </w:pPr>
      <w:r>
        <w:rPr>
          <w:rFonts w:ascii="Times New Roman" w:hAnsi="Times New Roman" w:eastAsia="Times New Roman"/>
          <w:b w:val="0"/>
          <w:i w:val="0"/>
          <w:sz w:val="20"/>
        </w:rPr>
        <w:t>The design result supports a limited statement: on the exposed cases, RAER v2 occupied a useful descriptive harm-cost position and eliminated the authorization failure category targeted by its safeguard, but it did not meet the registered completion requirement under domain-held-out selection. This is evidence about method behavior and evaluation discipline, not evidence that v2 is generally effective or deployment-ready.</w:t>
      </w:r>
    </w:p>
    <w:p>
      <w:pPr>
        <w:keepLines w:val="0"/>
        <w:spacing w:before="0" w:after="80" w:line="240" w:lineRule="auto"/>
        <w:jc w:val="both"/>
      </w:pPr>
      <w:r>
        <w:rPr>
          <w:rFonts w:ascii="Times New Roman" w:hAnsi="Times New Roman" w:eastAsia="Times New Roman"/>
          <w:b w:val="0"/>
          <w:i w:val="0"/>
          <w:sz w:val="20"/>
        </w:rPr>
        <w:t>The most informative finding is the separation between pooled fit and cross-domain transfer. All six inner selections were eligible, yet two outer domains each contributed a false block. The eligibility threshold was evaluated on pooled inner-domain valid cases, allowing λ_A=0.50 to sit barely above the discrete completion boundary in training while failing on one valid case in the omitted domain. The safe-completion constraint therefore controlled average inner performance but not worst-domain stability.</w:t>
      </w:r>
    </w:p>
    <w:p>
      <w:pPr>
        <w:keepLines w:val="0"/>
        <w:spacing w:before="0" w:after="80" w:line="240" w:lineRule="auto"/>
        <w:jc w:val="both"/>
      </w:pPr>
      <w:r>
        <w:rPr>
          <w:rFonts w:ascii="Times New Roman" w:hAnsi="Times New Roman" w:eastAsia="Times New Roman"/>
          <w:b w:val="0"/>
          <w:i w:val="0"/>
          <w:sz w:val="20"/>
        </w:rPr>
        <w:t>Authorization behaved differently. The prespecified mandatory-check rule eliminated triggered-authorization harms out of fold, and its removal produced seven such harms in the fitted ablation. Although this comparison is non-confirmatory, the mechanism is directly interpretable: the unconstrained objective can prefer a cheaper subset that ignores authorization, whereas the safeguard prohibits that omission when sensitivity and q_iw_i cross the threshold.</w:t>
      </w:r>
    </w:p>
    <w:p>
      <w:pPr>
        <w:pStyle w:val="Heading2"/>
      </w:pPr>
      <w:r>
        <w:rPr>
          <w:rFonts w:ascii="Times New Roman" w:hAnsi="Times New Roman" w:eastAsia="Times New Roman"/>
          <w:b/>
          <w:i w:val="0"/>
          <w:sz w:val="20"/>
        </w:rPr>
        <w:t>7.2 Why the Negative Gate Matters</w:t>
      </w:r>
    </w:p>
    <w:p>
      <w:pPr>
        <w:keepLines w:val="0"/>
        <w:spacing w:before="0" w:after="80" w:line="240" w:lineRule="auto"/>
        <w:jc w:val="both"/>
      </w:pPr>
      <w:r>
        <w:rPr>
          <w:rFonts w:ascii="Times New Roman" w:hAnsi="Times New Roman" w:eastAsia="Times New Roman"/>
          <w:b w:val="0"/>
          <w:i w:val="0"/>
          <w:sz w:val="20"/>
        </w:rPr>
        <w:t>A conventional results narrative might emphasize the reduction from 18 to 14 harmful actions and the 31.6% lower mean validation cost relative to FIXED_0.20. That narrative would conceal the operational cost of two unnecessary blocks and would ignore that 92.6% fell below a threshold fixed before inspection. The all-required gate prevents a multi-objective method from being declared successful by selecting whichever outcome moved favorably after the fact.</w:t>
      </w:r>
    </w:p>
    <w:p>
      <w:pPr>
        <w:keepLines w:val="0"/>
        <w:spacing w:before="0" w:after="80" w:line="240" w:lineRule="auto"/>
        <w:jc w:val="both"/>
      </w:pPr>
      <w:r>
        <w:rPr>
          <w:rFonts w:ascii="Times New Roman" w:hAnsi="Times New Roman" w:eastAsia="Times New Roman"/>
          <w:b w:val="0"/>
          <w:i w:val="0"/>
          <w:sz w:val="20"/>
        </w:rPr>
        <w:t>Preserving the sealed test set is also a research asset. Opening the 24 labels after a failed design gate would yield an easily overinterpreted, low-powered result and would remove those cases from future confirmatory use. The negative design result instead documents a precise defect—cross-domain completion instability—without spending the remaining evaluation resource.</w:t>
      </w:r>
    </w:p>
    <w:p>
      <w:pPr>
        <w:pStyle w:val="Heading2"/>
      </w:pPr>
      <w:r>
        <w:rPr>
          <w:rFonts w:ascii="Times New Roman" w:hAnsi="Times New Roman" w:eastAsia="Times New Roman"/>
          <w:b/>
          <w:i w:val="0"/>
          <w:sz w:val="20"/>
        </w:rPr>
        <w:t>7.3 Implications for a Separately Registered Successor</w:t>
      </w:r>
    </w:p>
    <w:p>
      <w:pPr>
        <w:keepLines w:val="0"/>
        <w:spacing w:before="0" w:after="80" w:line="240" w:lineRule="auto"/>
        <w:jc w:val="both"/>
      </w:pPr>
      <w:r>
        <w:rPr>
          <w:rFonts w:ascii="Times New Roman" w:hAnsi="Times New Roman" w:eastAsia="Times New Roman"/>
          <w:b w:val="0"/>
          <w:i w:val="0"/>
          <w:sz w:val="20"/>
        </w:rPr>
        <w:t>The present data suggest three prospective changes, none of which is part of v2. A successor could enforce worst-domain or lower-confidence-bound completion during inner selection, separate the evidence-subset objective from the final act/abstain threshold, and penalize configuration instability across inner domains. Such changes must be registered as a new method and evaluated first on newly constructed design cases. Reusing the current 72 cases alone to tune until the gate passes would convert the reported failure into outcome-driven optimization.</w:t>
      </w:r>
    </w:p>
    <w:p>
      <w:pPr>
        <w:keepLines w:val="0"/>
        <w:spacing w:before="0" w:after="80" w:line="240" w:lineRule="auto"/>
        <w:jc w:val="both"/>
      </w:pPr>
      <w:r>
        <w:rPr>
          <w:rFonts w:ascii="Times New Roman" w:hAnsi="Times New Roman" w:eastAsia="Times New Roman"/>
          <w:b w:val="0"/>
          <w:i w:val="0"/>
          <w:sz w:val="20"/>
        </w:rPr>
        <w:t>The authorization safeguard should be retained unless new evidence contradicts its benefit. Bounded slack also appears consequential: removing it reduced completion by two additional valid cases, although it modestly improved harm and cost. The correlation uplift, by contrast, warrants either a more sensitive benchmark stratum or removal in a future registered ablation because its current aggregate effect was zero.</w:t>
      </w:r>
    </w:p>
    <w:p>
      <w:pPr>
        <w:pStyle w:val="Heading1"/>
      </w:pPr>
      <w:r>
        <w:rPr>
          <w:rFonts w:ascii="Times New Roman" w:hAnsi="Times New Roman" w:eastAsia="Times New Roman"/>
          <w:b/>
          <w:i w:val="0"/>
          <w:sz w:val="24"/>
        </w:rPr>
        <w:t>8 Threats to Validity</w:t>
      </w:r>
    </w:p>
    <w:p>
      <w:pPr>
        <w:pStyle w:val="Heading2"/>
      </w:pPr>
      <w:r>
        <w:rPr>
          <w:rFonts w:ascii="Times New Roman" w:hAnsi="Times New Roman" w:eastAsia="Times New Roman"/>
          <w:b/>
          <w:i w:val="0"/>
          <w:sz w:val="20"/>
        </w:rPr>
        <w:t>8.1 Construct Validity</w:t>
      </w:r>
    </w:p>
    <w:p>
      <w:pPr>
        <w:keepLines w:val="0"/>
        <w:spacing w:before="0" w:after="80" w:line="240" w:lineRule="auto"/>
        <w:jc w:val="both"/>
      </w:pPr>
      <w:r>
        <w:rPr>
          <w:rFonts w:ascii="Times New Roman" w:hAnsi="Times New Roman" w:eastAsia="Times New Roman"/>
          <w:b w:val="0"/>
          <w:i w:val="0"/>
          <w:sz w:val="20"/>
        </w:rPr>
        <w:t>Harm, criticality, cost, and authorization sensitivity are rubric-derived proxies. E0 is monotone and interpretable but is not a calibrated probability model for any deployed organization. The 0.01 verifier floor, 0.20 correlation uplift, and normalized K/5 costs are design conventions. Results therefore compare policies within the constructed benchmark; they do not estimate real incident probability, financial loss, latency, or human workload.</w:t>
      </w:r>
    </w:p>
    <w:p>
      <w:pPr>
        <w:pStyle w:val="Heading2"/>
      </w:pPr>
      <w:r>
        <w:rPr>
          <w:rFonts w:ascii="Times New Roman" w:hAnsi="Times New Roman" w:eastAsia="Times New Roman"/>
          <w:b/>
          <w:i w:val="0"/>
          <w:sz w:val="20"/>
        </w:rPr>
        <w:t>8.2 Internal Validity</w:t>
      </w:r>
    </w:p>
    <w:p>
      <w:pPr>
        <w:keepLines w:val="0"/>
        <w:spacing w:before="0" w:after="80" w:line="240" w:lineRule="auto"/>
        <w:jc w:val="both"/>
      </w:pPr>
      <w:r>
        <w:rPr>
          <w:rFonts w:ascii="Times New Roman" w:hAnsi="Times New Roman" w:eastAsia="Times New Roman"/>
          <w:b w:val="0"/>
          <w:i w:val="0"/>
          <w:sz w:val="20"/>
        </w:rPr>
        <w:t>Reviewer-visible features and investigator labels were separated, selection was deterministic, and hashes bind code to inputs. Nevertheless, scenario authors determined the state transitions and rubric anchors. Pattern leakage was reduced through multiple candidate rewrites, identifier/topology checks, and blinded review, but cannot be ruled out completely. The two model-based reviewers may share training-data and reasoning biases; their agreement is AI–AI consistency, not human reliability.</w:t>
      </w:r>
    </w:p>
    <w:p>
      <w:pPr>
        <w:pStyle w:val="Heading2"/>
      </w:pPr>
      <w:r>
        <w:rPr>
          <w:rFonts w:ascii="Times New Roman" w:hAnsi="Times New Roman" w:eastAsia="Times New Roman"/>
          <w:b/>
          <w:i w:val="0"/>
          <w:sz w:val="20"/>
        </w:rPr>
        <w:t>8.3 External and Statistical Validity</w:t>
      </w:r>
    </w:p>
    <w:p>
      <w:pPr>
        <w:keepLines w:val="0"/>
        <w:spacing w:before="0" w:after="80" w:line="240" w:lineRule="auto"/>
        <w:jc w:val="both"/>
      </w:pPr>
      <w:r>
        <w:rPr>
          <w:rFonts w:ascii="Times New Roman" w:hAnsi="Times New Roman" w:eastAsia="Times New Roman"/>
          <w:b w:val="0"/>
          <w:i w:val="0"/>
          <w:sz w:val="20"/>
        </w:rPr>
        <w:t>The benchmark has six domains, 96 cases, and exactly three prerequisites per case. The v2 design result uses only 72 exposed cases, of which 27 are all-valid. With this denominator, completion changes in increments of 3.7 percentage points, and the descriptive bootstrap interval is wide. No operational deployment, external dataset, latency measurement, or independent human-domain evaluation is included. Generalization beyond the benchmark is unsupported.</w:t>
      </w:r>
    </w:p>
    <w:p>
      <w:pPr>
        <w:pStyle w:val="Heading2"/>
      </w:pPr>
      <w:r>
        <w:rPr>
          <w:rFonts w:ascii="Times New Roman" w:hAnsi="Times New Roman" w:eastAsia="Times New Roman"/>
          <w:b/>
          <w:i w:val="0"/>
          <w:sz w:val="20"/>
        </w:rPr>
        <w:t>8.4 Novelty and Publication Validity</w:t>
      </w:r>
    </w:p>
    <w:p>
      <w:pPr>
        <w:keepLines w:val="0"/>
        <w:spacing w:before="0" w:after="80" w:line="240" w:lineRule="auto"/>
        <w:jc w:val="both"/>
      </w:pPr>
      <w:r>
        <w:rPr>
          <w:rFonts w:ascii="Times New Roman" w:hAnsi="Times New Roman" w:eastAsia="Times New Roman"/>
          <w:b w:val="0"/>
          <w:i w:val="0"/>
          <w:sz w:val="20"/>
        </w:rPr>
        <w:t>The novelty audit screened 25 close works and was updated after locating BCEA, which narrows the contribution materially. The audit is not a systematic review, patent search, or guarantee of conceptual uniqueness. The manuscript reports v1 and v2 failures to avoid selective history. It must not be described as validating RAER, proving superiority, or establishing production readiness.</w:t>
      </w:r>
    </w:p>
    <w:p>
      <w:pPr>
        <w:pStyle w:val="Heading1"/>
      </w:pPr>
      <w:r>
        <w:rPr>
          <w:rFonts w:ascii="Times New Roman" w:hAnsi="Times New Roman" w:eastAsia="Times New Roman"/>
          <w:b/>
          <w:i w:val="0"/>
          <w:sz w:val="24"/>
        </w:rPr>
        <w:t>9 Reproducibility and Research Integrity</w:t>
      </w:r>
    </w:p>
    <w:p>
      <w:pPr>
        <w:keepLines w:val="0"/>
        <w:spacing w:before="0" w:after="80" w:line="240" w:lineRule="auto"/>
        <w:jc w:val="both"/>
      </w:pPr>
      <w:r>
        <w:rPr>
          <w:rFonts w:ascii="Times New Roman" w:hAnsi="Times New Roman" w:eastAsia="Times New Roman"/>
          <w:b w:val="0"/>
          <w:i w:val="0"/>
          <w:sz w:val="20"/>
        </w:rPr>
        <w:t>The research package preserves the scenario provenance register, reviewer-visible release, investigator vault, split manifest, scoring and adjudication outputs, v1 and v2 protocols, versioned evaluators, boundary tests, raw policy outcomes, bootstrap seed, pre-execution locks, and additive closure manifests. Eight v2 implementation tests cover configuration count, deterministic selection, slack equality and exceedance, authorization requirements, invalid-check override, action behavior, and summary denominators. The v2 design closure verifies 15 artifacts by SHA-256 and records that held-out labels were not accessed.</w:t>
      </w:r>
    </w:p>
    <w:p>
      <w:pPr>
        <w:keepLines w:val="0"/>
        <w:spacing w:before="0" w:after="80" w:line="240" w:lineRule="auto"/>
        <w:jc w:val="both"/>
      </w:pPr>
      <w:r>
        <w:rPr>
          <w:rFonts w:ascii="Times New Roman" w:hAnsi="Times New Roman" w:eastAsia="Times New Roman"/>
          <w:b w:val="0"/>
          <w:i w:val="0"/>
          <w:sz w:val="20"/>
        </w:rPr>
        <w:t>A public artifact should include reviewer-visible cases, schemas, rubrics, code, tests, released design labels where ethically and contractually permitted, raw design outcomes, and verification scripts. The coordinator workbook and unreleased test labels must remain restricted. File paths, usernames, organizational identifiers, and internal metadata must be removed before release. A claim-to-evidence ledger and citation log should accompany the camera-ready manuscript.</w:t>
      </w:r>
    </w:p>
    <w:p>
      <w:pPr>
        <w:pStyle w:val="Heading1"/>
      </w:pPr>
      <w:r>
        <w:rPr>
          <w:rFonts w:ascii="Times New Roman" w:hAnsi="Times New Roman" w:eastAsia="Times New Roman"/>
          <w:b/>
          <w:i w:val="0"/>
          <w:sz w:val="24"/>
        </w:rPr>
        <w:t>Acknowledgements</w:t>
      </w:r>
    </w:p>
    <w:p>
      <w:pPr>
        <w:keepLines w:val="0"/>
        <w:spacing w:before="0" w:after="80" w:line="240" w:lineRule="auto"/>
        <w:jc w:val="both"/>
      </w:pPr>
      <w:r>
        <w:rPr>
          <w:rFonts w:ascii="Times New Roman" w:hAnsi="Times New Roman" w:eastAsia="Times New Roman"/>
          <w:b/>
          <w:i w:val="0"/>
          <w:sz w:val="20"/>
        </w:rPr>
        <w:t xml:space="preserve">Use of generative AI. </w:t>
      </w:r>
      <w:r>
        <w:rPr>
          <w:rFonts w:ascii="Times New Roman" w:hAnsi="Times New Roman" w:eastAsia="Times New Roman"/>
          <w:b w:val="0"/>
          <w:i w:val="0"/>
          <w:sz w:val="20"/>
        </w:rPr>
        <w:t>Generative AI systems assisted with scenario-clarity stress testing, code scaffolding, and manuscript organization. Model-based review outputs were treated as synthetic methodological checks, not human judgments or substitutes for domain-expert validation. The human authors reviewed the disclosed uses, remain responsible for verifying every scenario, result, citation, and statement, and accept full accountability for the submitted version. No generative-AI image is included.</w:t>
      </w:r>
    </w:p>
    <w:p>
      <w:pPr>
        <w:pStyle w:val="Heading1"/>
      </w:pPr>
      <w:r>
        <w:rPr>
          <w:rFonts w:ascii="Times New Roman" w:hAnsi="Times New Roman" w:eastAsia="Times New Roman"/>
          <w:b/>
          <w:i w:val="0"/>
          <w:sz w:val="24"/>
        </w:rPr>
        <w:t>Disclosure of Interests</w:t>
      </w:r>
    </w:p>
    <w:p>
      <w:pPr>
        <w:keepLines w:val="0"/>
        <w:spacing w:before="0" w:after="80" w:line="240" w:lineRule="auto"/>
        <w:jc w:val="both"/>
      </w:pPr>
      <w:r>
        <w:rPr>
          <w:rFonts w:ascii="Times New Roman" w:hAnsi="Times New Roman" w:eastAsia="Times New Roman"/>
          <w:b w:val="0"/>
          <w:i w:val="0"/>
          <w:sz w:val="20"/>
        </w:rPr>
        <w:t>The authors have no competing interests to declare that are relevant to the content of this article.</w:t>
      </w:r>
    </w:p>
    <w:p>
      <w:pPr>
        <w:pStyle w:val="Heading1"/>
      </w:pPr>
      <w:r>
        <w:rPr>
          <w:rFonts w:ascii="Times New Roman" w:hAnsi="Times New Roman" w:eastAsia="Times New Roman"/>
          <w:b/>
          <w:i w:val="0"/>
          <w:sz w:val="24"/>
        </w:rPr>
        <w:t>10 Conclusion</w:t>
      </w:r>
    </w:p>
    <w:p>
      <w:pPr>
        <w:keepLines w:val="0"/>
        <w:spacing w:before="0" w:after="80" w:line="240" w:lineRule="auto"/>
        <w:jc w:val="both"/>
      </w:pPr>
      <w:r>
        <w:rPr>
          <w:rFonts w:ascii="Times New Roman" w:hAnsi="Times New Roman" w:eastAsia="Times New Roman"/>
          <w:b w:val="0"/>
          <w:i w:val="0"/>
          <w:sz w:val="20"/>
        </w:rPr>
        <w:t>RAER v2 formalized pre-action evidence revalidation as an abstention-aware, authorization-sensitive selection problem under validation budgets. On exposed design data, it reduced harmful action and validation cost relative to FIXED_0.20 and eliminated the targeted authorization failure category. It nevertheless completed only 25 of 27 valid cases, below the prospectively required 95%. The method therefore failed its design gate, and the held-out partition remains sealed.</w:t>
      </w:r>
    </w:p>
    <w:p>
      <w:pPr>
        <w:keepLines w:val="0"/>
        <w:spacing w:before="0" w:after="80" w:line="240" w:lineRule="auto"/>
        <w:jc w:val="both"/>
      </w:pPr>
      <w:r>
        <w:rPr>
          <w:rFonts w:ascii="Times New Roman" w:hAnsi="Times New Roman" w:eastAsia="Times New Roman"/>
          <w:b w:val="0"/>
          <w:i w:val="0"/>
          <w:sz w:val="20"/>
        </w:rPr>
        <w:t>This outcome does not invalidate the research procedure. It refutes the prespecified claim that the current v2 selection procedure met all design requirements. The resulting contribution is a reproducible method and negative design-stage finding: favorable safety-cost summaries can coexist with insufficient cross-domain completion. A future version must address that instability prospectively on new design cases rather than revise v2 after observing its failure.</w:t>
      </w:r>
    </w:p>
    <w:p>
      <w:pPr>
        <w:pStyle w:val="Heading1"/>
      </w:pPr>
      <w:r>
        <w:rPr>
          <w:rFonts w:ascii="Times New Roman" w:hAnsi="Times New Roman" w:eastAsia="Times New Roman"/>
          <w:b/>
          <w:i w:val="0"/>
          <w:sz w:val="24"/>
        </w:rPr>
        <w:t>References</w:t>
      </w:r>
    </w:p>
    <w:p>
      <w:pPr>
        <w:spacing w:after="40" w:line="240" w:lineRule="auto"/>
        <w:ind w:left="283" w:hanging="283"/>
      </w:pPr>
      <w:r>
        <w:rPr>
          <w:rFonts w:ascii="Times New Roman" w:hAnsi="Times New Roman" w:eastAsia="Times New Roman"/>
          <w:b w:val="0"/>
          <w:i w:val="0"/>
          <w:sz w:val="18"/>
        </w:rPr>
        <w:t>1. Franc, V., Prusa, D., Voracek, V.: Optimal strategies for reject option classifiers. Journal of Machine Learning Research 24(11), 1–49 (2023)</w:t>
      </w:r>
    </w:p>
    <w:p>
      <w:pPr>
        <w:spacing w:after="40" w:line="240" w:lineRule="auto"/>
        <w:ind w:left="283" w:hanging="283"/>
      </w:pPr>
      <w:r>
        <w:rPr>
          <w:rFonts w:ascii="Times New Roman" w:hAnsi="Times New Roman" w:eastAsia="Times New Roman"/>
          <w:b w:val="0"/>
          <w:i w:val="0"/>
          <w:sz w:val="18"/>
        </w:rPr>
        <w:t>2. Shim, H., Hwang, S.J., Yang, E.: Joint active feature acquisition and classification with variable-size set encoding. In: Advances in Neural Information Processing Systems 31 (2018)</w:t>
      </w:r>
    </w:p>
    <w:p>
      <w:pPr>
        <w:spacing w:after="40" w:line="240" w:lineRule="auto"/>
        <w:ind w:left="283" w:hanging="283"/>
      </w:pPr>
      <w:r>
        <w:rPr>
          <w:rFonts w:ascii="Times New Roman" w:hAnsi="Times New Roman" w:eastAsia="Times New Roman"/>
          <w:b w:val="0"/>
          <w:i w:val="0"/>
          <w:sz w:val="18"/>
        </w:rPr>
        <w:t>3. Li, Y., Oliva, J.: Towards cost sensitive decision making. In: Proceedings of the 28th International Conference on Artificial Intelligence and Statistics. PMLR 258, 3601–3609 (2025)</w:t>
      </w:r>
    </w:p>
    <w:p>
      <w:pPr>
        <w:spacing w:after="40" w:line="240" w:lineRule="auto"/>
        <w:ind w:left="283" w:hanging="283"/>
      </w:pPr>
      <w:r>
        <w:rPr>
          <w:rFonts w:ascii="Times New Roman" w:hAnsi="Times New Roman" w:eastAsia="Times New Roman"/>
          <w:b w:val="0"/>
          <w:i w:val="0"/>
          <w:sz w:val="18"/>
        </w:rPr>
        <w:t>4. Xu, J., Wu, Y., Zeng, D., Paisley, J., Zhao, Q.: Look again before you abstain: budgeted conformal evidence acquisition for reliable vision-language model. arXiv:2606.16667 (2026). doi:10.48550/arXiv.2606.16667</w:t>
      </w:r>
    </w:p>
    <w:p>
      <w:pPr>
        <w:spacing w:after="40" w:line="240" w:lineRule="auto"/>
        <w:ind w:left="283" w:hanging="283"/>
      </w:pPr>
      <w:r>
        <w:rPr>
          <w:rFonts w:ascii="Times New Roman" w:hAnsi="Times New Roman" w:eastAsia="Times New Roman"/>
          <w:b w:val="0"/>
          <w:i w:val="0"/>
          <w:sz w:val="18"/>
        </w:rPr>
        <w:t>5. Chao, H., Bai, Y., Sheng, R., Li, T., Sun, Y.: STALE: Can LLM agents know when their memories are no longer valid? arXiv:2605.06527 (2026). doi:10.48550/arXiv.2605.06527</w:t>
      </w:r>
    </w:p>
    <w:p>
      <w:pPr>
        <w:spacing w:after="40" w:line="240" w:lineRule="auto"/>
        <w:ind w:left="283" w:hanging="283"/>
      </w:pPr>
      <w:r>
        <w:rPr>
          <w:rFonts w:ascii="Times New Roman" w:hAnsi="Times New Roman" w:eastAsia="Times New Roman"/>
          <w:b w:val="0"/>
          <w:i w:val="0"/>
          <w:sz w:val="18"/>
        </w:rPr>
        <w:t>6. Tao, Z., et al.: MemConflict: Evaluating long-term memory systems under memory conflicts. arXiv:2605.20926 (2026). doi:10.48550/arXiv.2605.20926</w:t>
      </w:r>
    </w:p>
    <w:p>
      <w:pPr>
        <w:spacing w:after="40" w:line="240" w:lineRule="auto"/>
        <w:ind w:left="283" w:hanging="283"/>
      </w:pPr>
      <w:r>
        <w:rPr>
          <w:rFonts w:ascii="Times New Roman" w:hAnsi="Times New Roman" w:eastAsia="Times New Roman"/>
          <w:b w:val="0"/>
          <w:i w:val="0"/>
          <w:sz w:val="18"/>
        </w:rPr>
        <w:t>7. Liu, X., et al.: AgentAbstain: Do LLM agents know when not to act? arXiv:2607.10059 (2026). doi:10.48550/arXiv.2607.10059</w:t>
      </w:r>
    </w:p>
    <w:p>
      <w:pPr>
        <w:spacing w:after="40" w:line="240" w:lineRule="auto"/>
        <w:ind w:left="283" w:hanging="283"/>
      </w:pPr>
      <w:r>
        <w:rPr>
          <w:rFonts w:ascii="Times New Roman" w:hAnsi="Times New Roman" w:eastAsia="Times New Roman"/>
          <w:b w:val="0"/>
          <w:i w:val="0"/>
          <w:sz w:val="18"/>
        </w:rPr>
        <w:t>8. Luo, H., Wen, B., Wang, L.L.: Agentic abstention: Do agents know when to stop instead of act? arXiv:2606.28733 (2026). doi:10.48550/arXiv.2606.28733</w:t>
      </w:r>
    </w:p>
    <w:p>
      <w:pPr>
        <w:spacing w:after="40" w:line="240" w:lineRule="auto"/>
        <w:ind w:left="283" w:hanging="283"/>
      </w:pPr>
      <w:r>
        <w:rPr>
          <w:rFonts w:ascii="Times New Roman" w:hAnsi="Times New Roman" w:eastAsia="Times New Roman"/>
          <w:b w:val="0"/>
          <w:i w:val="0"/>
          <w:sz w:val="18"/>
        </w:rPr>
        <w:t>9. Liu, Y., et al.: ToolGate: Contract-grounded and verified tool execution for LLMs. arXiv:2601.04688 (2026). doi:10.48550/arXiv.2601.04688</w:t>
      </w:r>
    </w:p>
    <w:p>
      <w:pPr>
        <w:spacing w:after="40" w:line="240" w:lineRule="auto"/>
        <w:ind w:left="283" w:hanging="283"/>
      </w:pPr>
      <w:r>
        <w:rPr>
          <w:rFonts w:ascii="Times New Roman" w:hAnsi="Times New Roman" w:eastAsia="Times New Roman"/>
          <w:b w:val="0"/>
          <w:i w:val="0"/>
          <w:sz w:val="18"/>
        </w:rPr>
        <w:t>10. Winston, C., Winston, C., Just, R.: Solver-aided verification of policy compliance in tool-augmented LLM agents. arXiv:2603.20449 (2026). doi:10.48550/arXiv.2603.20449</w:t>
      </w:r>
    </w:p>
    <w:p>
      <w:pPr>
        <w:spacing w:after="40" w:line="240" w:lineRule="auto"/>
        <w:ind w:left="283" w:hanging="283"/>
      </w:pPr>
      <w:r>
        <w:rPr>
          <w:rFonts w:ascii="Times New Roman" w:hAnsi="Times New Roman" w:eastAsia="Times New Roman"/>
          <w:b w:val="0"/>
          <w:i w:val="0"/>
          <w:sz w:val="18"/>
        </w:rPr>
        <w:t>11. Ruan, Y., et al.: Identifying the risks of LM agents with an LM-emulated sandbox. arXiv:2309.15817 (2024). doi:10.48550/arXiv.2309.15817</w:t>
      </w:r>
    </w:p>
    <w:p>
      <w:pPr>
        <w:spacing w:after="40" w:line="240" w:lineRule="auto"/>
        <w:ind w:left="283" w:hanging="283"/>
      </w:pPr>
      <w:r>
        <w:rPr>
          <w:rFonts w:ascii="Times New Roman" w:hAnsi="Times New Roman" w:eastAsia="Times New Roman"/>
          <w:b w:val="0"/>
          <w:i w:val="0"/>
          <w:sz w:val="18"/>
        </w:rPr>
        <w:t>12. Yao, S., Shinn, N., Razavi, P., Narasimhan, K.: tau-bench: A benchmark for tool-agent-user interaction in real-world domains. arXiv:2406.12045 (2024). doi:10.48550/arXiv.2406.12045</w:t>
      </w:r>
    </w:p>
    <w:p>
      <w:pPr>
        <w:spacing w:after="40" w:line="240" w:lineRule="auto"/>
        <w:ind w:left="283" w:hanging="283"/>
      </w:pPr>
      <w:r>
        <w:rPr>
          <w:rFonts w:ascii="Times New Roman" w:hAnsi="Times New Roman" w:eastAsia="Times New Roman"/>
          <w:b w:val="0"/>
          <w:i w:val="0"/>
          <w:sz w:val="18"/>
        </w:rPr>
        <w:t>13. Lu, J., Holleis, T., Zhang, Y., et al.: ToolSandbox: A stateful, conversational, interactive evaluation benchmark for LLM tool use capabilities. arXiv:2408.04682 (2025). doi:10.48550/arXiv.2408.04682</w:t>
      </w:r>
    </w:p>
    <w:p>
      <w:pPr>
        <w:spacing w:after="40" w:line="240" w:lineRule="auto"/>
        <w:ind w:left="283" w:hanging="283"/>
      </w:pPr>
      <w:r>
        <w:rPr>
          <w:rFonts w:ascii="Times New Roman" w:hAnsi="Times New Roman" w:eastAsia="Times New Roman"/>
          <w:b w:val="0"/>
          <w:i w:val="0"/>
          <w:sz w:val="18"/>
        </w:rPr>
        <w:t>14. Zhang, Z., et al.: Agent-SafetyBench: Evaluating the safety of LLM agents. arXiv:2412.14470 (2025). doi:10.48550/arXiv.2412.14470</w:t>
      </w:r>
    </w:p>
    <w:p>
      <w:pPr>
        <w:spacing w:after="40" w:line="240" w:lineRule="auto"/>
        <w:ind w:left="283" w:hanging="283"/>
      </w:pPr>
      <w:r>
        <w:rPr>
          <w:rFonts w:ascii="Times New Roman" w:hAnsi="Times New Roman" w:eastAsia="Times New Roman"/>
          <w:b w:val="0"/>
          <w:i w:val="0"/>
          <w:sz w:val="18"/>
        </w:rPr>
        <w:t>15. Mou, Y., et al.: ToolSafe: Enhancing tool invocation safety of LLM-based agents via proactive step-level guardrail and feedback. arXiv:2601.10156 (2026). doi:10.48550/arXiv.2601.10156</w:t>
      </w:r>
    </w:p>
    <w:p>
      <w:pPr>
        <w:spacing w:after="40" w:line="240" w:lineRule="auto"/>
        <w:ind w:left="283" w:hanging="283"/>
      </w:pPr>
      <w:r>
        <w:rPr>
          <w:rFonts w:ascii="Times New Roman" w:hAnsi="Times New Roman" w:eastAsia="Times New Roman"/>
          <w:b w:val="0"/>
          <w:i w:val="0"/>
          <w:sz w:val="18"/>
        </w:rPr>
        <w:t>16. Liu, H., Ilyushin, E., Ni, J., Zhu, M.: SafeAgent: A runtime protection architecture for agentic systems. arXiv:2604.17562 (2026). doi:10.48550/arXiv.2604.17562</w:t>
      </w:r>
    </w:p>
    <w:sectPr>
      <w:headerReference w:type="default" r:id="rId9"/>
      <w:footerReference w:type="default" r:id="rId10"/>
      <w:pgSz w:w="8787" w:h="13323"/>
      <w:pgMar w:top="1134" w:right="935" w:bottom="1247"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0"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283" w:hanging="170"/>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283" w:hanging="170"/>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Risk-Adaptive Evidence Revalidation for Consequential Tool Actions</dc:title>
  <dc:subject>Anonymous full-paper submission for ThinkAI 2026</dc:subject>
  <dc:creator/>
  <cp:keywords/>
  <dc:description>Anonymous review manuscript</dc:description>
  <cp:lastModifiedBy/>
  <cp:revision>1</cp:revision>
  <dcterms:created xsi:type="dcterms:W3CDTF">2013-12-23T23:15:00Z</dcterms:created>
  <dcterms:modified xsi:type="dcterms:W3CDTF">2013-12-23T23:15:00Z</dcterms:modified>
  <cp:category/>
</cp:coreProperties>
</file>