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488"/>
      </w:tblGrid>
      <w:tr>
        <w:tc>
          <w:tcPr>
            <w:tcW w:type="dxa" w:w="10488"/>
            <w:shd w:fill="202020"/>
            <w:tcMar>
              <w:top w:w="420" w:type="dxa"/>
              <w:start w:w="260" w:type="dxa"/>
              <w:bottom w:w="360" w:type="dxa"/>
              <w:end w:w="260" w:type="dxa"/>
            </w:tcMar>
          </w:tcPr>
          <w:p>
            <w:pPr>
              <w:keepNext w:val="0"/>
              <w:spacing w:before="0" w:after="80" w:line="240" w:lineRule="auto"/>
            </w:pPr>
            <w:r>
              <w:rPr>
                <w:rFonts w:ascii="Arial" w:hAnsi="Arial"/>
                <w:b/>
                <w:i w:val="0"/>
                <w:color w:val="FFFFFF"/>
                <w:sz w:val="48"/>
              </w:rPr>
              <w:t>Enterprise MLOps</w:t>
            </w:r>
          </w:p>
          <w:p>
            <w:pPr>
              <w:keepNext w:val="0"/>
              <w:spacing w:before="0" w:after="200" w:line="240" w:lineRule="auto"/>
            </w:pPr>
            <w:r>
              <w:rPr>
                <w:rFonts w:ascii="Arial" w:hAnsi="Arial"/>
                <w:b/>
                <w:i w:val="0"/>
                <w:color w:val="FFFFFF"/>
                <w:sz w:val="48"/>
              </w:rPr>
              <w:t>Churn Prediction System</w:t>
            </w:r>
          </w:p>
          <w:p>
            <w:pPr>
              <w:keepNext w:val="0"/>
              <w:spacing w:before="0" w:after="280" w:line="240" w:lineRule="auto"/>
            </w:pPr>
            <w:r>
              <w:rPr>
                <w:rFonts w:ascii="Arial" w:hAnsi="Arial"/>
                <w:b w:val="0"/>
                <w:i w:val="0"/>
                <w:color w:val="FFFFFF"/>
                <w:sz w:val="24"/>
              </w:rPr>
              <w:t>Design and Build a Mini Production ML System</w:t>
            </w:r>
          </w:p>
          <w:p>
            <w:pPr>
              <w:keepNext w:val="0"/>
              <w:spacing w:before="0" w:after="0" w:line="240" w:lineRule="auto"/>
            </w:pPr>
            <w:r>
              <w:rPr>
                <w:rFonts w:ascii="Arial" w:hAnsi="Arial"/>
                <w:b/>
                <w:i w:val="0"/>
                <w:color w:val="FFFFFF"/>
                <w:sz w:val="16"/>
              </w:rPr>
              <w:t>PRODUCTION-ORIENTED PROTOTYPE  |  VERIFIED 08 AUG 2026</w:t>
            </w:r>
          </w:p>
        </w:tc>
      </w:tr>
    </w:tbl>
    <w:p>
      <w:pPr>
        <w:keepNext w:val="0"/>
        <w:spacing w:before="0" w:after="140" w:line="240" w:lineRule="auto"/>
        <w:jc w:val="center"/>
      </w:pPr>
      <w:r>
        <w:rPr>
          <w:rFonts w:ascii="Arial" w:hAnsi="Arial"/>
          <w:b/>
          <w:i w:val="0"/>
          <w:color w:val="000000"/>
          <w:sz w:val="14"/>
        </w:rPr>
        <w:t>Python 3.9.6  |  TensorFlow 2.13.0  |  Keras 2.13.1  |  scikit-learn 1.3.0  |  FastAPI 0.103.1  |  pandas 2.0.3  |  NumPy 1.24.3  |  MLflow 2.7.1  |  pytest 7.4.2  |  prometheus-client 0.17.1</w:t>
      </w:r>
    </w:p>
    <w:p>
      <w:pPr>
        <w:keepNext/>
        <w:spacing w:before="60" w:after="80" w:line="240" w:lineRule="auto"/>
        <w:pBdr>
          <w:bottom w:val="single" w:sz="6" w:space="2" w:color="555555"/>
        </w:pBdr>
      </w:pPr>
      <w:r>
        <w:rPr>
          <w:rFonts w:ascii="Arial" w:hAnsi="Arial"/>
          <w:b/>
          <w:i w:val="0"/>
          <w:color w:val="000000"/>
          <w:sz w:val="22"/>
        </w:rPr>
        <w:t>Problem definition and intended use</w:t>
      </w:r>
    </w:p>
    <w:p>
      <w:pPr>
        <w:keepNext w:val="0"/>
        <w:spacing w:before="0" w:after="100" w:line="240" w:lineRule="auto"/>
      </w:pPr>
      <w:r>
        <w:rPr>
          <w:rFonts w:ascii="Arial" w:hAnsi="Arial"/>
          <w:b w:val="0"/>
          <w:i w:val="0"/>
          <w:color w:val="000000"/>
          <w:sz w:val="16"/>
        </w:rPr>
        <w:t>The system predicts whether a telecommunications customer will churn. It supports two decisions: an agent requesting a real-time risk score during a customer interaction, and a marketing team scoring the customer base in batch for retention campaigns. The positive class is Churn = Yes.</w:t>
      </w:r>
    </w:p>
    <w:tbl>
      <w:tblPr>
        <w:tblW w:type="auto" w:w="0"/>
        <w:jc w:val="center"/>
        <w:tblLayout w:type="fixed"/>
        <w:tblLook w:firstColumn="1" w:firstRow="1" w:lastColumn="0" w:lastRow="0" w:noHBand="0" w:noVBand="1" w:val="04A0"/>
      </w:tblPr>
      <w:tblGrid>
        <w:gridCol w:w="3496"/>
        <w:gridCol w:w="3496"/>
        <w:gridCol w:w="3496"/>
      </w:tblGrid>
      <w:tr>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DATASET</w:t>
            </w:r>
          </w:p>
          <w:p>
            <w:pPr>
              <w:keepNext w:val="0"/>
              <w:spacing w:before="0" w:after="20" w:line="240" w:lineRule="auto"/>
            </w:pPr>
            <w:r>
              <w:rPr>
                <w:rFonts w:ascii="Arial" w:hAnsi="Arial"/>
                <w:b/>
                <w:i w:val="0"/>
                <w:color w:val="000000"/>
                <w:sz w:val="29"/>
              </w:rPr>
              <w:t>7,043</w:t>
            </w:r>
          </w:p>
          <w:p>
            <w:pPr>
              <w:keepNext w:val="0"/>
              <w:spacing w:before="0" w:after="0" w:line="240" w:lineRule="auto"/>
            </w:pPr>
            <w:r>
              <w:rPr>
                <w:rFonts w:ascii="Arial" w:hAnsi="Arial"/>
                <w:b w:val="0"/>
                <w:i w:val="0"/>
                <w:color w:val="555555"/>
                <w:sz w:val="13"/>
              </w:rPr>
              <w:t>customers; 21 raw columns</w:t>
            </w:r>
          </w:p>
        </w:tc>
        <w:tc>
          <w:tcPr>
            <w:tcW w:type="dxa" w:w="3504"/>
            <w:shd w:fill="E7E7E7"/>
            <w:tcMar>
              <w:top w:w="100" w:type="dxa"/>
              <w:start w:w="110" w:type="dxa"/>
              <w:bottom w:w="100" w:type="dxa"/>
              <w:end w:w="110" w:type="dxa"/>
            </w:tcMar>
          </w:tcPr>
          <w:p>
            <w:pPr>
              <w:keepNext w:val="0"/>
              <w:spacing w:before="0" w:after="20" w:line="240" w:lineRule="auto"/>
            </w:pPr>
            <w:r>
              <w:rPr>
                <w:rFonts w:ascii="Arial" w:hAnsi="Arial"/>
                <w:b/>
                <w:i w:val="0"/>
                <w:color w:val="555555"/>
                <w:sz w:val="13"/>
              </w:rPr>
              <w:t>POSITIVE CLASS</w:t>
            </w:r>
          </w:p>
          <w:p>
            <w:pPr>
              <w:keepNext w:val="0"/>
              <w:spacing w:before="0" w:after="20" w:line="240" w:lineRule="auto"/>
            </w:pPr>
            <w:r>
              <w:rPr>
                <w:rFonts w:ascii="Arial" w:hAnsi="Arial"/>
                <w:b/>
                <w:i w:val="0"/>
                <w:color w:val="000000"/>
                <w:sz w:val="29"/>
              </w:rPr>
              <w:t>26.5%</w:t>
            </w:r>
          </w:p>
          <w:p>
            <w:pPr>
              <w:keepNext w:val="0"/>
              <w:spacing w:before="0" w:after="0" w:line="240" w:lineRule="auto"/>
            </w:pPr>
            <w:r>
              <w:rPr>
                <w:rFonts w:ascii="Arial" w:hAnsi="Arial"/>
                <w:b w:val="0"/>
                <w:i w:val="0"/>
                <w:color w:val="555555"/>
                <w:sz w:val="13"/>
              </w:rPr>
              <w:t>moderate imbalance</w:t>
            </w:r>
          </w:p>
        </w:tc>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PRIMARY OBJECTIVE</w:t>
            </w:r>
          </w:p>
          <w:p>
            <w:pPr>
              <w:keepNext w:val="0"/>
              <w:spacing w:before="0" w:after="20" w:line="240" w:lineRule="auto"/>
            </w:pPr>
            <w:r>
              <w:rPr>
                <w:rFonts w:ascii="Arial" w:hAnsi="Arial"/>
                <w:b/>
                <w:i w:val="0"/>
                <w:color w:val="000000"/>
                <w:sz w:val="29"/>
              </w:rPr>
              <w:t>Recall</w:t>
            </w:r>
          </w:p>
          <w:p>
            <w:pPr>
              <w:keepNext w:val="0"/>
              <w:spacing w:before="0" w:after="0" w:line="240" w:lineRule="auto"/>
            </w:pPr>
            <w:r>
              <w:rPr>
                <w:rFonts w:ascii="Arial" w:hAnsi="Arial"/>
                <w:b w:val="0"/>
                <w:i w:val="0"/>
                <w:color w:val="555555"/>
                <w:sz w:val="13"/>
              </w:rPr>
              <w:t>with AUC guardrail</w:t>
            </w:r>
          </w:p>
        </w:tc>
      </w:tr>
    </w:tbl>
    <w:p>
      <w:pPr>
        <w:keepNext w:val="0"/>
        <w:spacing w:before="0" w:after="80" w:line="240" w:lineRule="auto"/>
      </w:pPr>
      <w:r>
        <w:rPr>
          <w:rFonts w:ascii="Arial" w:hAnsi="Arial"/>
          <w:b w:val="0"/>
          <w:i w:val="0"/>
          <w:color w:val="000000"/>
          <w:sz w:val="16"/>
        </w:rPr>
        <w:t>Operational decision: customers above the chosen probability threshold enter a retention-review queue; the model does not automatically apply an offer or make an adverse customer decision. Scores should be combined with eligibility rules, contact preferences, intervention cost, and agent judgement. The prototype therefore measures discrimination and recall while keeping a human in the loop.</w:t>
      </w:r>
    </w:p>
    <w:p>
      <w:pPr>
        <w:keepNext/>
        <w:spacing w:before="60" w:after="80" w:line="240" w:lineRule="auto"/>
        <w:pBdr>
          <w:bottom w:val="single" w:sz="6" w:space="2" w:color="555555"/>
        </w:pBdr>
      </w:pPr>
      <w:r>
        <w:rPr>
          <w:rFonts w:ascii="Arial" w:hAnsi="Arial"/>
          <w:b/>
          <w:i w:val="0"/>
          <w:color w:val="000000"/>
          <w:sz w:val="22"/>
        </w:rPr>
        <w:t>Success criteria</w:t>
      </w:r>
    </w:p>
    <w:p>
      <w:pPr>
        <w:pStyle w:val="ListBullet"/>
        <w:keepNext w:val="0"/>
        <w:spacing w:before="0" w:after="20" w:line="240" w:lineRule="auto"/>
      </w:pPr>
      <w:r>
        <w:rPr>
          <w:rFonts w:ascii="Arial" w:hAnsi="Arial"/>
          <w:b w:val="0"/>
          <w:i w:val="0"/>
          <w:color w:val="000000"/>
          <w:sz w:val="15"/>
        </w:rPr>
        <w:t>Validation ROC AUC ≥ 0.80 and recall ≥ 0.75; precision and F1 expose retention-budget trade-offs.</w:t>
      </w:r>
    </w:p>
    <w:p>
      <w:pPr>
        <w:pStyle w:val="ListBullet"/>
        <w:keepNext w:val="0"/>
        <w:spacing w:before="0" w:after="20" w:line="240" w:lineRule="auto"/>
      </w:pPr>
      <w:r>
        <w:rPr>
          <w:rFonts w:ascii="Arial" w:hAnsi="Arial"/>
          <w:b w:val="0"/>
          <w:i w:val="0"/>
          <w:color w:val="000000"/>
          <w:sz w:val="15"/>
        </w:rPr>
        <w:t>Online p95 latency below 200 ms with model version returned in every prediction.</w:t>
      </w:r>
    </w:p>
    <w:p>
      <w:pPr>
        <w:pStyle w:val="ListBullet"/>
        <w:keepNext w:val="0"/>
        <w:spacing w:before="0" w:after="20" w:line="240" w:lineRule="auto"/>
      </w:pPr>
      <w:r>
        <w:rPr>
          <w:rFonts w:ascii="Arial" w:hAnsi="Arial"/>
          <w:b w:val="0"/>
          <w:i w:val="0"/>
          <w:color w:val="000000"/>
          <w:sz w:val="15"/>
        </w:rPr>
        <w:t>Repeatable ingestion, training, evaluation, serving, drift detection, and retraining-decision paths.</w:t>
      </w:r>
    </w:p>
    <w:p>
      <w:pPr>
        <w:pStyle w:val="ListBullet"/>
        <w:keepNext w:val="0"/>
        <w:spacing w:before="0" w:after="20" w:line="240" w:lineRule="auto"/>
      </w:pPr>
      <w:r>
        <w:rPr>
          <w:rFonts w:ascii="Arial" w:hAnsi="Arial"/>
          <w:b w:val="0"/>
          <w:i w:val="0"/>
          <w:color w:val="000000"/>
          <w:sz w:val="15"/>
        </w:rPr>
        <w:t>Engineering correctness and reproducibility are prioritized over state-of-the-art accuracy.</w:t>
      </w:r>
    </w:p>
    <w:p>
      <w:pPr>
        <w:keepNext w:val="0"/>
        <w:spacing w:before="0" w:after="0" w:line="240" w:lineRule="auto"/>
      </w:pPr>
      <w:r>
        <w:rPr>
          <w:rFonts w:ascii="Arial" w:hAnsi="Arial"/>
          <w:b/>
          <w:i w:val="0"/>
          <w:color w:val="000000"/>
          <w:sz w:val="14"/>
        </w:rPr>
        <w:t xml:space="preserve">Code repository: </w:t>
      </w:r>
      <w:hyperlink r:id="rId10">
        <w:r>
          <w:rPr>
            <w:color w:val="000000"/>
            <w:u w:val="single"/>
          </w:rPr>
          <w:t>https://github.com/khshaik/data-science-ml-labs/tree/main/projects/enterprise-mlops-churn-prediction</w:t>
        </w:r>
      </w:hyperlink>
    </w:p>
    <w:p>
      <w:r>
        <w:br w:type="page"/>
      </w:r>
    </w:p>
    <w:tbl>
      <w:tblPr>
        <w:tblW w:type="auto" w:w="0"/>
        <w:jc w:val="center"/>
        <w:tblLayout w:type="fixed"/>
        <w:tblLook w:firstColumn="1" w:firstRow="1" w:lastColumn="0" w:lastRow="0" w:noHBand="0" w:noVBand="1" w:val="04A0"/>
      </w:tblPr>
      <w:tblGrid>
        <w:gridCol w:w="5244"/>
        <w:gridCol w:w="5244"/>
      </w:tblGrid>
      <w:tr>
        <w:tc>
          <w:tcPr>
            <w:tcW w:type="dxa" w:w="9576"/>
            <w:shd w:fill="202020"/>
            <w:tcMar>
              <w:top w:w="110" w:type="dxa"/>
              <w:start w:w="130" w:type="dxa"/>
              <w:bottom w:w="110" w:type="dxa"/>
              <w:end w:w="130" w:type="dxa"/>
            </w:tcMar>
            <w:vAlign w:val="center"/>
          </w:tcPr>
          <w:p>
            <w:pPr>
              <w:keepNext w:val="0"/>
              <w:spacing w:before="0" w:after="0" w:line="240" w:lineRule="auto"/>
            </w:pPr>
            <w:r>
              <w:rPr>
                <w:rFonts w:ascii="Arial" w:hAnsi="Arial"/>
                <w:b/>
                <w:i w:val="0"/>
                <w:color w:val="FFFFFF"/>
                <w:sz w:val="26"/>
              </w:rPr>
              <w:t>Architecture and production workflow</w:t>
            </w:r>
          </w:p>
        </w:tc>
        <w:tc>
          <w:tcPr>
            <w:tcW w:type="dxa" w:w="936"/>
            <w:shd w:fill="202020"/>
            <w:tcMar>
              <w:top w:w="110" w:type="dxa"/>
              <w:start w:w="130" w:type="dxa"/>
              <w:bottom w:w="110" w:type="dxa"/>
              <w:end w:w="130" w:type="dxa"/>
            </w:tcMar>
            <w:vAlign w:val="center"/>
          </w:tcPr>
          <w:p>
            <w:pPr>
              <w:keepNext w:val="0"/>
              <w:spacing w:before="0" w:after="0" w:line="240" w:lineRule="auto"/>
              <w:jc w:val="right"/>
            </w:pPr>
            <w:r>
              <w:rPr>
                <w:rFonts w:ascii="Arial" w:hAnsi="Arial"/>
                <w:b/>
                <w:i w:val="0"/>
                <w:color w:val="FFFFFF"/>
                <w:sz w:val="16"/>
              </w:rPr>
              <w:t>2/6</w:t>
            </w:r>
          </w:p>
        </w:tc>
      </w:tr>
    </w:tbl>
    <w:p>
      <w:pPr>
        <w:keepNext w:val="0"/>
        <w:spacing w:before="0" w:after="60" w:line="240" w:lineRule="auto"/>
      </w:pPr>
      <w:r>
        <w:rPr>
          <w:rFonts w:ascii="Arial" w:hAnsi="Arial"/>
          <w:b w:val="0"/>
          <w:i w:val="0"/>
          <w:color w:val="000000"/>
          <w:sz w:val="2"/>
        </w:rPr>
      </w:r>
    </w:p>
    <w:p>
      <w:pPr>
        <w:keepNext w:val="0"/>
        <w:spacing w:before="0" w:after="100" w:line="240" w:lineRule="auto"/>
      </w:pPr>
      <w:r>
        <w:rPr>
          <w:rFonts w:ascii="Arial" w:hAnsi="Arial"/>
          <w:b w:val="0"/>
          <w:i w:val="0"/>
          <w:color w:val="000000"/>
          <w:sz w:val="16"/>
        </w:rPr>
        <w:t>The architecture uses one feature implementation and persisted preprocessing state for training, online requests, and batch scoring. A validation-based champion manifest prevents serving whichever artifact happens to exist most recently. Runtime data paths remain distinct from an eligible retraining decision, which still requires a human or CI job.</w:t>
      </w:r>
    </w:p>
    <w:tbl>
      <w:tblPr>
        <w:tblW w:type="auto" w:w="0"/>
        <w:jc w:val="center"/>
        <w:tblLayout w:type="fixed"/>
        <w:tblLook w:firstColumn="1" w:firstRow="1" w:lastColumn="0" w:lastRow="0" w:noHBand="0" w:noVBand="1" w:val="04A0"/>
      </w:tblPr>
      <w:tblGrid>
        <w:gridCol w:w="1165"/>
        <w:gridCol w:w="1165"/>
        <w:gridCol w:w="1165"/>
        <w:gridCol w:w="1165"/>
        <w:gridCol w:w="1165"/>
        <w:gridCol w:w="1165"/>
        <w:gridCol w:w="1165"/>
        <w:gridCol w:w="1165"/>
        <w:gridCol w:w="1165"/>
      </w:tblGrid>
      <w:tr>
        <w:tc>
          <w:tcPr>
            <w:tcW w:type="dxa" w:w="1699"/>
            <w:shd w:fill="E7E7E7"/>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CRM CSV</w:t>
            </w:r>
          </w:p>
          <w:p>
            <w:pPr>
              <w:keepNext w:val="0"/>
              <w:spacing w:before="0" w:after="0" w:line="240" w:lineRule="auto"/>
              <w:jc w:val="center"/>
            </w:pPr>
            <w:r>
              <w:rPr>
                <w:rFonts w:ascii="Arial" w:hAnsi="Arial"/>
                <w:b w:val="0"/>
                <w:i w:val="0"/>
                <w:color w:val="555555"/>
                <w:sz w:val="12"/>
              </w:rPr>
              <w:t>incoming data</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F4F4F4"/>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Ingestion + DQ</w:t>
            </w:r>
          </w:p>
          <w:p>
            <w:pPr>
              <w:keepNext w:val="0"/>
              <w:spacing w:before="0" w:after="0" w:line="240" w:lineRule="auto"/>
              <w:jc w:val="center"/>
            </w:pPr>
            <w:r>
              <w:rPr>
                <w:rFonts w:ascii="Arial" w:hAnsi="Arial"/>
                <w:b w:val="0"/>
                <w:i w:val="0"/>
                <w:color w:val="555555"/>
                <w:sz w:val="12"/>
              </w:rPr>
              <w:t>validate / merge</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E7E7E7"/>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Features + prep</w:t>
            </w:r>
          </w:p>
          <w:p>
            <w:pPr>
              <w:keepNext w:val="0"/>
              <w:spacing w:before="0" w:after="0" w:line="240" w:lineRule="auto"/>
              <w:jc w:val="center"/>
            </w:pPr>
            <w:r>
              <w:rPr>
                <w:rFonts w:ascii="Arial" w:hAnsi="Arial"/>
                <w:b w:val="0"/>
                <w:i w:val="0"/>
                <w:color w:val="555555"/>
                <w:sz w:val="12"/>
              </w:rPr>
              <w:t>shared fitted code</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F4F4F4"/>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Training</w:t>
            </w:r>
          </w:p>
          <w:p>
            <w:pPr>
              <w:keepNext w:val="0"/>
              <w:spacing w:before="0" w:after="0" w:line="240" w:lineRule="auto"/>
              <w:jc w:val="center"/>
            </w:pPr>
            <w:r>
              <w:rPr>
                <w:rFonts w:ascii="Arial" w:hAnsi="Arial"/>
                <w:b w:val="0"/>
                <w:i w:val="0"/>
                <w:color w:val="555555"/>
                <w:sz w:val="12"/>
              </w:rPr>
              <w:t>LR vs TensorFlow</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E7E7E7"/>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Champion</w:t>
            </w:r>
          </w:p>
          <w:p>
            <w:pPr>
              <w:keepNext w:val="0"/>
              <w:spacing w:before="0" w:after="0" w:line="240" w:lineRule="auto"/>
              <w:jc w:val="center"/>
            </w:pPr>
            <w:r>
              <w:rPr>
                <w:rFonts w:ascii="Arial" w:hAnsi="Arial"/>
                <w:b w:val="0"/>
                <w:i w:val="0"/>
                <w:color w:val="555555"/>
                <w:sz w:val="12"/>
              </w:rPr>
              <w:t>validation selected</w:t>
            </w:r>
          </w:p>
        </w:tc>
      </w:tr>
      <w:tr>
        <w:tc>
          <w:tcPr>
            <w:tcW w:type="dxa" w:w="1699"/>
            <w:shd w:fill="F4F4F4"/>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Agent / analyst</w:t>
            </w:r>
          </w:p>
          <w:p>
            <w:pPr>
              <w:keepNext w:val="0"/>
              <w:spacing w:before="0" w:after="0" w:line="240" w:lineRule="auto"/>
              <w:jc w:val="center"/>
            </w:pPr>
            <w:r>
              <w:rPr>
                <w:rFonts w:ascii="Arial" w:hAnsi="Arial"/>
                <w:b w:val="0"/>
                <w:i w:val="0"/>
                <w:color w:val="555555"/>
                <w:sz w:val="12"/>
              </w:rPr>
              <w:t>request / campaign</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E7E7E7"/>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Online API</w:t>
            </w:r>
          </w:p>
          <w:p>
            <w:pPr>
              <w:keepNext w:val="0"/>
              <w:spacing w:before="0" w:after="0" w:line="240" w:lineRule="auto"/>
              <w:jc w:val="center"/>
            </w:pPr>
            <w:r>
              <w:rPr>
                <w:rFonts w:ascii="Arial" w:hAnsi="Arial"/>
                <w:b w:val="0"/>
                <w:i w:val="0"/>
                <w:color w:val="555555"/>
                <w:sz w:val="12"/>
              </w:rPr>
              <w:t>FastAPI /predict</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F4F4F4"/>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Offline batch</w:t>
            </w:r>
          </w:p>
          <w:p>
            <w:pPr>
              <w:keepNext w:val="0"/>
              <w:spacing w:before="0" w:after="0" w:line="240" w:lineRule="auto"/>
              <w:jc w:val="center"/>
            </w:pPr>
            <w:r>
              <w:rPr>
                <w:rFonts w:ascii="Arial" w:hAnsi="Arial"/>
                <w:b w:val="0"/>
                <w:i w:val="0"/>
                <w:color w:val="555555"/>
                <w:sz w:val="12"/>
              </w:rPr>
              <w:t>chunked CSV score</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E7E7E7"/>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Observe</w:t>
            </w:r>
          </w:p>
          <w:p>
            <w:pPr>
              <w:keepNext w:val="0"/>
              <w:spacing w:before="0" w:after="0" w:line="240" w:lineRule="auto"/>
              <w:jc w:val="center"/>
            </w:pPr>
            <w:r>
              <w:rPr>
                <w:rFonts w:ascii="Arial" w:hAnsi="Arial"/>
                <w:b w:val="0"/>
                <w:i w:val="0"/>
                <w:color w:val="555555"/>
                <w:sz w:val="12"/>
              </w:rPr>
              <w:t>metrics / DQ / drift</w:t>
            </w:r>
          </w:p>
        </w:tc>
        <w:tc>
          <w:tcPr>
            <w:tcW w:type="dxa" w:w="317"/>
          </w:tcPr>
          <w:p>
            <w:pPr>
              <w:keepNext w:val="0"/>
              <w:spacing w:before="0" w:after="0" w:line="240" w:lineRule="auto"/>
              <w:jc w:val="center"/>
            </w:pPr>
            <w:r>
              <w:rPr>
                <w:rFonts w:ascii="Arial" w:hAnsi="Arial"/>
                <w:b/>
                <w:i w:val="0"/>
                <w:color w:val="000000"/>
                <w:sz w:val="18"/>
              </w:rPr>
              <w:t>→</w:t>
            </w:r>
          </w:p>
        </w:tc>
        <w:tc>
          <w:tcPr>
            <w:tcW w:type="dxa" w:w="1699"/>
            <w:shd w:fill="F4F4F4"/>
            <w:tcMar>
              <w:top w:w="100" w:type="dxa"/>
              <w:start w:w="60" w:type="dxa"/>
              <w:bottom w:w="100" w:type="dxa"/>
              <w:end w:w="60" w:type="dxa"/>
            </w:tcMar>
          </w:tcPr>
          <w:p>
            <w:pPr>
              <w:keepNext w:val="0"/>
              <w:spacing w:before="0" w:after="20" w:line="240" w:lineRule="auto"/>
              <w:jc w:val="center"/>
            </w:pPr>
            <w:r>
              <w:rPr>
                <w:rFonts w:ascii="Arial" w:hAnsi="Arial"/>
                <w:b/>
                <w:i w:val="0"/>
                <w:color w:val="000000"/>
                <w:sz w:val="14"/>
              </w:rPr>
              <w:t>Retrain decision</w:t>
            </w:r>
          </w:p>
          <w:p>
            <w:pPr>
              <w:keepNext w:val="0"/>
              <w:spacing w:before="0" w:after="0" w:line="240" w:lineRule="auto"/>
              <w:jc w:val="center"/>
            </w:pPr>
            <w:r>
              <w:rPr>
                <w:rFonts w:ascii="Arial" w:hAnsi="Arial"/>
                <w:b w:val="0"/>
                <w:i w:val="0"/>
                <w:color w:val="555555"/>
                <w:sz w:val="12"/>
              </w:rPr>
              <w:t>labels / AUC / age</w:t>
            </w:r>
          </w:p>
        </w:tc>
      </w:tr>
    </w:tbl>
    <w:p>
      <w:pPr>
        <w:keepNext w:val="0"/>
        <w:spacing w:before="0" w:after="60" w:line="240" w:lineRule="auto"/>
      </w:pPr>
      <w:r>
        <w:rPr>
          <w:rFonts w:ascii="Arial" w:hAnsi="Arial"/>
          <w:b w:val="0"/>
          <w:i/>
          <w:color w:val="555555"/>
          <w:sz w:val="14"/>
        </w:rPr>
        <w:t>Training path: Data Sources → Pipelines → Features → Training → governed champion. Serving path: champion → online/batch serving → monitoring → retraining decision → controlled training restart.</w:t>
      </w:r>
    </w:p>
    <w:p>
      <w:pPr>
        <w:keepNext/>
        <w:spacing w:before="60" w:after="80" w:line="240" w:lineRule="auto"/>
        <w:pBdr>
          <w:bottom w:val="single" w:sz="6" w:space="2" w:color="555555"/>
        </w:pBdr>
      </w:pPr>
      <w:r>
        <w:rPr>
          <w:rFonts w:ascii="Arial" w:hAnsi="Arial"/>
          <w:b/>
          <w:i w:val="0"/>
          <w:color w:val="000000"/>
          <w:sz w:val="22"/>
        </w:rPr>
        <w:t>Triggers and user/system interactions</w:t>
      </w:r>
    </w:p>
    <w:tbl>
      <w:tblPr>
        <w:tblStyle w:val="TableGrid"/>
        <w:tblW w:type="auto" w:w="0"/>
        <w:jc w:val="center"/>
        <w:tblLayout w:type="fixed"/>
        <w:tblLook w:firstColumn="1" w:firstRow="1" w:lastColumn="0" w:lastRow="0" w:noHBand="0" w:noVBand="1" w:val="04A0"/>
      </w:tblPr>
      <w:tblGrid>
        <w:gridCol w:w="2622"/>
        <w:gridCol w:w="2622"/>
        <w:gridCol w:w="2622"/>
        <w:gridCol w:w="2622"/>
      </w:tblGrid>
      <w:tr>
        <w:trPr>
          <w:tblHeader w:val="true"/>
        </w:trPr>
        <w:tc>
          <w:tcPr>
            <w:tcW w:type="dxa" w:w="1181"/>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Path</w:t>
            </w:r>
          </w:p>
        </w:tc>
        <w:tc>
          <w:tcPr>
            <w:tcW w:type="dxa" w:w="2621"/>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Trigger / consumer</w:t>
            </w:r>
          </w:p>
        </w:tc>
        <w:tc>
          <w:tcPr>
            <w:tcW w:type="dxa" w:w="3096"/>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Implementation</w:t>
            </w:r>
          </w:p>
        </w:tc>
        <w:tc>
          <w:tcPr>
            <w:tcW w:type="dxa" w:w="3614"/>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Current boundary</w:t>
            </w:r>
          </w:p>
        </w:tc>
      </w:tr>
      <w:tr>
        <w:tc>
          <w:tcPr>
            <w:tcW w:type="dxa" w:w="1181"/>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Online</w:t>
            </w:r>
          </w:p>
        </w:tc>
        <w:tc>
          <w:tcPr>
            <w:tcW w:type="dxa" w:w="2621"/>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POST /predict / agent</w:t>
            </w:r>
          </w:p>
        </w:tc>
        <w:tc>
          <w:tcPr>
            <w:tcW w:type="dxa" w:w="3096"/>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api.py + shared artifacts</w:t>
            </w:r>
          </w:p>
        </w:tc>
        <w:tc>
          <w:tcPr>
            <w:tcW w:type="dxa" w:w="3614"/>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synchronous; verified</w:t>
            </w:r>
          </w:p>
        </w:tc>
      </w:tr>
      <w:tr>
        <w:tc>
          <w:tcPr>
            <w:tcW w:type="dxa" w:w="1181"/>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Offline</w:t>
            </w:r>
          </w:p>
        </w:tc>
        <w:tc>
          <w:tcPr>
            <w:tcW w:type="dxa" w:w="2621"/>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CLI/scheduler / marketing</w:t>
            </w:r>
          </w:p>
        </w:tc>
        <w:tc>
          <w:tcPr>
            <w:tcW w:type="dxa" w:w="3096"/>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batch_predict.py</w:t>
            </w:r>
          </w:p>
        </w:tc>
        <w:tc>
          <w:tcPr>
            <w:tcW w:type="dxa" w:w="3614"/>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executed; scheduler external</w:t>
            </w:r>
          </w:p>
        </w:tc>
      </w:tr>
      <w:tr>
        <w:tc>
          <w:tcPr>
            <w:tcW w:type="dxa" w:w="1181"/>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Lifecycle</w:t>
            </w:r>
          </w:p>
        </w:tc>
        <w:tc>
          <w:tcPr>
            <w:tcW w:type="dxa" w:w="2621"/>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DQ, labels, AUC, drift, age</w:t>
            </w:r>
          </w:p>
        </w:tc>
        <w:tc>
          <w:tcPr>
            <w:tcW w:type="dxa" w:w="3096"/>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drift_detector.py + trigger.py</w:t>
            </w:r>
          </w:p>
        </w:tc>
        <w:tc>
          <w:tcPr>
            <w:tcW w:type="dxa" w:w="3614"/>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decision logged; no auto-train</w:t>
            </w:r>
          </w:p>
        </w:tc>
      </w:tr>
    </w:tbl>
    <w:p>
      <w:pPr>
        <w:keepNext/>
        <w:spacing w:before="60" w:after="80" w:line="240" w:lineRule="auto"/>
        <w:pBdr>
          <w:bottom w:val="single" w:sz="6" w:space="2" w:color="555555"/>
        </w:pBdr>
      </w:pPr>
      <w:r>
        <w:rPr>
          <w:rFonts w:ascii="Arial" w:hAnsi="Arial"/>
          <w:b/>
          <w:i w:val="0"/>
          <w:color w:val="000000"/>
          <w:sz w:val="22"/>
        </w:rPr>
        <w:t>Component and artifact contract</w:t>
      </w:r>
    </w:p>
    <w:tbl>
      <w:tblPr>
        <w:tblStyle w:val="TableGrid"/>
        <w:tblW w:type="auto" w:w="0"/>
        <w:jc w:val="center"/>
        <w:tblLayout w:type="fixed"/>
        <w:tblLook w:firstColumn="1" w:firstRow="1" w:lastColumn="0" w:lastRow="0" w:noHBand="0" w:noVBand="1" w:val="04A0"/>
      </w:tblPr>
      <w:tblGrid>
        <w:gridCol w:w="3496"/>
        <w:gridCol w:w="3496"/>
        <w:gridCol w:w="3496"/>
      </w:tblGrid>
      <w:tr>
        <w:trPr>
          <w:tblHeader w:val="true"/>
        </w:trPr>
        <w:tc>
          <w:tcPr>
            <w:tcW w:type="dxa" w:w="1728"/>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Layer</w:t>
            </w:r>
          </w:p>
        </w:tc>
        <w:tc>
          <w:tcPr>
            <w:tcW w:type="dxa" w:w="5112"/>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Code responsibility</w:t>
            </w:r>
          </w:p>
        </w:tc>
        <w:tc>
          <w:tcPr>
            <w:tcW w:type="dxa" w:w="3672"/>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Persisted contract</w:t>
            </w:r>
          </w:p>
        </w:tc>
      </w:tr>
      <w:tr>
        <w:tc>
          <w:tcPr>
            <w:tcW w:type="dxa" w:w="172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Data + features</w:t>
            </w:r>
          </w:p>
        </w:tc>
        <w:tc>
          <w:tcPr>
            <w:tcW w:type="dxa" w:w="511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ingestion, quality, preprocessing, engineering</w:t>
            </w:r>
          </w:p>
        </w:tc>
        <w:tc>
          <w:tcPr>
            <w:tcW w:type="dxa" w:w="367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threshold + preprocessor</w:t>
            </w:r>
          </w:p>
        </w:tc>
      </w:tr>
      <w:tr>
        <w:tc>
          <w:tcPr>
            <w:tcW w:type="dxa" w:w="1728"/>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Training</w:t>
            </w:r>
          </w:p>
        </w:tc>
        <w:tc>
          <w:tcPr>
            <w:tcW w:type="dxa" w:w="511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baseline, TensorFlow candidate, train/evaluate</w:t>
            </w:r>
          </w:p>
        </w:tc>
        <w:tc>
          <w:tcPr>
            <w:tcW w:type="dxa" w:w="367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MLflow + evaluation reports</w:t>
            </w:r>
          </w:p>
        </w:tc>
      </w:tr>
      <w:tr>
        <w:tc>
          <w:tcPr>
            <w:tcW w:type="dxa" w:w="172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Serving</w:t>
            </w:r>
          </w:p>
        </w:tc>
        <w:tc>
          <w:tcPr>
            <w:tcW w:type="dxa" w:w="511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FastAPI and batch scoring</w:t>
            </w:r>
          </w:p>
        </w:tc>
        <w:tc>
          <w:tcPr>
            <w:tcW w:type="dxa" w:w="367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models/current_best.json</w:t>
            </w:r>
          </w:p>
        </w:tc>
      </w:tr>
      <w:tr>
        <w:tc>
          <w:tcPr>
            <w:tcW w:type="dxa" w:w="1728"/>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Lifecycle</w:t>
            </w:r>
          </w:p>
        </w:tc>
        <w:tc>
          <w:tcPr>
            <w:tcW w:type="dxa" w:w="511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metrics, drift, retraining eligibility</w:t>
            </w:r>
          </w:p>
        </w:tc>
        <w:tc>
          <w:tcPr>
            <w:tcW w:type="dxa" w:w="367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metrics + JSON logs</w:t>
            </w:r>
          </w:p>
        </w:tc>
      </w:tr>
    </w:tbl>
    <w:p>
      <w:r>
        <w:br w:type="page"/>
      </w:r>
    </w:p>
    <w:tbl>
      <w:tblPr>
        <w:tblW w:type="auto" w:w="0"/>
        <w:jc w:val="center"/>
        <w:tblLayout w:type="fixed"/>
        <w:tblLook w:firstColumn="1" w:firstRow="1" w:lastColumn="0" w:lastRow="0" w:noHBand="0" w:noVBand="1" w:val="04A0"/>
      </w:tblPr>
      <w:tblGrid>
        <w:gridCol w:w="5244"/>
        <w:gridCol w:w="5244"/>
      </w:tblGrid>
      <w:tr>
        <w:tc>
          <w:tcPr>
            <w:tcW w:type="dxa" w:w="9576"/>
            <w:shd w:fill="202020"/>
            <w:tcMar>
              <w:top w:w="110" w:type="dxa"/>
              <w:start w:w="130" w:type="dxa"/>
              <w:bottom w:w="110" w:type="dxa"/>
              <w:end w:w="130" w:type="dxa"/>
            </w:tcMar>
            <w:vAlign w:val="center"/>
          </w:tcPr>
          <w:p>
            <w:pPr>
              <w:keepNext w:val="0"/>
              <w:spacing w:before="0" w:after="0" w:line="240" w:lineRule="auto"/>
            </w:pPr>
            <w:r>
              <w:rPr>
                <w:rFonts w:ascii="Arial" w:hAnsi="Arial"/>
                <w:b/>
                <w:i w:val="0"/>
                <w:color w:val="FFFFFF"/>
                <w:sz w:val="26"/>
              </w:rPr>
              <w:t>Data, features, and reproducibility</w:t>
            </w:r>
          </w:p>
        </w:tc>
        <w:tc>
          <w:tcPr>
            <w:tcW w:type="dxa" w:w="936"/>
            <w:shd w:fill="202020"/>
            <w:tcMar>
              <w:top w:w="110" w:type="dxa"/>
              <w:start w:w="130" w:type="dxa"/>
              <w:bottom w:w="110" w:type="dxa"/>
              <w:end w:w="130" w:type="dxa"/>
            </w:tcMar>
            <w:vAlign w:val="center"/>
          </w:tcPr>
          <w:p>
            <w:pPr>
              <w:keepNext w:val="0"/>
              <w:spacing w:before="0" w:after="0" w:line="240" w:lineRule="auto"/>
              <w:jc w:val="right"/>
            </w:pPr>
            <w:r>
              <w:rPr>
                <w:rFonts w:ascii="Arial" w:hAnsi="Arial"/>
                <w:b/>
                <w:i w:val="0"/>
                <w:color w:val="FFFFFF"/>
                <w:sz w:val="16"/>
              </w:rPr>
              <w:t>3/6</w:t>
            </w:r>
          </w:p>
        </w:tc>
      </w:tr>
    </w:tbl>
    <w:p>
      <w:pPr>
        <w:keepNext w:val="0"/>
        <w:spacing w:before="0" w:after="60" w:line="240" w:lineRule="auto"/>
      </w:pPr>
      <w:r>
        <w:rPr>
          <w:rFonts w:ascii="Arial" w:hAnsi="Arial"/>
          <w:b w:val="0"/>
          <w:i w:val="0"/>
          <w:color w:val="000000"/>
          <w:sz w:val="2"/>
        </w:rPr>
      </w:r>
    </w:p>
    <w:p>
      <w:pPr>
        <w:keepNext/>
        <w:spacing w:before="60" w:after="80" w:line="240" w:lineRule="auto"/>
        <w:pBdr>
          <w:bottom w:val="single" w:sz="6" w:space="2" w:color="555555"/>
        </w:pBdr>
      </w:pPr>
      <w:r>
        <w:rPr>
          <w:rFonts w:ascii="Arial" w:hAnsi="Arial"/>
          <w:b/>
          <w:i w:val="0"/>
          <w:color w:val="000000"/>
          <w:sz w:val="22"/>
        </w:rPr>
        <w:t>Dataset and assumptions</w:t>
      </w:r>
    </w:p>
    <w:p>
      <w:pPr>
        <w:keepNext w:val="0"/>
        <w:spacing w:before="0" w:after="80" w:line="240" w:lineRule="auto"/>
      </w:pPr>
      <w:r>
        <w:rPr>
          <w:rFonts w:ascii="Arial" w:hAnsi="Arial"/>
          <w:b w:val="0"/>
          <w:i w:val="0"/>
          <w:color w:val="000000"/>
          <w:sz w:val="15"/>
        </w:rPr>
        <w:t>This project uses IBM's Telco Customer Churn teaching sample, originally distributed as WA_Fn-UseC_-Telco-Customer-Churn.csv and catalogued at Kaggle under blastchar/telco-customer-churn. The evaluated 7,043-row file has SHA-256 88be4b93fbe0cc83421af1c503794c97c342eca914c1576db7c276e61d61358a. Kaggle marks the data files © Original Authors, not with a standard open-data license; IBM's Apache-2.0 code-pattern license does not license the separately supplied CSV. This repository makes no relicensing claim and includes it for academic reproducibility. Customer ID is removed before modelling, and the fictional cross-sectional sample is not live telecom telemetry or evidence of causal churn drivers.</w:t>
      </w:r>
    </w:p>
    <w:tbl>
      <w:tblPr>
        <w:tblStyle w:val="TableGrid"/>
        <w:tblW w:type="auto" w:w="0"/>
        <w:jc w:val="center"/>
        <w:tblLayout w:type="fixed"/>
        <w:tblLook w:firstColumn="1" w:firstRow="1" w:lastColumn="0" w:lastRow="0" w:noHBand="0" w:noVBand="1" w:val="04A0"/>
      </w:tblPr>
      <w:tblGrid>
        <w:gridCol w:w="3496"/>
        <w:gridCol w:w="3496"/>
        <w:gridCol w:w="3496"/>
      </w:tblGrid>
      <w:tr>
        <w:trPr>
          <w:tblHeader w:val="true"/>
        </w:trPr>
        <w:tc>
          <w:tcPr>
            <w:tcW w:type="dxa" w:w="2448"/>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Engineered feature</w:t>
            </w:r>
          </w:p>
        </w:tc>
        <w:tc>
          <w:tcPr>
            <w:tcW w:type="dxa" w:w="3672"/>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Construction</w:t>
            </w:r>
          </w:p>
        </w:tc>
        <w:tc>
          <w:tcPr>
            <w:tcW w:type="dxa" w:w="4392"/>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Availability / skew control</w:t>
            </w:r>
          </w:p>
        </w:tc>
      </w:tr>
      <w:tr>
        <w:tc>
          <w:tcPr>
            <w:tcW w:type="dxa" w:w="244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avg_monthly_charge</w:t>
            </w:r>
          </w:p>
        </w:tc>
        <w:tc>
          <w:tcPr>
            <w:tcW w:type="dxa" w:w="367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TotalCharges / tenure</w:t>
            </w:r>
          </w:p>
        </w:tc>
        <w:tc>
          <w:tcPr>
            <w:tcW w:type="dxa" w:w="43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same deterministic code</w:t>
            </w:r>
          </w:p>
        </w:tc>
      </w:tr>
      <w:tr>
        <w:tc>
          <w:tcPr>
            <w:tcW w:type="dxa" w:w="2448"/>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service_adoption_score</w:t>
            </w:r>
          </w:p>
        </w:tc>
        <w:tc>
          <w:tcPr>
            <w:tcW w:type="dxa" w:w="367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count of six add-on services</w:t>
            </w:r>
          </w:p>
        </w:tc>
        <w:tc>
          <w:tcPr>
            <w:tcW w:type="dxa" w:w="439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same deterministic code</w:t>
            </w:r>
          </w:p>
        </w:tc>
      </w:tr>
      <w:tr>
        <w:tc>
          <w:tcPr>
            <w:tcW w:type="dxa" w:w="244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tenure_category</w:t>
            </w:r>
          </w:p>
        </w:tc>
        <w:tc>
          <w:tcPr>
            <w:tcW w:type="dxa" w:w="367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0–12, 13–24, 25–48, 48+</w:t>
            </w:r>
          </w:p>
        </w:tc>
        <w:tc>
          <w:tcPr>
            <w:tcW w:type="dxa" w:w="43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fixed boundaries</w:t>
            </w:r>
          </w:p>
        </w:tc>
      </w:tr>
      <w:tr>
        <w:tc>
          <w:tcPr>
            <w:tcW w:type="dxa" w:w="2448"/>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payment_risk_flag</w:t>
            </w:r>
          </w:p>
        </w:tc>
        <w:tc>
          <w:tcPr>
            <w:tcW w:type="dxa" w:w="367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electronic-check indicator</w:t>
            </w:r>
          </w:p>
        </w:tc>
        <w:tc>
          <w:tcPr>
            <w:tcW w:type="dxa" w:w="439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fixed mapping</w:t>
            </w:r>
          </w:p>
        </w:tc>
      </w:tr>
      <w:tr>
        <w:tc>
          <w:tcPr>
            <w:tcW w:type="dxa" w:w="244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contract_stability_score</w:t>
            </w:r>
          </w:p>
        </w:tc>
        <w:tc>
          <w:tcPr>
            <w:tcW w:type="dxa" w:w="367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month=1, one-year=2, two-year=3</w:t>
            </w:r>
          </w:p>
        </w:tc>
        <w:tc>
          <w:tcPr>
            <w:tcW w:type="dxa" w:w="43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fixed mapping</w:t>
            </w:r>
          </w:p>
        </w:tc>
      </w:tr>
      <w:tr>
        <w:tc>
          <w:tcPr>
            <w:tcW w:type="dxa" w:w="2448"/>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high_value_customer</w:t>
            </w:r>
          </w:p>
        </w:tc>
        <w:tc>
          <w:tcPr>
            <w:tcW w:type="dxa" w:w="367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MonthlyCharges &gt; training p75</w:t>
            </w:r>
          </w:p>
        </w:tc>
        <w:tc>
          <w:tcPr>
            <w:tcW w:type="dxa" w:w="439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persisted threshold</w:t>
            </w:r>
          </w:p>
        </w:tc>
      </w:tr>
    </w:tbl>
    <w:p>
      <w:pPr>
        <w:keepNext/>
        <w:spacing w:before="60" w:after="80" w:line="240" w:lineRule="auto"/>
        <w:pBdr>
          <w:bottom w:val="single" w:sz="6" w:space="2" w:color="555555"/>
        </w:pBdr>
      </w:pPr>
      <w:r>
        <w:rPr>
          <w:rFonts w:ascii="Arial" w:hAnsi="Arial"/>
          <w:b/>
          <w:i w:val="0"/>
          <w:color w:val="000000"/>
          <w:sz w:val="22"/>
        </w:rPr>
        <w:t>Leakage and quality controls</w:t>
      </w:r>
    </w:p>
    <w:p>
      <w:pPr>
        <w:pStyle w:val="ListBullet"/>
        <w:keepNext w:val="0"/>
        <w:spacing w:before="0" w:after="20" w:line="240" w:lineRule="auto"/>
      </w:pPr>
      <w:r>
        <w:rPr>
          <w:rFonts w:ascii="Arial" w:hAnsi="Arial"/>
          <w:b w:val="0"/>
          <w:i w:val="0"/>
          <w:color w:val="000000"/>
          <w:sz w:val="15"/>
        </w:rPr>
        <w:t>Raw rows are stratified 60/20/20 before any data-derived feature is fitted. Encoders and scaler fit only on training rows.</w:t>
      </w:r>
    </w:p>
    <w:p>
      <w:pPr>
        <w:pStyle w:val="ListBullet"/>
        <w:keepNext w:val="0"/>
        <w:spacing w:before="0" w:after="20" w:line="240" w:lineRule="auto"/>
      </w:pPr>
      <w:r>
        <w:rPr>
          <w:rFonts w:ascii="Arial" w:hAnsi="Arial"/>
          <w:b w:val="0"/>
          <w:i w:val="0"/>
          <w:color w:val="000000"/>
          <w:sz w:val="15"/>
        </w:rPr>
        <w:t>Quality gates cover schema, missing rates, numeric ranges, duplicate IDs, and logical consistency.</w:t>
      </w:r>
    </w:p>
    <w:p>
      <w:pPr>
        <w:pStyle w:val="ListBullet"/>
        <w:keepNext w:val="0"/>
        <w:spacing w:before="0" w:after="20" w:line="240" w:lineRule="auto"/>
      </w:pPr>
      <w:r>
        <w:rPr>
          <w:rFonts w:ascii="Arial" w:hAnsi="Arial"/>
          <w:b w:val="0"/>
          <w:i w:val="0"/>
          <w:color w:val="000000"/>
          <w:sz w:val="15"/>
        </w:rPr>
        <w:t>The current batch passed blocking checks. Fifty-nine charge-history deviations remain a non-blocking warning because current monthly price need not equal historical average price.</w:t>
      </w:r>
    </w:p>
    <w:p>
      <w:pPr>
        <w:pStyle w:val="ListBullet"/>
        <w:keepNext w:val="0"/>
        <w:spacing w:before="0" w:after="20" w:line="240" w:lineRule="auto"/>
      </w:pPr>
      <w:r>
        <w:rPr>
          <w:rFonts w:ascii="Arial" w:hAnsi="Arial"/>
          <w:b w:val="0"/>
          <w:i w:val="0"/>
          <w:color w:val="000000"/>
          <w:sz w:val="15"/>
        </w:rPr>
        <w:t>Batch ingestion merges new CSV data, keeps the latest customer record, and writes a timestamped JSON audit summary.</w:t>
      </w:r>
    </w:p>
    <w:p>
      <w:pPr>
        <w:keepNext w:val="0"/>
        <w:spacing w:before="0" w:after="80" w:line="240" w:lineRule="auto"/>
      </w:pPr>
      <w:r>
        <w:rPr>
          <w:rFonts w:ascii="Arial" w:hAnsi="Arial"/>
          <w:b w:val="0"/>
          <w:i w:val="0"/>
          <w:color w:val="000000"/>
          <w:sz w:val="15"/>
        </w:rPr>
        <w:t>Offline and online availability is explicit. All six features can be calculated from request-time account fields. The only learned feature parameter is the high-value threshold; it is fitted on training rows, serialized, and loaded for both serving modes. This avoids recomputing a percentile from a single online request or a recent batch.</w:t>
      </w:r>
    </w:p>
    <w:tbl>
      <w:tblPr>
        <w:tblW w:type="auto" w:w="0"/>
        <w:jc w:val="center"/>
        <w:tblLook w:firstColumn="1" w:firstRow="1" w:lastColumn="0" w:lastRow="0" w:noHBand="0" w:noVBand="1" w:val="04A0"/>
      </w:tblPr>
      <w:tblGrid>
        <w:gridCol w:w="10488"/>
      </w:tblGrid>
      <w:tr>
        <w:tc>
          <w:tcPr>
            <w:tcW w:type="dxa" w:w="10488"/>
            <w:shd w:fill="202020"/>
            <w:tcMar>
              <w:top w:w="110" w:type="dxa"/>
              <w:start w:w="130" w:type="dxa"/>
              <w:bottom w:w="110" w:type="dxa"/>
              <w:end w:w="130" w:type="dxa"/>
            </w:tcMar>
          </w:tcPr>
          <w:p>
            <w:pPr>
              <w:keepNext w:val="0"/>
              <w:spacing w:before="0" w:after="80" w:line="240" w:lineRule="auto"/>
            </w:pPr>
            <w:r>
              <w:rPr>
                <w:rFonts w:ascii="Arial" w:hAnsi="Arial"/>
                <w:b/>
                <w:i w:val="0"/>
                <w:color w:val="FFFFFF"/>
                <w:sz w:val="14"/>
              </w:rPr>
              <w:t>DEMO EVIDENCE 1/4 — DATA QUALITY RUN</w:t>
            </w:r>
          </w:p>
          <w:p>
            <w:pPr>
              <w:keepNext w:val="0"/>
              <w:spacing w:before="0" w:after="20" w:line="240" w:lineRule="auto"/>
            </w:pPr>
            <w:r>
              <w:rPr>
                <w:rFonts w:ascii="Courier New" w:hAnsi="Courier New"/>
                <w:b w:val="0"/>
                <w:i w:val="0"/>
                <w:color w:val="FFFFFF"/>
                <w:sz w:val="13"/>
              </w:rPr>
              <w:t>rows=7043 columns=21 overall_passed=True</w:t>
            </w:r>
          </w:p>
          <w:p>
            <w:pPr>
              <w:keepNext w:val="0"/>
              <w:spacing w:before="0" w:after="20" w:line="240" w:lineRule="auto"/>
            </w:pPr>
            <w:r>
              <w:rPr>
                <w:rFonts w:ascii="Courier New" w:hAnsi="Courier New"/>
                <w:b w:val="0"/>
                <w:i w:val="0"/>
                <w:color w:val="FFFFFF"/>
                <w:sz w:val="13"/>
              </w:rPr>
              <w:t>schema=PASS | missing=PASS | ranges=PASS | duplicates=PASS</w:t>
            </w:r>
          </w:p>
          <w:p>
            <w:pPr>
              <w:keepNext w:val="0"/>
              <w:spacing w:before="0" w:after="20" w:line="240" w:lineRule="auto"/>
            </w:pPr>
            <w:r>
              <w:rPr>
                <w:rFonts w:ascii="Courier New" w:hAnsi="Courier New"/>
                <w:b w:val="0"/>
                <w:i w:val="0"/>
                <w:color w:val="FFFFFF"/>
                <w:sz w:val="13"/>
              </w:rPr>
              <w:t>consistency=WARNING: 59 rows exceed 20% charge-history deviation</w:t>
            </w:r>
          </w:p>
          <w:p>
            <w:pPr>
              <w:keepNext w:val="0"/>
              <w:spacing w:before="0" w:after="20" w:line="240" w:lineRule="auto"/>
            </w:pPr>
            <w:r>
              <w:rPr>
                <w:rFonts w:ascii="Courier New" w:hAnsi="Courier New"/>
                <w:b w:val="0"/>
                <w:i w:val="0"/>
                <w:color w:val="FFFFFF"/>
                <w:sz w:val="13"/>
              </w:rPr>
              <w:t>artifact: artifacts/logs/data_quality_report_20260808_040152.json</w:t>
            </w:r>
          </w:p>
        </w:tc>
      </w:tr>
    </w:tbl>
    <w:p>
      <w:r>
        <w:br w:type="page"/>
      </w:r>
    </w:p>
    <w:tbl>
      <w:tblPr>
        <w:tblW w:type="auto" w:w="0"/>
        <w:jc w:val="center"/>
        <w:tblLayout w:type="fixed"/>
        <w:tblLook w:firstColumn="1" w:firstRow="1" w:lastColumn="0" w:lastRow="0" w:noHBand="0" w:noVBand="1" w:val="04A0"/>
      </w:tblPr>
      <w:tblGrid>
        <w:gridCol w:w="5244"/>
        <w:gridCol w:w="5244"/>
      </w:tblGrid>
      <w:tr>
        <w:tc>
          <w:tcPr>
            <w:tcW w:type="dxa" w:w="9576"/>
            <w:shd w:fill="202020"/>
            <w:tcMar>
              <w:top w:w="110" w:type="dxa"/>
              <w:start w:w="130" w:type="dxa"/>
              <w:bottom w:w="110" w:type="dxa"/>
              <w:end w:w="130" w:type="dxa"/>
            </w:tcMar>
            <w:vAlign w:val="center"/>
          </w:tcPr>
          <w:p>
            <w:pPr>
              <w:keepNext w:val="0"/>
              <w:spacing w:before="0" w:after="0" w:line="240" w:lineRule="auto"/>
            </w:pPr>
            <w:r>
              <w:rPr>
                <w:rFonts w:ascii="Arial" w:hAnsi="Arial"/>
                <w:b/>
                <w:i w:val="0"/>
                <w:color w:val="FFFFFF"/>
                <w:sz w:val="26"/>
              </w:rPr>
              <w:t>Model development and offline evaluation</w:t>
            </w:r>
          </w:p>
        </w:tc>
        <w:tc>
          <w:tcPr>
            <w:tcW w:type="dxa" w:w="936"/>
            <w:shd w:fill="202020"/>
            <w:tcMar>
              <w:top w:w="110" w:type="dxa"/>
              <w:start w:w="130" w:type="dxa"/>
              <w:bottom w:w="110" w:type="dxa"/>
              <w:end w:w="130" w:type="dxa"/>
            </w:tcMar>
            <w:vAlign w:val="center"/>
          </w:tcPr>
          <w:p>
            <w:pPr>
              <w:keepNext w:val="0"/>
              <w:spacing w:before="0" w:after="0" w:line="240" w:lineRule="auto"/>
              <w:jc w:val="right"/>
            </w:pPr>
            <w:r>
              <w:rPr>
                <w:rFonts w:ascii="Arial" w:hAnsi="Arial"/>
                <w:b/>
                <w:i w:val="0"/>
                <w:color w:val="FFFFFF"/>
                <w:sz w:val="16"/>
              </w:rPr>
              <w:t>4/6</w:t>
            </w:r>
          </w:p>
        </w:tc>
      </w:tr>
    </w:tbl>
    <w:p>
      <w:pPr>
        <w:keepNext w:val="0"/>
        <w:spacing w:before="0" w:after="60" w:line="240" w:lineRule="auto"/>
      </w:pPr>
      <w:r>
        <w:rPr>
          <w:rFonts w:ascii="Arial" w:hAnsi="Arial"/>
          <w:b w:val="0"/>
          <w:i w:val="0"/>
          <w:color w:val="000000"/>
          <w:sz w:val="2"/>
        </w:rPr>
      </w:r>
    </w:p>
    <w:p>
      <w:pPr>
        <w:keepNext w:val="0"/>
        <w:spacing w:before="0" w:after="100" w:line="240" w:lineRule="auto"/>
      </w:pPr>
      <w:r>
        <w:rPr>
          <w:rFonts w:ascii="Arial" w:hAnsi="Arial"/>
          <w:b w:val="0"/>
          <w:i w:val="0"/>
          <w:color w:val="000000"/>
          <w:sz w:val="16"/>
        </w:rPr>
        <w:t>The baseline is balanced logistic regression. The candidate remains TensorFlow 2.13—not an sklearn MLPClassifier—with hidden layers [64, 32, 16], seed 42, dropout 0.3, early stopping, learning-rate reduction, and balanced class weights computed from training labels. Validation selects the model; test data is reported separately as the final estimate.</w:t>
      </w:r>
    </w:p>
    <w:tbl>
      <w:tblPr>
        <w:tblStyle w:val="TableGrid"/>
        <w:tblW w:type="auto" w:w="0"/>
        <w:jc w:val="center"/>
        <w:tblLayout w:type="fixed"/>
        <w:tblLook w:firstColumn="1" w:firstRow="1" w:lastColumn="0" w:lastRow="0" w:noHBand="0" w:noVBand="1" w:val="04A0"/>
      </w:tblPr>
      <w:tblGrid>
        <w:gridCol w:w="2622"/>
        <w:gridCol w:w="2622"/>
        <w:gridCol w:w="2622"/>
        <w:gridCol w:w="2622"/>
      </w:tblGrid>
      <w:tr>
        <w:trPr>
          <w:tblHeader w:val="true"/>
        </w:trPr>
        <w:tc>
          <w:tcPr>
            <w:tcW w:type="dxa" w:w="2880"/>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Validation metric</w:t>
            </w:r>
          </w:p>
        </w:tc>
        <w:tc>
          <w:tcPr>
            <w:tcW w:type="dxa" w:w="2448"/>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Baseline LR</w:t>
            </w:r>
          </w:p>
        </w:tc>
        <w:tc>
          <w:tcPr>
            <w:tcW w:type="dxa" w:w="2592"/>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TensorFlow NN</w:t>
            </w:r>
          </w:p>
        </w:tc>
        <w:tc>
          <w:tcPr>
            <w:tcW w:type="dxa" w:w="2592"/>
            <w:shd w:fill="202020"/>
            <w:tcMar>
              <w:top w:w="70" w:type="dxa"/>
              <w:start w:w="90" w:type="dxa"/>
              <w:bottom w:w="70" w:type="dxa"/>
              <w:end w:w="90" w:type="dxa"/>
            </w:tcMar>
            <w:vAlign w:val="center"/>
          </w:tcPr>
          <w:p>
            <w:pPr>
              <w:keepNext w:val="0"/>
              <w:spacing w:before="0" w:after="0" w:line="240" w:lineRule="auto"/>
            </w:pPr>
            <w:r>
              <w:rPr>
                <w:rFonts w:ascii="Arial" w:hAnsi="Arial"/>
                <w:b/>
                <w:i w:val="0"/>
                <w:color w:val="FFFFFF"/>
                <w:sz w:val="14"/>
              </w:rPr>
              <w:t>Winner</w:t>
            </w:r>
          </w:p>
        </w:tc>
      </w:tr>
      <w:tr>
        <w:tc>
          <w:tcPr>
            <w:tcW w:type="dxa" w:w="2880"/>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ROC AUC</w:t>
            </w:r>
          </w:p>
        </w:tc>
        <w:tc>
          <w:tcPr>
            <w:tcW w:type="dxa" w:w="244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0.8354</w:t>
            </w:r>
          </w:p>
        </w:tc>
        <w:tc>
          <w:tcPr>
            <w:tcW w:type="dxa" w:w="25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0.8300</w:t>
            </w:r>
          </w:p>
        </w:tc>
        <w:tc>
          <w:tcPr>
            <w:tcW w:type="dxa" w:w="25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Baseline</w:t>
            </w:r>
          </w:p>
        </w:tc>
      </w:tr>
      <w:tr>
        <w:tc>
          <w:tcPr>
            <w:tcW w:type="dxa" w:w="2880"/>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Recall</w:t>
            </w:r>
          </w:p>
        </w:tc>
        <w:tc>
          <w:tcPr>
            <w:tcW w:type="dxa" w:w="2448"/>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0.7941</w:t>
            </w:r>
          </w:p>
        </w:tc>
        <w:tc>
          <w:tcPr>
            <w:tcW w:type="dxa" w:w="259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0.7674</w:t>
            </w:r>
          </w:p>
        </w:tc>
        <w:tc>
          <w:tcPr>
            <w:tcW w:type="dxa" w:w="259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Baseline</w:t>
            </w:r>
          </w:p>
        </w:tc>
      </w:tr>
      <w:tr>
        <w:tc>
          <w:tcPr>
            <w:tcW w:type="dxa" w:w="2880"/>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Precision</w:t>
            </w:r>
          </w:p>
        </w:tc>
        <w:tc>
          <w:tcPr>
            <w:tcW w:type="dxa" w:w="244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0.5174</w:t>
            </w:r>
          </w:p>
        </w:tc>
        <w:tc>
          <w:tcPr>
            <w:tcW w:type="dxa" w:w="25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0.5009</w:t>
            </w:r>
          </w:p>
        </w:tc>
        <w:tc>
          <w:tcPr>
            <w:tcW w:type="dxa" w:w="25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Baseline</w:t>
            </w:r>
          </w:p>
        </w:tc>
      </w:tr>
      <w:tr>
        <w:tc>
          <w:tcPr>
            <w:tcW w:type="dxa" w:w="2880"/>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F1</w:t>
            </w:r>
          </w:p>
        </w:tc>
        <w:tc>
          <w:tcPr>
            <w:tcW w:type="dxa" w:w="2448"/>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0.6266</w:t>
            </w:r>
          </w:p>
        </w:tc>
        <w:tc>
          <w:tcPr>
            <w:tcW w:type="dxa" w:w="259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0.6061</w:t>
            </w:r>
          </w:p>
        </w:tc>
        <w:tc>
          <w:tcPr>
            <w:tcW w:type="dxa" w:w="2592"/>
            <w:tcMar>
              <w:top w:w="70" w:type="dxa"/>
              <w:start w:w="90" w:type="dxa"/>
              <w:bottom w:w="70" w:type="dxa"/>
              <w:end w:w="90" w:type="dxa"/>
            </w:tcMar>
            <w:shd w:fill="F4F4F4"/>
            <w:vAlign w:val="center"/>
          </w:tcPr>
          <w:p>
            <w:pPr>
              <w:keepNext w:val="0"/>
              <w:spacing w:before="0" w:after="0" w:line="240" w:lineRule="auto"/>
            </w:pPr>
            <w:r>
              <w:rPr>
                <w:rFonts w:ascii="Arial" w:hAnsi="Arial"/>
                <w:b w:val="0"/>
                <w:i w:val="0"/>
                <w:color w:val="000000"/>
                <w:sz w:val="14"/>
              </w:rPr>
              <w:t>Baseline</w:t>
            </w:r>
          </w:p>
        </w:tc>
      </w:tr>
      <w:tr>
        <w:tc>
          <w:tcPr>
            <w:tcW w:type="dxa" w:w="2880"/>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Accuracy</w:t>
            </w:r>
          </w:p>
        </w:tc>
        <w:tc>
          <w:tcPr>
            <w:tcW w:type="dxa" w:w="2448"/>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0.7488</w:t>
            </w:r>
          </w:p>
        </w:tc>
        <w:tc>
          <w:tcPr>
            <w:tcW w:type="dxa" w:w="25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0.7353</w:t>
            </w:r>
          </w:p>
        </w:tc>
        <w:tc>
          <w:tcPr>
            <w:tcW w:type="dxa" w:w="2592"/>
            <w:tcMar>
              <w:top w:w="70" w:type="dxa"/>
              <w:start w:w="90" w:type="dxa"/>
              <w:bottom w:w="70" w:type="dxa"/>
              <w:end w:w="90" w:type="dxa"/>
            </w:tcMar>
            <w:shd w:fill="FFFFFF"/>
            <w:vAlign w:val="center"/>
          </w:tcPr>
          <w:p>
            <w:pPr>
              <w:keepNext w:val="0"/>
              <w:spacing w:before="0" w:after="0" w:line="240" w:lineRule="auto"/>
            </w:pPr>
            <w:r>
              <w:rPr>
                <w:rFonts w:ascii="Arial" w:hAnsi="Arial"/>
                <w:b w:val="0"/>
                <w:i w:val="0"/>
                <w:color w:val="000000"/>
                <w:sz w:val="14"/>
              </w:rPr>
              <w:t>Baseline</w:t>
            </w:r>
          </w:p>
        </w:tc>
      </w:tr>
    </w:tbl>
    <w:tbl>
      <w:tblPr>
        <w:tblW w:type="auto" w:w="0"/>
        <w:jc w:val="center"/>
        <w:tblLayout w:type="fixed"/>
        <w:tblLook w:firstColumn="1" w:firstRow="1" w:lastColumn="0" w:lastRow="0" w:noHBand="0" w:noVBand="1" w:val="04A0"/>
      </w:tblPr>
      <w:tblGrid>
        <w:gridCol w:w="3496"/>
        <w:gridCol w:w="3496"/>
        <w:gridCol w:w="3496"/>
      </w:tblGrid>
      <w:tr>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BASELINE TEST AUC</w:t>
            </w:r>
          </w:p>
          <w:p>
            <w:pPr>
              <w:keepNext w:val="0"/>
              <w:spacing w:before="0" w:after="20" w:line="240" w:lineRule="auto"/>
            </w:pPr>
            <w:r>
              <w:rPr>
                <w:rFonts w:ascii="Arial" w:hAnsi="Arial"/>
                <w:b/>
                <w:i w:val="0"/>
                <w:color w:val="000000"/>
                <w:sz w:val="29"/>
              </w:rPr>
              <w:t>0.8429</w:t>
            </w:r>
          </w:p>
          <w:p>
            <w:pPr>
              <w:keepNext w:val="0"/>
              <w:spacing w:before="0" w:after="0" w:line="240" w:lineRule="auto"/>
            </w:pPr>
            <w:r>
              <w:rPr>
                <w:rFonts w:ascii="Arial" w:hAnsi="Arial"/>
                <w:b w:val="0"/>
                <w:i w:val="0"/>
                <w:color w:val="555555"/>
                <w:sz w:val="13"/>
              </w:rPr>
              <w:t>untouched test set</w:t>
            </w:r>
          </w:p>
        </w:tc>
        <w:tc>
          <w:tcPr>
            <w:tcW w:type="dxa" w:w="3504"/>
            <w:shd w:fill="E7E7E7"/>
            <w:tcMar>
              <w:top w:w="100" w:type="dxa"/>
              <w:start w:w="110" w:type="dxa"/>
              <w:bottom w:w="100" w:type="dxa"/>
              <w:end w:w="110" w:type="dxa"/>
            </w:tcMar>
          </w:tcPr>
          <w:p>
            <w:pPr>
              <w:keepNext w:val="0"/>
              <w:spacing w:before="0" w:after="20" w:line="240" w:lineRule="auto"/>
            </w:pPr>
            <w:r>
              <w:rPr>
                <w:rFonts w:ascii="Arial" w:hAnsi="Arial"/>
                <w:b/>
                <w:i w:val="0"/>
                <w:color w:val="555555"/>
                <w:sz w:val="13"/>
              </w:rPr>
              <w:t>CANDIDATE TEST AUC</w:t>
            </w:r>
          </w:p>
          <w:p>
            <w:pPr>
              <w:keepNext w:val="0"/>
              <w:spacing w:before="0" w:after="20" w:line="240" w:lineRule="auto"/>
            </w:pPr>
            <w:r>
              <w:rPr>
                <w:rFonts w:ascii="Arial" w:hAnsi="Arial"/>
                <w:b/>
                <w:i w:val="0"/>
                <w:color w:val="000000"/>
                <w:sz w:val="29"/>
              </w:rPr>
              <w:t>0.8364</w:t>
            </w:r>
          </w:p>
          <w:p>
            <w:pPr>
              <w:keepNext w:val="0"/>
              <w:spacing w:before="0" w:after="0" w:line="240" w:lineRule="auto"/>
            </w:pPr>
            <w:r>
              <w:rPr>
                <w:rFonts w:ascii="Arial" w:hAnsi="Arial"/>
                <w:b w:val="0"/>
                <w:i w:val="0"/>
                <w:color w:val="555555"/>
                <w:sz w:val="13"/>
              </w:rPr>
              <w:t>untouched test set</w:t>
            </w:r>
          </w:p>
        </w:tc>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CHAMPION</w:t>
            </w:r>
          </w:p>
          <w:p>
            <w:pPr>
              <w:keepNext w:val="0"/>
              <w:spacing w:before="0" w:after="20" w:line="240" w:lineRule="auto"/>
            </w:pPr>
            <w:r>
              <w:rPr>
                <w:rFonts w:ascii="Arial" w:hAnsi="Arial"/>
                <w:b/>
                <w:i w:val="0"/>
                <w:color w:val="000000"/>
                <w:sz w:val="29"/>
              </w:rPr>
              <w:t>Baseline</w:t>
            </w:r>
          </w:p>
          <w:p>
            <w:pPr>
              <w:keepNext w:val="0"/>
              <w:spacing w:before="0" w:after="0" w:line="240" w:lineRule="auto"/>
            </w:pPr>
            <w:r>
              <w:rPr>
                <w:rFonts w:ascii="Arial" w:hAnsi="Arial"/>
                <w:b w:val="0"/>
                <w:i w:val="0"/>
                <w:color w:val="555555"/>
                <w:sz w:val="13"/>
              </w:rPr>
              <w:t>lower complexity; better validation</w:t>
            </w:r>
          </w:p>
        </w:tc>
      </w:tr>
    </w:tbl>
    <w:p>
      <w:pPr>
        <w:keepNext/>
        <w:spacing w:before="60" w:after="80" w:line="240" w:lineRule="auto"/>
        <w:pBdr>
          <w:bottom w:val="single" w:sz="6" w:space="2" w:color="555555"/>
        </w:pBdr>
      </w:pPr>
      <w:r>
        <w:rPr>
          <w:rFonts w:ascii="Arial" w:hAnsi="Arial"/>
          <w:b/>
          <w:i w:val="0"/>
          <w:color w:val="000000"/>
          <w:sz w:val="22"/>
        </w:rPr>
        <w:t>Promotion decision</w:t>
      </w:r>
    </w:p>
    <w:p>
      <w:pPr>
        <w:keepNext w:val="0"/>
        <w:spacing w:before="0" w:after="60" w:line="240" w:lineRule="auto"/>
      </w:pPr>
      <w:r>
        <w:rPr>
          <w:rFonts w:ascii="Arial" w:hAnsi="Arial"/>
          <w:b w:val="0"/>
          <w:i w:val="0"/>
          <w:color w:val="000000"/>
          <w:sz w:val="16"/>
        </w:rPr>
        <w:t>The candidate passes absolute AUC and recall thresholds, but its validation AUC is 0.0054 lower and all other validation metrics are also lower. It is therefore not promoted: additional latency and model complexity are unjustified without a primary-metric gain.</w:t>
      </w:r>
    </w:p>
    <w:p>
      <w:pPr>
        <w:keepNext w:val="0"/>
        <w:spacing w:before="0" w:after="80" w:line="240" w:lineRule="auto"/>
      </w:pPr>
      <w:r>
        <w:rPr>
          <w:rFonts w:ascii="Arial" w:hAnsi="Arial"/>
          <w:b w:val="0"/>
          <w:i w:val="0"/>
          <w:color w:val="000000"/>
          <w:sz w:val="16"/>
        </w:rPr>
        <w:t>AUC measures ranking quality across thresholds; recall captures how many true churners reach the intervention queue; precision estimates wasted outreach; and F1 summarizes the recall-precision balance. Accuracy is secondary because the majority class can make it look acceptable even when churners are missed. Final threshold calibration should use observed retention costs and capacity.</w:t>
      </w:r>
    </w:p>
    <w:tbl>
      <w:tblPr>
        <w:tblW w:type="auto" w:w="0"/>
        <w:jc w:val="center"/>
        <w:tblLook w:firstColumn="1" w:firstRow="1" w:lastColumn="0" w:lastRow="0" w:noHBand="0" w:noVBand="1" w:val="04A0"/>
      </w:tblPr>
      <w:tblGrid>
        <w:gridCol w:w="10488"/>
      </w:tblGrid>
      <w:tr>
        <w:tc>
          <w:tcPr>
            <w:tcW w:type="dxa" w:w="10488"/>
            <w:shd w:fill="202020"/>
            <w:tcMar>
              <w:top w:w="110" w:type="dxa"/>
              <w:start w:w="130" w:type="dxa"/>
              <w:bottom w:w="110" w:type="dxa"/>
              <w:end w:w="130" w:type="dxa"/>
            </w:tcMar>
          </w:tcPr>
          <w:p>
            <w:pPr>
              <w:keepNext w:val="0"/>
              <w:spacing w:before="0" w:after="80" w:line="240" w:lineRule="auto"/>
            </w:pPr>
            <w:r>
              <w:rPr>
                <w:rFonts w:ascii="Arial" w:hAnsi="Arial"/>
                <w:b/>
                <w:i w:val="0"/>
                <w:color w:val="FFFFFF"/>
                <w:sz w:val="14"/>
              </w:rPr>
              <w:t>DEMO EVIDENCE 2/4 — MODEL COMPARISON</w:t>
            </w:r>
          </w:p>
          <w:p>
            <w:pPr>
              <w:keepNext w:val="0"/>
              <w:spacing w:before="0" w:after="20" w:line="240" w:lineRule="auto"/>
            </w:pPr>
            <w:r>
              <w:rPr>
                <w:rFonts w:ascii="Courier New" w:hAnsi="Courier New"/>
                <w:b w:val="0"/>
                <w:i w:val="0"/>
                <w:color w:val="FFFFFF"/>
                <w:sz w:val="13"/>
              </w:rPr>
              <w:t>VALIDATION  baseline_auc=0.8354  candidate_auc=0.8300  delta=-0.0054</w:t>
            </w:r>
          </w:p>
          <w:p>
            <w:pPr>
              <w:keepNext w:val="0"/>
              <w:spacing w:before="0" w:after="20" w:line="240" w:lineRule="auto"/>
            </w:pPr>
            <w:r>
              <w:rPr>
                <w:rFonts w:ascii="Courier New" w:hAnsi="Courier New"/>
                <w:b w:val="0"/>
                <w:i w:val="0"/>
                <w:color w:val="FFFFFF"/>
                <w:sz w:val="13"/>
              </w:rPr>
              <w:t>VALIDATION  baseline_recall=0.7941  candidate_recall=0.7674</w:t>
            </w:r>
          </w:p>
          <w:p>
            <w:pPr>
              <w:keepNext w:val="0"/>
              <w:spacing w:before="0" w:after="20" w:line="240" w:lineRule="auto"/>
            </w:pPr>
            <w:r>
              <w:rPr>
                <w:rFonts w:ascii="Courier New" w:hAnsi="Courier New"/>
                <w:b w:val="0"/>
                <w:i w:val="0"/>
                <w:color w:val="FFFFFF"/>
                <w:sz w:val="13"/>
              </w:rPr>
              <w:t>GUARDRAILS  min_auc=0.80 PASS | min_recall=0.75 PASS | auc_gain FAIL</w:t>
            </w:r>
          </w:p>
          <w:p>
            <w:pPr>
              <w:keepNext w:val="0"/>
              <w:spacing w:before="0" w:after="20" w:line="240" w:lineRule="auto"/>
            </w:pPr>
            <w:r>
              <w:rPr>
                <w:rFonts w:ascii="Courier New" w:hAnsi="Courier New"/>
                <w:b w:val="0"/>
                <w:i w:val="0"/>
                <w:color w:val="FFFFFF"/>
                <w:sz w:val="13"/>
              </w:rPr>
              <w:t>DECISION    KEEP BASELINE -&gt; models/current_best.json</w:t>
            </w:r>
          </w:p>
          <w:p>
            <w:pPr>
              <w:keepNext w:val="0"/>
              <w:spacing w:before="0" w:after="20" w:line="240" w:lineRule="auto"/>
            </w:pPr>
            <w:r>
              <w:rPr>
                <w:rFonts w:ascii="Courier New" w:hAnsi="Courier New"/>
                <w:b w:val="0"/>
                <w:i w:val="0"/>
                <w:color w:val="FFFFFF"/>
                <w:sz w:val="13"/>
              </w:rPr>
              <w:t>MLFLOW      baseline_20260808_041203 FINISHED | candidate_20260808_041229 FINISHED</w:t>
            </w:r>
          </w:p>
          <w:p>
            <w:pPr>
              <w:keepNext w:val="0"/>
              <w:spacing w:before="0" w:after="20" w:line="240" w:lineRule="auto"/>
            </w:pPr>
            <w:r>
              <w:rPr>
                <w:rFonts w:ascii="Courier New" w:hAnsi="Courier New"/>
                <w:b w:val="0"/>
                <w:i w:val="0"/>
                <w:color w:val="FFFFFF"/>
                <w:sz w:val="13"/>
              </w:rPr>
              <w:t>artifacts/eval/model_comparison.json</w:t>
            </w:r>
          </w:p>
        </w:tc>
      </w:tr>
    </w:tbl>
    <w:p>
      <w:r>
        <w:br w:type="page"/>
      </w:r>
    </w:p>
    <w:tbl>
      <w:tblPr>
        <w:tblW w:type="auto" w:w="0"/>
        <w:jc w:val="center"/>
        <w:tblLayout w:type="fixed"/>
        <w:tblLook w:firstColumn="1" w:firstRow="1" w:lastColumn="0" w:lastRow="0" w:noHBand="0" w:noVBand="1" w:val="04A0"/>
      </w:tblPr>
      <w:tblGrid>
        <w:gridCol w:w="5244"/>
        <w:gridCol w:w="5244"/>
      </w:tblGrid>
      <w:tr>
        <w:tc>
          <w:tcPr>
            <w:tcW w:type="dxa" w:w="9576"/>
            <w:shd w:fill="202020"/>
            <w:tcMar>
              <w:top w:w="110" w:type="dxa"/>
              <w:start w:w="130" w:type="dxa"/>
              <w:bottom w:w="110" w:type="dxa"/>
              <w:end w:w="130" w:type="dxa"/>
            </w:tcMar>
            <w:vAlign w:val="center"/>
          </w:tcPr>
          <w:p>
            <w:pPr>
              <w:keepNext w:val="0"/>
              <w:spacing w:before="0" w:after="0" w:line="240" w:lineRule="auto"/>
            </w:pPr>
            <w:r>
              <w:rPr>
                <w:rFonts w:ascii="Arial" w:hAnsi="Arial"/>
                <w:b/>
                <w:i w:val="0"/>
                <w:color w:val="FFFFFF"/>
                <w:sz w:val="26"/>
              </w:rPr>
              <w:t>Serving, latency, and demo evidence</w:t>
            </w:r>
          </w:p>
        </w:tc>
        <w:tc>
          <w:tcPr>
            <w:tcW w:type="dxa" w:w="936"/>
            <w:shd w:fill="202020"/>
            <w:tcMar>
              <w:top w:w="110" w:type="dxa"/>
              <w:start w:w="130" w:type="dxa"/>
              <w:bottom w:w="110" w:type="dxa"/>
              <w:end w:w="130" w:type="dxa"/>
            </w:tcMar>
            <w:vAlign w:val="center"/>
          </w:tcPr>
          <w:p>
            <w:pPr>
              <w:keepNext w:val="0"/>
              <w:spacing w:before="0" w:after="0" w:line="240" w:lineRule="auto"/>
              <w:jc w:val="right"/>
            </w:pPr>
            <w:r>
              <w:rPr>
                <w:rFonts w:ascii="Arial" w:hAnsi="Arial"/>
                <w:b/>
                <w:i w:val="0"/>
                <w:color w:val="FFFFFF"/>
                <w:sz w:val="16"/>
              </w:rPr>
              <w:t>5/6</w:t>
            </w:r>
          </w:p>
        </w:tc>
      </w:tr>
    </w:tbl>
    <w:p>
      <w:pPr>
        <w:keepNext w:val="0"/>
        <w:spacing w:before="0" w:after="60" w:line="240" w:lineRule="auto"/>
      </w:pPr>
      <w:r>
        <w:rPr>
          <w:rFonts w:ascii="Arial" w:hAnsi="Arial"/>
          <w:b w:val="0"/>
          <w:i w:val="0"/>
          <w:color w:val="000000"/>
          <w:sz w:val="2"/>
        </w:rPr>
      </w:r>
    </w:p>
    <w:p>
      <w:pPr>
        <w:keepNext/>
        <w:spacing w:before="60" w:after="80" w:line="240" w:lineRule="auto"/>
        <w:pBdr>
          <w:bottom w:val="single" w:sz="6" w:space="2" w:color="555555"/>
        </w:pBdr>
      </w:pPr>
      <w:r>
        <w:rPr>
          <w:rFonts w:ascii="Arial" w:hAnsi="Arial"/>
          <w:b/>
          <w:i w:val="0"/>
          <w:color w:val="000000"/>
          <w:sz w:val="22"/>
        </w:rPr>
        <w:t>Request–response contract</w:t>
      </w:r>
    </w:p>
    <w:p>
      <w:pPr>
        <w:keepNext w:val="0"/>
        <w:spacing w:before="0" w:after="80" w:line="240" w:lineRule="auto"/>
      </w:pPr>
      <w:r>
        <w:rPr>
          <w:rFonts w:ascii="Arial" w:hAnsi="Arial"/>
          <w:b w:val="0"/>
          <w:i w:val="0"/>
          <w:color w:val="000000"/>
          <w:sz w:val="16"/>
        </w:rPr>
        <w:t>FastAPI exposes /predict, /health, /metrics, and optional /explain endpoints. A request supplies the 19 model inputs. The response returns churn probability, Yes/No prediction, Low/Medium/High risk band, champion model version, request latency, and timestamp.</w:t>
      </w:r>
    </w:p>
    <w:tbl>
      <w:tblPr>
        <w:tblW w:type="auto" w:w="0"/>
        <w:jc w:val="center"/>
        <w:tblLook w:firstColumn="1" w:firstRow="1" w:lastColumn="0" w:lastRow="0" w:noHBand="0" w:noVBand="1" w:val="04A0"/>
      </w:tblPr>
      <w:tblGrid>
        <w:gridCol w:w="10488"/>
      </w:tblGrid>
      <w:tr>
        <w:tc>
          <w:tcPr>
            <w:tcW w:type="dxa" w:w="10488"/>
            <w:shd w:fill="202020"/>
            <w:tcMar>
              <w:top w:w="110" w:type="dxa"/>
              <w:start w:w="130" w:type="dxa"/>
              <w:bottom w:w="110" w:type="dxa"/>
              <w:end w:w="130" w:type="dxa"/>
            </w:tcMar>
          </w:tcPr>
          <w:p>
            <w:pPr>
              <w:keepNext w:val="0"/>
              <w:spacing w:before="0" w:after="80" w:line="240" w:lineRule="auto"/>
            </w:pPr>
            <w:r>
              <w:rPr>
                <w:rFonts w:ascii="Arial" w:hAnsi="Arial"/>
                <w:b/>
                <w:i w:val="0"/>
                <w:color w:val="FFFFFF"/>
                <w:sz w:val="14"/>
              </w:rPr>
              <w:t>DEMO EVIDENCE 3/4 — LIVE API RESPONSE</w:t>
            </w:r>
          </w:p>
          <w:p>
            <w:pPr>
              <w:keepNext w:val="0"/>
              <w:spacing w:before="0" w:after="20" w:line="240" w:lineRule="auto"/>
            </w:pPr>
            <w:r>
              <w:rPr>
                <w:rFonts w:ascii="Courier New" w:hAnsi="Courier New"/>
                <w:b w:val="0"/>
                <w:i w:val="0"/>
                <w:color w:val="FFFFFF"/>
                <w:sz w:val="13"/>
              </w:rPr>
              <w:t>POST http://127.0.0.1:8000/predict  -&gt; HTTP 200</w:t>
            </w:r>
          </w:p>
          <w:p>
            <w:pPr>
              <w:keepNext w:val="0"/>
              <w:spacing w:before="0" w:after="20" w:line="240" w:lineRule="auto"/>
            </w:pPr>
            <w:r>
              <w:rPr>
                <w:rFonts w:ascii="Courier New" w:hAnsi="Courier New"/>
                <w:b w:val="0"/>
                <w:i w:val="0"/>
                <w:color w:val="FFFFFF"/>
                <w:sz w:val="13"/>
              </w:rPr>
              <w:t>churn_probability: 0.7609</w:t>
            </w:r>
          </w:p>
          <w:p>
            <w:pPr>
              <w:keepNext w:val="0"/>
              <w:spacing w:before="0" w:after="20" w:line="240" w:lineRule="auto"/>
            </w:pPr>
            <w:r>
              <w:rPr>
                <w:rFonts w:ascii="Courier New" w:hAnsi="Courier New"/>
                <w:b w:val="0"/>
                <w:i w:val="0"/>
                <w:color w:val="FFFFFF"/>
                <w:sz w:val="13"/>
              </w:rPr>
              <w:t>prediction: Yes | risk: High</w:t>
            </w:r>
          </w:p>
          <w:p>
            <w:pPr>
              <w:keepNext w:val="0"/>
              <w:spacing w:before="0" w:after="20" w:line="240" w:lineRule="auto"/>
            </w:pPr>
            <w:r>
              <w:rPr>
                <w:rFonts w:ascii="Courier New" w:hAnsi="Courier New"/>
                <w:b w:val="0"/>
                <w:i w:val="0"/>
                <w:color w:val="FFFFFF"/>
                <w:sz w:val="13"/>
              </w:rPr>
              <w:t>model_version: baseline_v1.0.0</w:t>
            </w:r>
          </w:p>
          <w:p>
            <w:pPr>
              <w:keepNext w:val="0"/>
              <w:spacing w:before="0" w:after="20" w:line="240" w:lineRule="auto"/>
            </w:pPr>
            <w:r>
              <w:rPr>
                <w:rFonts w:ascii="Courier New" w:hAnsi="Courier New"/>
                <w:b w:val="0"/>
                <w:i w:val="0"/>
                <w:color w:val="FFFFFF"/>
                <w:sz w:val="13"/>
              </w:rPr>
              <w:t>latency_ms: 8.39 | /metrics verified: true</w:t>
            </w:r>
          </w:p>
        </w:tc>
      </w:tr>
    </w:tbl>
    <w:p>
      <w:pPr>
        <w:keepNext/>
        <w:spacing w:before="60" w:after="80" w:line="240" w:lineRule="auto"/>
        <w:pBdr>
          <w:bottom w:val="single" w:sz="6" w:space="2" w:color="555555"/>
        </w:pBdr>
      </w:pPr>
      <w:r>
        <w:rPr>
          <w:rFonts w:ascii="Arial" w:hAnsi="Arial"/>
          <w:b/>
          <w:i w:val="0"/>
          <w:color w:val="000000"/>
          <w:sz w:val="22"/>
        </w:rPr>
        <w:t>Measured performance</w:t>
      </w:r>
    </w:p>
    <w:tbl>
      <w:tblPr>
        <w:tblW w:type="auto" w:w="0"/>
        <w:jc w:val="center"/>
        <w:tblLayout w:type="fixed"/>
        <w:tblLook w:firstColumn="1" w:firstRow="1" w:lastColumn="0" w:lastRow="0" w:noHBand="0" w:noVBand="1" w:val="04A0"/>
      </w:tblPr>
      <w:tblGrid>
        <w:gridCol w:w="3496"/>
        <w:gridCol w:w="3496"/>
        <w:gridCol w:w="3496"/>
      </w:tblGrid>
      <w:tr>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SEQUENTIAL AVG</w:t>
            </w:r>
          </w:p>
          <w:p>
            <w:pPr>
              <w:keepNext w:val="0"/>
              <w:spacing w:before="0" w:after="20" w:line="240" w:lineRule="auto"/>
            </w:pPr>
            <w:r>
              <w:rPr>
                <w:rFonts w:ascii="Arial" w:hAnsi="Arial"/>
                <w:b/>
                <w:i w:val="0"/>
                <w:color w:val="000000"/>
                <w:sz w:val="29"/>
              </w:rPr>
              <w:t>9.56 ms</w:t>
            </w:r>
          </w:p>
          <w:p>
            <w:pPr>
              <w:keepNext w:val="0"/>
              <w:spacing w:before="0" w:after="0" w:line="240" w:lineRule="auto"/>
            </w:pPr>
            <w:r>
              <w:rPr>
                <w:rFonts w:ascii="Arial" w:hAnsi="Arial"/>
                <w:b w:val="0"/>
                <w:i w:val="0"/>
                <w:color w:val="555555"/>
                <w:sz w:val="13"/>
              </w:rPr>
              <w:t>100/100 successful</w:t>
            </w:r>
          </w:p>
        </w:tc>
        <w:tc>
          <w:tcPr>
            <w:tcW w:type="dxa" w:w="3504"/>
            <w:shd w:fill="E7E7E7"/>
            <w:tcMar>
              <w:top w:w="100" w:type="dxa"/>
              <w:start w:w="110" w:type="dxa"/>
              <w:bottom w:w="100" w:type="dxa"/>
              <w:end w:w="110" w:type="dxa"/>
            </w:tcMar>
          </w:tcPr>
          <w:p>
            <w:pPr>
              <w:keepNext w:val="0"/>
              <w:spacing w:before="0" w:after="20" w:line="240" w:lineRule="auto"/>
            </w:pPr>
            <w:r>
              <w:rPr>
                <w:rFonts w:ascii="Arial" w:hAnsi="Arial"/>
                <w:b/>
                <w:i w:val="0"/>
                <w:color w:val="555555"/>
                <w:sz w:val="13"/>
              </w:rPr>
              <w:t>SEQUENTIAL P95</w:t>
            </w:r>
          </w:p>
          <w:p>
            <w:pPr>
              <w:keepNext w:val="0"/>
              <w:spacing w:before="0" w:after="20" w:line="240" w:lineRule="auto"/>
            </w:pPr>
            <w:r>
              <w:rPr>
                <w:rFonts w:ascii="Arial" w:hAnsi="Arial"/>
                <w:b/>
                <w:i w:val="0"/>
                <w:color w:val="000000"/>
                <w:sz w:val="29"/>
              </w:rPr>
              <w:t>10.21 ms</w:t>
            </w:r>
          </w:p>
          <w:p>
            <w:pPr>
              <w:keepNext w:val="0"/>
              <w:spacing w:before="0" w:after="0" w:line="240" w:lineRule="auto"/>
            </w:pPr>
            <w:r>
              <w:rPr>
                <w:rFonts w:ascii="Arial" w:hAnsi="Arial"/>
                <w:b w:val="0"/>
                <w:i w:val="0"/>
                <w:color w:val="555555"/>
                <w:sz w:val="13"/>
              </w:rPr>
              <w:t>target &lt; 200 ms</w:t>
            </w:r>
          </w:p>
        </w:tc>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CONCURRENT THROUGHPUT</w:t>
            </w:r>
          </w:p>
          <w:p>
            <w:pPr>
              <w:keepNext w:val="0"/>
              <w:spacing w:before="0" w:after="20" w:line="240" w:lineRule="auto"/>
            </w:pPr>
            <w:r>
              <w:rPr>
                <w:rFonts w:ascii="Arial" w:hAnsi="Arial"/>
                <w:b/>
                <w:i w:val="0"/>
                <w:color w:val="000000"/>
                <w:sz w:val="29"/>
              </w:rPr>
              <w:t>126.3/s</w:t>
            </w:r>
          </w:p>
          <w:p>
            <w:pPr>
              <w:keepNext w:val="0"/>
              <w:spacing w:before="0" w:after="0" w:line="240" w:lineRule="auto"/>
            </w:pPr>
            <w:r>
              <w:rPr>
                <w:rFonts w:ascii="Arial" w:hAnsi="Arial"/>
                <w:b w:val="0"/>
                <w:i w:val="0"/>
                <w:color w:val="555555"/>
                <w:sz w:val="13"/>
              </w:rPr>
              <w:t>10 workers; 100/100 success</w:t>
            </w:r>
          </w:p>
        </w:tc>
      </w:tr>
    </w:tbl>
    <w:p>
      <w:pPr>
        <w:keepNext w:val="0"/>
        <w:spacing w:before="0" w:after="80" w:line="240" w:lineRule="auto"/>
      </w:pPr>
      <w:r>
        <w:rPr>
          <w:rFonts w:ascii="Arial" w:hAnsi="Arial"/>
          <w:b w:val="0"/>
          <w:i w:val="0"/>
          <w:color w:val="000000"/>
          <w:sz w:val="16"/>
        </w:rPr>
        <w:t>The benchmark ran on localhost with one application process and a fixed valid request, so it is evidence of functional latency rather than a cloud capacity guarantee. The batch path separately loaded the champion manifest and processed all 7,043 source rows in chunks, retaining customer ID, probability, class, risk band, version, and prediction date.</w:t>
      </w:r>
    </w:p>
    <w:tbl>
      <w:tblPr>
        <w:tblW w:type="auto" w:w="0"/>
        <w:jc w:val="center"/>
        <w:tblLook w:firstColumn="1" w:firstRow="1" w:lastColumn="0" w:lastRow="0" w:noHBand="0" w:noVBand="1" w:val="04A0"/>
      </w:tblPr>
      <w:tblGrid>
        <w:gridCol w:w="10488"/>
      </w:tblGrid>
      <w:tr>
        <w:tc>
          <w:tcPr>
            <w:tcW w:type="dxa" w:w="10488"/>
            <w:shd w:fill="202020"/>
            <w:tcMar>
              <w:top w:w="110" w:type="dxa"/>
              <w:start w:w="130" w:type="dxa"/>
              <w:bottom w:w="110" w:type="dxa"/>
              <w:end w:w="130" w:type="dxa"/>
            </w:tcMar>
          </w:tcPr>
          <w:p>
            <w:pPr>
              <w:keepNext w:val="0"/>
              <w:spacing w:before="0" w:after="80" w:line="240" w:lineRule="auto"/>
            </w:pPr>
            <w:r>
              <w:rPr>
                <w:rFonts w:ascii="Arial" w:hAnsi="Arial"/>
                <w:b/>
                <w:i w:val="0"/>
                <w:color w:val="FFFFFF"/>
                <w:sz w:val="14"/>
              </w:rPr>
              <w:t>DEMO EVIDENCE 4/4 — LATENCY BENCHMARK</w:t>
            </w:r>
          </w:p>
          <w:p>
            <w:pPr>
              <w:keepNext w:val="0"/>
              <w:spacing w:before="0" w:after="20" w:line="240" w:lineRule="auto"/>
            </w:pPr>
            <w:r>
              <w:rPr>
                <w:rFonts w:ascii="Courier New" w:hAnsi="Courier New"/>
                <w:b w:val="0"/>
                <w:i w:val="0"/>
                <w:color w:val="FFFFFF"/>
                <w:sz w:val="13"/>
              </w:rPr>
              <w:t>sequential: n=100 success=100 avg=9.56ms p95=10.21ms p99=18.79ms</w:t>
            </w:r>
          </w:p>
          <w:p>
            <w:pPr>
              <w:keepNext w:val="0"/>
              <w:spacing w:before="0" w:after="20" w:line="240" w:lineRule="auto"/>
            </w:pPr>
            <w:r>
              <w:rPr>
                <w:rFonts w:ascii="Courier New" w:hAnsi="Courier New"/>
                <w:b w:val="0"/>
                <w:i w:val="0"/>
                <w:color w:val="FFFFFF"/>
                <w:sz w:val="13"/>
              </w:rPr>
              <w:t>concurrent: n=100 workers=10 success=100 avg=74.64ms p95=89.01ms</w:t>
            </w:r>
          </w:p>
          <w:p>
            <w:pPr>
              <w:keepNext w:val="0"/>
              <w:spacing w:before="0" w:after="20" w:line="240" w:lineRule="auto"/>
            </w:pPr>
            <w:r>
              <w:rPr>
                <w:rFonts w:ascii="Courier New" w:hAnsi="Courier New"/>
                <w:b w:val="0"/>
                <w:i w:val="0"/>
                <w:color w:val="FFFFFF"/>
                <w:sz w:val="13"/>
              </w:rPr>
              <w:t>throughput=126.29 requests/sec</w:t>
            </w:r>
          </w:p>
          <w:p>
            <w:pPr>
              <w:keepNext w:val="0"/>
              <w:spacing w:before="0" w:after="20" w:line="240" w:lineRule="auto"/>
            </w:pPr>
            <w:r>
              <w:rPr>
                <w:rFonts w:ascii="Courier New" w:hAnsi="Courier New"/>
                <w:b w:val="0"/>
                <w:i w:val="0"/>
                <w:color w:val="FFFFFF"/>
                <w:sz w:val="13"/>
              </w:rPr>
              <w:t>batch: 7,043 rows scored successfully; predictions retained as CSV</w:t>
            </w:r>
          </w:p>
          <w:p>
            <w:pPr>
              <w:keepNext w:val="0"/>
              <w:spacing w:before="0" w:after="20" w:line="240" w:lineRule="auto"/>
            </w:pPr>
            <w:r>
              <w:rPr>
                <w:rFonts w:ascii="Courier New" w:hAnsi="Courier New"/>
                <w:b w:val="0"/>
                <w:i w:val="0"/>
                <w:color w:val="FFFFFF"/>
                <w:sz w:val="13"/>
              </w:rPr>
              <w:t>artifact: artifacts/benchmark_results.json</w:t>
            </w:r>
          </w:p>
        </w:tc>
      </w:tr>
    </w:tbl>
    <w:p>
      <w:r>
        <w:br w:type="page"/>
      </w:r>
    </w:p>
    <w:tbl>
      <w:tblPr>
        <w:tblW w:type="auto" w:w="0"/>
        <w:jc w:val="center"/>
        <w:tblLayout w:type="fixed"/>
        <w:tblLook w:firstColumn="1" w:firstRow="1" w:lastColumn="0" w:lastRow="0" w:noHBand="0" w:noVBand="1" w:val="04A0"/>
      </w:tblPr>
      <w:tblGrid>
        <w:gridCol w:w="5244"/>
        <w:gridCol w:w="5244"/>
      </w:tblGrid>
      <w:tr>
        <w:tc>
          <w:tcPr>
            <w:tcW w:type="dxa" w:w="9576"/>
            <w:shd w:fill="202020"/>
            <w:tcMar>
              <w:top w:w="110" w:type="dxa"/>
              <w:start w:w="130" w:type="dxa"/>
              <w:bottom w:w="110" w:type="dxa"/>
              <w:end w:w="130" w:type="dxa"/>
            </w:tcMar>
            <w:vAlign w:val="center"/>
          </w:tcPr>
          <w:p>
            <w:pPr>
              <w:keepNext w:val="0"/>
              <w:spacing w:before="0" w:after="0" w:line="240" w:lineRule="auto"/>
            </w:pPr>
            <w:r>
              <w:rPr>
                <w:rFonts w:ascii="Arial" w:hAnsi="Arial"/>
                <w:b/>
                <w:i w:val="0"/>
                <w:color w:val="FFFFFF"/>
                <w:sz w:val="26"/>
              </w:rPr>
              <w:t>Monitoring, retraining, trade-offs, and handoff</w:t>
            </w:r>
          </w:p>
        </w:tc>
        <w:tc>
          <w:tcPr>
            <w:tcW w:type="dxa" w:w="936"/>
            <w:shd w:fill="202020"/>
            <w:tcMar>
              <w:top w:w="110" w:type="dxa"/>
              <w:start w:w="130" w:type="dxa"/>
              <w:bottom w:w="110" w:type="dxa"/>
              <w:end w:w="130" w:type="dxa"/>
            </w:tcMar>
            <w:vAlign w:val="center"/>
          </w:tcPr>
          <w:p>
            <w:pPr>
              <w:keepNext w:val="0"/>
              <w:spacing w:before="0" w:after="0" w:line="240" w:lineRule="auto"/>
              <w:jc w:val="right"/>
            </w:pPr>
            <w:r>
              <w:rPr>
                <w:rFonts w:ascii="Arial" w:hAnsi="Arial"/>
                <w:b/>
                <w:i w:val="0"/>
                <w:color w:val="FFFFFF"/>
                <w:sz w:val="16"/>
              </w:rPr>
              <w:t>6/6</w:t>
            </w:r>
          </w:p>
        </w:tc>
      </w:tr>
    </w:tbl>
    <w:p>
      <w:pPr>
        <w:keepNext w:val="0"/>
        <w:spacing w:before="0" w:after="60" w:line="240" w:lineRule="auto"/>
      </w:pPr>
      <w:r>
        <w:rPr>
          <w:rFonts w:ascii="Arial" w:hAnsi="Arial"/>
          <w:b w:val="0"/>
          <w:i w:val="0"/>
          <w:color w:val="000000"/>
          <w:sz w:val="2"/>
        </w:rPr>
      </w:r>
    </w:p>
    <w:p>
      <w:pPr>
        <w:keepNext/>
        <w:spacing w:before="60" w:after="80" w:line="240" w:lineRule="auto"/>
        <w:pBdr>
          <w:bottom w:val="single" w:sz="6" w:space="2" w:color="555555"/>
        </w:pBdr>
      </w:pPr>
      <w:r>
        <w:rPr>
          <w:rFonts w:ascii="Arial" w:hAnsi="Arial"/>
          <w:b/>
          <w:i w:val="0"/>
          <w:color w:val="000000"/>
          <w:sz w:val="22"/>
        </w:rPr>
        <w:t>Monitoring and alerts</w:t>
      </w:r>
    </w:p>
    <w:p>
      <w:pPr>
        <w:pStyle w:val="ListBullet"/>
        <w:keepNext w:val="0"/>
        <w:spacing w:before="0" w:after="20" w:line="240" w:lineRule="auto"/>
      </w:pPr>
      <w:r>
        <w:rPr>
          <w:rFonts w:ascii="Arial" w:hAnsi="Arial"/>
          <w:b w:val="0"/>
          <w:i w:val="0"/>
          <w:color w:val="000000"/>
          <w:sz w:val="15"/>
        </w:rPr>
        <w:t>Infrastructure: average/p95 latency, throughput, 5xx error rate, service availability, CPU and memory.</w:t>
      </w:r>
    </w:p>
    <w:p>
      <w:pPr>
        <w:pStyle w:val="ListBullet"/>
        <w:keepNext w:val="0"/>
        <w:spacing w:before="0" w:after="20" w:line="240" w:lineRule="auto"/>
      </w:pPr>
      <w:r>
        <w:rPr>
          <w:rFonts w:ascii="Arial" w:hAnsi="Arial"/>
          <w:b w:val="0"/>
          <w:i w:val="0"/>
          <w:color w:val="000000"/>
          <w:sz w:val="15"/>
        </w:rPr>
        <w:t>Data: row counts, missing rates, schema changes, data freshness, numeric PSI/KS, and categorical chi-squared tests.</w:t>
      </w:r>
    </w:p>
    <w:p>
      <w:pPr>
        <w:pStyle w:val="ListBullet"/>
        <w:keepNext w:val="0"/>
        <w:spacing w:before="0" w:after="20" w:line="240" w:lineRule="auto"/>
      </w:pPr>
      <w:r>
        <w:rPr>
          <w:rFonts w:ascii="Arial" w:hAnsi="Arial"/>
          <w:b w:val="0"/>
          <w:i w:val="0"/>
          <w:color w:val="000000"/>
          <w:sz w:val="15"/>
        </w:rPr>
        <w:t>Model/business: weekly AUC/recall on delayed labels, prediction-rate changes, actual churn, and retention-campaign ROI.</w:t>
      </w:r>
    </w:p>
    <w:p>
      <w:pPr>
        <w:pStyle w:val="ListBullet"/>
        <w:keepNext w:val="0"/>
        <w:spacing w:before="0" w:after="20" w:line="240" w:lineRule="auto"/>
      </w:pPr>
      <w:r>
        <w:rPr>
          <w:rFonts w:ascii="Arial" w:hAnsi="Arial"/>
          <w:b w:val="0"/>
          <w:i w:val="0"/>
          <w:color w:val="000000"/>
          <w:sz w:val="15"/>
        </w:rPr>
        <w:t>Executed drift check: 6 features, 0 drifted, drift rate 0.0%.</w:t>
      </w:r>
    </w:p>
    <w:p>
      <w:pPr>
        <w:keepNext/>
        <w:spacing w:before="60" w:after="80" w:line="240" w:lineRule="auto"/>
        <w:pBdr>
          <w:bottom w:val="single" w:sz="6" w:space="2" w:color="555555"/>
        </w:pBdr>
      </w:pPr>
      <w:r>
        <w:rPr>
          <w:rFonts w:ascii="Arial" w:hAnsi="Arial"/>
          <w:b/>
          <w:i w:val="0"/>
          <w:color w:val="000000"/>
          <w:sz w:val="22"/>
        </w:rPr>
        <w:t>Retraining and incident response</w:t>
      </w:r>
    </w:p>
    <w:p>
      <w:pPr>
        <w:keepNext w:val="0"/>
        <w:spacing w:before="0" w:after="60" w:line="240" w:lineRule="auto"/>
      </w:pPr>
      <w:r>
        <w:rPr>
          <w:rFonts w:ascii="Arial" w:hAnsi="Arial"/>
          <w:b w:val="0"/>
          <w:i w:val="0"/>
          <w:color w:val="000000"/>
          <w:sz w:val="15"/>
        </w:rPr>
        <w:t>Retrain when any signal fires: 1,000 new labelled rows, AUC drop above 0.05, drift above 0.30, or 30 days since training. A new candidate must pass validation guardrails before its manifest changes. If CRM changes MonthlyCharges to a currency string, checks reject the batch and preserve the champion. Engineering fixes and replays ingestion; rollback is the unchanged manifest.</w:t>
      </w:r>
    </w:p>
    <w:p>
      <w:pPr>
        <w:keepNext/>
        <w:spacing w:before="60" w:after="80" w:line="240" w:lineRule="auto"/>
        <w:pBdr>
          <w:bottom w:val="single" w:sz="6" w:space="2" w:color="555555"/>
        </w:pBdr>
      </w:pPr>
      <w:r>
        <w:rPr>
          <w:rFonts w:ascii="Arial" w:hAnsi="Arial"/>
          <w:b/>
          <w:i w:val="0"/>
          <w:color w:val="000000"/>
          <w:sz w:val="22"/>
        </w:rPr>
        <w:t>Commands, access URLs, and verification boundary</w:t>
      </w:r>
    </w:p>
    <w:tbl>
      <w:tblPr>
        <w:tblW w:type="auto" w:w="0"/>
        <w:jc w:val="center"/>
        <w:tblLook w:firstColumn="1" w:firstRow="1" w:lastColumn="0" w:lastRow="0" w:noHBand="0" w:noVBand="1" w:val="04A0"/>
      </w:tblPr>
      <w:tblGrid>
        <w:gridCol w:w="10488"/>
      </w:tblGrid>
      <w:tr>
        <w:tc>
          <w:tcPr>
            <w:tcW w:type="dxa" w:w="10488"/>
            <w:shd w:fill="202020"/>
            <w:tcMar>
              <w:top w:w="110" w:type="dxa"/>
              <w:start w:w="130" w:type="dxa"/>
              <w:bottom w:w="110" w:type="dxa"/>
              <w:end w:w="130" w:type="dxa"/>
            </w:tcMar>
          </w:tcPr>
          <w:p>
            <w:pPr>
              <w:keepNext w:val="0"/>
              <w:spacing w:before="0" w:after="80" w:line="240" w:lineRule="auto"/>
            </w:pPr>
            <w:r>
              <w:rPr>
                <w:rFonts w:ascii="Arial" w:hAnsi="Arial"/>
                <w:b/>
                <w:i w:val="0"/>
                <w:color w:val="FFFFFF"/>
                <w:sz w:val="14"/>
              </w:rPr>
              <w:t>DEMO EVIDENCE HANDOFF/4 — REPRODUCIBLE LOCAL HANDOFF</w:t>
            </w:r>
          </w:p>
          <w:p>
            <w:pPr>
              <w:keepNext w:val="0"/>
              <w:spacing w:before="0" w:after="20" w:line="240" w:lineRule="auto"/>
            </w:pPr>
            <w:r>
              <w:rPr>
                <w:rFonts w:ascii="Courier New" w:hAnsi="Courier New"/>
                <w:b w:val="0"/>
                <w:i w:val="0"/>
                <w:color w:val="FFFFFF"/>
                <w:sz w:val="13"/>
              </w:rPr>
              <w:t>API       uvicorn src.serving.api:app --host 127.0.0.1 --port 8000 -&gt; http://127.0.0.1:8000/docs</w:t>
            </w:r>
          </w:p>
          <w:p>
            <w:pPr>
              <w:keepNext w:val="0"/>
              <w:spacing w:before="0" w:after="20" w:line="240" w:lineRule="auto"/>
            </w:pPr>
            <w:r>
              <w:rPr>
                <w:rFonts w:ascii="Courier New" w:hAnsi="Courier New"/>
                <w:b w:val="0"/>
                <w:i w:val="0"/>
                <w:color w:val="FFFFFF"/>
                <w:sz w:val="13"/>
              </w:rPr>
              <w:t>MLflow    mlflow ui --backend-store-uri sqlite:///mlflow.db -&gt; http://127.0.0.1:5000</w:t>
            </w:r>
          </w:p>
          <w:p>
            <w:pPr>
              <w:keepNext w:val="0"/>
              <w:spacing w:before="0" w:after="20" w:line="240" w:lineRule="auto"/>
            </w:pPr>
            <w:r>
              <w:rPr>
                <w:rFonts w:ascii="Courier New" w:hAnsi="Courier New"/>
                <w:b w:val="0"/>
                <w:i w:val="0"/>
                <w:color w:val="FFFFFF"/>
                <w:sz w:val="13"/>
              </w:rPr>
              <w:t>Metrics   GET http://127.0.0.1:8000/metrics -&gt; verified</w:t>
            </w:r>
          </w:p>
          <w:p>
            <w:pPr>
              <w:keepNext w:val="0"/>
              <w:spacing w:before="0" w:after="20" w:line="240" w:lineRule="auto"/>
            </w:pPr>
            <w:r>
              <w:rPr>
                <w:rFonts w:ascii="Courier New" w:hAnsi="Courier New"/>
                <w:b w:val="0"/>
                <w:i w:val="0"/>
                <w:color w:val="FFFFFF"/>
                <w:sz w:val="13"/>
              </w:rPr>
              <w:t>Offline   python -m src.serving.batch_predict ... | python -m src.monitoring.drift_detector</w:t>
            </w:r>
          </w:p>
          <w:p>
            <w:pPr>
              <w:keepNext w:val="0"/>
              <w:spacing w:before="0" w:after="20" w:line="240" w:lineRule="auto"/>
            </w:pPr>
            <w:r>
              <w:rPr>
                <w:rFonts w:ascii="Courier New" w:hAnsi="Courier New"/>
                <w:b w:val="0"/>
                <w:i w:val="0"/>
                <w:color w:val="FFFFFF"/>
                <w:sz w:val="13"/>
              </w:rPr>
              <w:t>Lifecycle python -m src.retraining.trigger | python -m src.training.train --model candidate</w:t>
            </w:r>
          </w:p>
          <w:p>
            <w:pPr>
              <w:keepNext w:val="0"/>
              <w:spacing w:before="0" w:after="20" w:line="240" w:lineRule="auto"/>
            </w:pPr>
            <w:r>
              <w:rPr>
                <w:rFonts w:ascii="Courier New" w:hAnsi="Courier New"/>
                <w:b w:val="0"/>
                <w:i w:val="0"/>
                <w:color w:val="FFFFFF"/>
                <w:sz w:val="13"/>
              </w:rPr>
              <w:t>Tests     pytest tests/unit -&gt; 100 passed | pytest tests/integration -&gt; 16 passed</w:t>
            </w:r>
          </w:p>
          <w:p>
            <w:pPr>
              <w:keepNext w:val="0"/>
              <w:spacing w:before="0" w:after="20" w:line="240" w:lineRule="auto"/>
            </w:pPr>
            <w:r>
              <w:rPr>
                <w:rFonts w:ascii="Courier New" w:hAnsi="Courier New"/>
                <w:b w:val="0"/>
                <w:i w:val="0"/>
                <w:color w:val="FFFFFF"/>
                <w:sz w:val="13"/>
              </w:rPr>
              <w:t>Monitor   Prometheus :9090 | Grafana :3000 | Alertmanager :9093 -&gt; internal delivery verified</w:t>
            </w:r>
          </w:p>
        </w:tc>
      </w:tr>
    </w:tbl>
    <w:p>
      <w:pPr>
        <w:keepNext/>
        <w:spacing w:before="60" w:after="80" w:line="240" w:lineRule="auto"/>
        <w:pBdr>
          <w:bottom w:val="single" w:sz="6" w:space="2" w:color="555555"/>
        </w:pBdr>
      </w:pPr>
      <w:r>
        <w:rPr>
          <w:rFonts w:ascii="Arial" w:hAnsi="Arial"/>
          <w:b/>
          <w:i w:val="0"/>
          <w:color w:val="000000"/>
          <w:sz w:val="22"/>
        </w:rPr>
        <w:t>Alignment, trade-offs, and next work</w:t>
      </w:r>
    </w:p>
    <w:p>
      <w:pPr>
        <w:pStyle w:val="ListBullet"/>
        <w:keepNext w:val="0"/>
        <w:spacing w:before="0" w:after="20" w:line="240" w:lineRule="auto"/>
      </w:pPr>
      <w:r>
        <w:rPr>
          <w:rFonts w:ascii="Arial" w:hAnsi="Arial"/>
          <w:b w:val="0"/>
          <w:i w:val="0"/>
          <w:color w:val="000000"/>
          <w:sz w:val="14"/>
        </w:rPr>
        <w:t>Core rubric alignment is complete across problem/data, modelling, inference, production considerations, and documentation. A successful 7,043-row end-to-end ingestion replay and embedded quality report are retained as evidence.</w:t>
      </w:r>
    </w:p>
    <w:p>
      <w:pPr>
        <w:pStyle w:val="ListBullet"/>
        <w:keepNext w:val="0"/>
        <w:spacing w:before="0" w:after="20" w:line="240" w:lineRule="auto"/>
      </w:pPr>
      <w:r>
        <w:rPr>
          <w:rFonts w:ascii="Arial" w:hAnsi="Arial"/>
          <w:b w:val="0"/>
          <w:i w:val="0"/>
          <w:color w:val="000000"/>
          <w:sz w:val="14"/>
        </w:rPr>
        <w:t>Recall is prioritized because missing a churner is assumed costlier than an unnecessary offer; threshold economics require real campaign costs.</w:t>
      </w:r>
    </w:p>
    <w:p>
      <w:pPr>
        <w:pStyle w:val="ListBullet"/>
        <w:keepNext w:val="0"/>
        <w:spacing w:before="0" w:after="20" w:line="240" w:lineRule="auto"/>
      </w:pPr>
      <w:r>
        <w:rPr>
          <w:rFonts w:ascii="Arial" w:hAnsi="Arial"/>
          <w:b w:val="0"/>
          <w:i w:val="0"/>
          <w:color w:val="000000"/>
          <w:sz w:val="14"/>
        </w:rPr>
        <w:t>Next: one-hot nominal features, delayed-label AUC and ROI automation, hosted CI evidence, approved external-notification delivery evidence, and scheduling.</w:t>
      </w:r>
    </w:p>
    <w:p>
      <w:pPr>
        <w:pStyle w:val="ListBullet"/>
        <w:keepNext w:val="0"/>
        <w:spacing w:before="0" w:after="20" w:line="240" w:lineRule="auto"/>
      </w:pPr>
      <w:r>
        <w:rPr>
          <w:rFonts w:ascii="Arial" w:hAnsi="Arial"/>
          <w:b w:val="0"/>
          <w:i w:val="0"/>
          <w:color w:val="000000"/>
          <w:sz w:val="14"/>
        </w:rPr>
        <w:t>Docker monitoring and internal Alertmanager delivery are locally verified; hosted CI, SHAP/LIME, Streamlit, live external delivery, and cloud deployment remain unverified.</w:t>
      </w:r>
    </w:p>
    <w:p>
      <w:pPr>
        <w:keepNext w:val="0"/>
        <w:spacing w:before="0" w:after="60" w:line="240" w:lineRule="auto"/>
      </w:pPr>
      <w:r>
        <w:rPr>
          <w:rFonts w:ascii="Arial" w:hAnsi="Arial"/>
          <w:b w:val="0"/>
          <w:i w:val="0"/>
          <w:color w:val="000000"/>
          <w:sz w:val="14"/>
        </w:rPr>
        <w:t>Ownership follows the signal: engineers receive availability, error, latency, schema, and freshness alerts; data scientists own drift, delayed-label evaluation, threshold review, and promotion; business teams receive churn-volume and campaign-outcome summaries. The current 116/116 tests (100 unit and 16 integration) and 69% unit-suite coverage are retained evidence, not a claim of exhaustive cloud production testing.</w:t>
      </w:r>
    </w:p>
    <w:tbl>
      <w:tblPr>
        <w:tblW w:type="auto" w:w="0"/>
        <w:jc w:val="center"/>
        <w:tblLayout w:type="fixed"/>
        <w:tblLook w:firstColumn="1" w:firstRow="1" w:lastColumn="0" w:lastRow="0" w:noHBand="0" w:noVBand="1" w:val="04A0"/>
      </w:tblPr>
      <w:tblGrid>
        <w:gridCol w:w="3496"/>
        <w:gridCol w:w="3496"/>
        <w:gridCol w:w="3496"/>
      </w:tblGrid>
      <w:tr>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ALL TESTS</w:t>
            </w:r>
          </w:p>
          <w:p>
            <w:pPr>
              <w:keepNext w:val="0"/>
              <w:spacing w:before="0" w:after="20" w:line="240" w:lineRule="auto"/>
            </w:pPr>
            <w:r>
              <w:rPr>
                <w:rFonts w:ascii="Arial" w:hAnsi="Arial"/>
                <w:b/>
                <w:i w:val="0"/>
                <w:color w:val="000000"/>
                <w:sz w:val="29"/>
              </w:rPr>
              <w:t>116/116</w:t>
            </w:r>
          </w:p>
          <w:p>
            <w:pPr>
              <w:keepNext w:val="0"/>
              <w:spacing w:before="0" w:after="0" w:line="240" w:lineRule="auto"/>
            </w:pPr>
            <w:r>
              <w:rPr>
                <w:rFonts w:ascii="Arial" w:hAnsi="Arial"/>
                <w:b w:val="0"/>
                <w:i w:val="0"/>
                <w:color w:val="555555"/>
                <w:sz w:val="13"/>
              </w:rPr>
              <w:t>100 unit + 16 integration</w:t>
            </w:r>
          </w:p>
        </w:tc>
        <w:tc>
          <w:tcPr>
            <w:tcW w:type="dxa" w:w="3504"/>
            <w:shd w:fill="E7E7E7"/>
            <w:tcMar>
              <w:top w:w="100" w:type="dxa"/>
              <w:start w:w="110" w:type="dxa"/>
              <w:bottom w:w="100" w:type="dxa"/>
              <w:end w:w="110" w:type="dxa"/>
            </w:tcMar>
          </w:tcPr>
          <w:p>
            <w:pPr>
              <w:keepNext w:val="0"/>
              <w:spacing w:before="0" w:after="20" w:line="240" w:lineRule="auto"/>
            </w:pPr>
            <w:r>
              <w:rPr>
                <w:rFonts w:ascii="Arial" w:hAnsi="Arial"/>
                <w:b/>
                <w:i w:val="0"/>
                <w:color w:val="555555"/>
                <w:sz w:val="13"/>
              </w:rPr>
              <w:t>SOURCE COVERAGE</w:t>
            </w:r>
          </w:p>
          <w:p>
            <w:pPr>
              <w:keepNext w:val="0"/>
              <w:spacing w:before="0" w:after="20" w:line="240" w:lineRule="auto"/>
            </w:pPr>
            <w:r>
              <w:rPr>
                <w:rFonts w:ascii="Arial" w:hAnsi="Arial"/>
                <w:b/>
                <w:i w:val="0"/>
                <w:color w:val="000000"/>
                <w:sz w:val="29"/>
              </w:rPr>
              <w:t>69%</w:t>
            </w:r>
          </w:p>
          <w:p>
            <w:pPr>
              <w:keepNext w:val="0"/>
              <w:spacing w:before="0" w:after="0" w:line="240" w:lineRule="auto"/>
            </w:pPr>
            <w:r>
              <w:rPr>
                <w:rFonts w:ascii="Arial" w:hAnsi="Arial"/>
                <w:b w:val="0"/>
                <w:i w:val="0"/>
                <w:color w:val="555555"/>
                <w:sz w:val="13"/>
              </w:rPr>
              <w:t>retained project-local run</w:t>
            </w:r>
          </w:p>
        </w:tc>
        <w:tc>
          <w:tcPr>
            <w:tcW w:type="dxa" w:w="3504"/>
            <w:shd w:fill="F4F4F4"/>
            <w:tcMar>
              <w:top w:w="100" w:type="dxa"/>
              <w:start w:w="110" w:type="dxa"/>
              <w:bottom w:w="100" w:type="dxa"/>
              <w:end w:w="110" w:type="dxa"/>
            </w:tcMar>
          </w:tcPr>
          <w:p>
            <w:pPr>
              <w:keepNext w:val="0"/>
              <w:spacing w:before="0" w:after="20" w:line="240" w:lineRule="auto"/>
            </w:pPr>
            <w:r>
              <w:rPr>
                <w:rFonts w:ascii="Arial" w:hAnsi="Arial"/>
                <w:b/>
                <w:i w:val="0"/>
                <w:color w:val="555555"/>
                <w:sz w:val="13"/>
              </w:rPr>
              <w:t>SUBMISSION</w:t>
            </w:r>
          </w:p>
          <w:p>
            <w:pPr>
              <w:keepNext w:val="0"/>
              <w:spacing w:before="0" w:after="20" w:line="240" w:lineRule="auto"/>
            </w:pPr>
            <w:r>
              <w:rPr>
                <w:rFonts w:ascii="Arial" w:hAnsi="Arial"/>
                <w:b/>
                <w:i w:val="0"/>
                <w:color w:val="000000"/>
                <w:sz w:val="29"/>
              </w:rPr>
              <w:t>6 pages</w:t>
            </w:r>
          </w:p>
          <w:p>
            <w:pPr>
              <w:keepNext w:val="0"/>
              <w:spacing w:before="0" w:after="0" w:line="240" w:lineRule="auto"/>
            </w:pPr>
            <w:r>
              <w:rPr>
                <w:rFonts w:ascii="Arial" w:hAnsi="Arial"/>
                <w:b w:val="0"/>
                <w:i w:val="0"/>
                <w:color w:val="555555"/>
                <w:sz w:val="13"/>
              </w:rPr>
              <w:t>architecture + four evidence panels</w:t>
            </w:r>
          </w:p>
        </w:tc>
      </w:tr>
    </w:tbl>
    <w:sectPr w:rsidR="00FC693F" w:rsidRPr="0006063C" w:rsidSect="00034616">
      <w:footerReference w:type="default" r:id="rId9"/>
      <w:pgSz w:w="11906" w:h="16838"/>
      <w:pgMar w:top="652" w:right="709" w:bottom="652" w:left="70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Arial" w:hAnsi="Arial"/>
        <w:b w:val="0"/>
        <w:i w:val="0"/>
        <w:color w:val="555555"/>
        <w:sz w:val="14"/>
      </w:rPr>
      <w:t xml:space="preserve">Mini Production ML System  |  Page </w:t>
    </w:r>
    <w:fldSimple w:instr="PAGE"/>
    <w:r>
      <w:rPr>
        <w:rFonts w:ascii="Arial" w:hAnsi="Arial"/>
        <w:b w:val="0"/>
        <w:i w:val="0"/>
        <w:color w:val="555555"/>
        <w:sz w:val="14"/>
      </w:rPr>
      <w:t xml:space="preserve"> of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31" w:hanging="187"/>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hshaik/data-science-ml-labs/tree/main/projects/enterprise-mlops-churn-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MLOps Churn Prediction - Assignment Report</dc:title>
  <dc:subject>Editable Word counterpart of the six-page consolidated assignment PDF</dc:subject>
  <dc:creator>BITS Pilani MSc Assignment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