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Pr>
          <w:p>
            <w:r>
              <w:rPr>
                <w:rFonts w:ascii="Courier New" w:cs="Courier New" w:eastAsia="Courier New" w:hAnsi="Courier New"/>
                <w:b/>
                <w:bCs/>
                <w:color w:val="000000"/>
                <w:sz w:val="18"/>
                <w:szCs w:val="18"/>
              </w:rPr>
              <w:t xml:space="preserve">Internet-Draft</w:t>
            </w:r>
          </w:p>
        </w:tc>
        <w:tc>
          <w:tcPr>
            <w:tcW w:type="dxa" w:w="4320"/>
            <w:tcBorders>
              <w:top w:val="none" w:color="FFFFFF" w:sz="0"/>
              <w:left w:val="none" w:color="FFFFFF" w:sz="0"/>
              <w:bottom w:val="none" w:color="FFFFFF" w:sz="0"/>
              <w:right w:val="none" w:color="FFFFFF" w:sz="0"/>
            </w:tcBorders>
          </w:tcPr>
          <w:p>
            <w:pPr>
              <w:jc w:val="right"/>
            </w:pPr>
            <w:r>
              <w:rPr>
                <w:rFonts w:ascii="Courier New" w:cs="Courier New" w:eastAsia="Courier New" w:hAnsi="Courier New"/>
                <w:color w:val="000000"/>
                <w:sz w:val="18"/>
                <w:szCs w:val="18"/>
              </w:rPr>
              <w:t xml:space="preserve">A. Haberkamp</w:t>
            </w:r>
          </w:p>
        </w:tc>
      </w:tr>
      <w:tr>
        <w:tc>
          <w:tcPr>
            <w:tcW w:type="dxa" w:w="4320"/>
            <w:tcBorders>
              <w:top w:val="none" w:color="FFFFFF" w:sz="0"/>
              <w:left w:val="none" w:color="FFFFFF" w:sz="0"/>
              <w:bottom w:val="none" w:color="FFFFFF" w:sz="0"/>
              <w:right w:val="none" w:color="FFFFFF" w:sz="0"/>
            </w:tcBorders>
          </w:tcPr>
          <w:p>
            <w:r>
              <w:rPr>
                <w:rFonts w:ascii="Courier New" w:cs="Courier New" w:eastAsia="Courier New" w:hAnsi="Courier New"/>
                <w:color w:val="000000"/>
                <w:sz w:val="18"/>
                <w:szCs w:val="18"/>
              </w:rPr>
              <w:t xml:space="preserve">Intended Status: Standards Track</w:t>
            </w:r>
          </w:p>
        </w:tc>
        <w:tc>
          <w:tcPr>
            <w:tcW w:type="dxa" w:w="4320"/>
            <w:tcBorders>
              <w:top w:val="none" w:color="FFFFFF" w:sz="0"/>
              <w:left w:val="none" w:color="FFFFFF" w:sz="0"/>
              <w:bottom w:val="none" w:color="FFFFFF" w:sz="0"/>
              <w:right w:val="none" w:color="FFFFFF" w:sz="0"/>
            </w:tcBorders>
          </w:tcPr>
          <w:p>
            <w:pPr>
              <w:jc w:val="right"/>
            </w:pPr>
            <w:r>
              <w:rPr>
                <w:rFonts w:ascii="Courier New" w:cs="Courier New" w:eastAsia="Courier New" w:hAnsi="Courier New"/>
                <w:color w:val="000000"/>
                <w:sz w:val="18"/>
                <w:szCs w:val="18"/>
              </w:rPr>
              <w:t xml:space="preserve">KH Sovereign, Inc.</w:t>
            </w:r>
          </w:p>
        </w:tc>
      </w:tr>
      <w:tr>
        <w:tc>
          <w:tcPr>
            <w:tcW w:type="dxa" w:w="4320"/>
            <w:tcBorders>
              <w:top w:val="none" w:color="FFFFFF" w:sz="0"/>
              <w:left w:val="none" w:color="FFFFFF" w:sz="0"/>
              <w:bottom w:val="none" w:color="FFFFFF" w:sz="0"/>
              <w:right w:val="none" w:color="FFFFFF" w:sz="0"/>
            </w:tcBorders>
          </w:tcPr>
          <w:p>
            <w:r>
              <w:rPr>
                <w:rFonts w:ascii="Courier New" w:cs="Courier New" w:eastAsia="Courier New" w:hAnsi="Courier New"/>
                <w:color w:val="000000"/>
                <w:sz w:val="18"/>
                <w:szCs w:val="18"/>
              </w:rPr>
              <w:t xml:space="preserve">Expires: March 2027</w:t>
            </w:r>
          </w:p>
        </w:tc>
        <w:tc>
          <w:tcPr>
            <w:tcW w:type="dxa" w:w="4320"/>
            <w:tcBorders>
              <w:top w:val="none" w:color="FFFFFF" w:sz="0"/>
              <w:left w:val="none" w:color="FFFFFF" w:sz="0"/>
              <w:bottom w:val="none" w:color="FFFFFF" w:sz="0"/>
              <w:right w:val="none" w:color="FFFFFF" w:sz="0"/>
            </w:tcBorders>
          </w:tcPr>
          <w:p>
            <w:pPr>
              <w:jc w:val="right"/>
            </w:pPr>
            <w:r>
              <w:rPr>
                <w:rFonts w:ascii="Courier New" w:cs="Courier New" w:eastAsia="Courier New" w:hAnsi="Courier New"/>
                <w:color w:val="000000"/>
                <w:sz w:val="18"/>
                <w:szCs w:val="18"/>
              </w:rPr>
              <w:t xml:space="preserve">September 2026</w:t>
            </w:r>
          </w:p>
        </w:tc>
      </w:tr>
    </w:tbl>
    <w:p>
      <w:pPr>
        <w:spacing w:before="0" w:after="0"/>
      </w:pPr>
      <w:r>
        <w:t xml:space="preserve"/>
      </w:r>
    </w:p>
    <w:p>
      <w:pPr>
        <w:pBdr>
          <w:bottom w:val="single" w:color="007A6E" w:sz="6"/>
        </w:pBdr>
        <w:spacing w:before="80" w:after="80"/>
      </w:pPr>
    </w:p>
    <w:p>
      <w:pPr>
        <w:spacing w:before="0" w:after="0"/>
      </w:pPr>
      <w:r>
        <w:t xml:space="preserve"/>
      </w:r>
    </w:p>
    <w:p>
      <w:pPr>
        <w:spacing w:before="0" w:after="80"/>
        <w:jc w:val="center"/>
      </w:pPr>
      <w:r>
        <w:rPr>
          <w:rFonts w:ascii="Arial" w:cs="Arial" w:eastAsia="Arial" w:hAnsi="Arial"/>
          <w:b/>
          <w:bCs/>
          <w:color w:val="000000"/>
          <w:sz w:val="36"/>
          <w:szCs w:val="36"/>
        </w:rPr>
        <w:t xml:space="preserve">Intent Provenance Protocol (IPP)</w:t>
      </w:r>
    </w:p>
    <w:p>
      <w:pPr>
        <w:spacing w:before="0" w:after="40"/>
        <w:jc w:val="center"/>
      </w:pPr>
      <w:r>
        <w:rPr>
          <w:rFonts w:ascii="Arial" w:cs="Arial" w:eastAsia="Arial" w:hAnsi="Arial"/>
          <w:b/>
          <w:bCs/>
          <w:color w:val="007A6E"/>
          <w:sz w:val="22"/>
          <w:szCs w:val="22"/>
        </w:rPr>
        <w:t xml:space="preserve">Version 0.1 — Draft Standard</w:t>
      </w:r>
    </w:p>
    <w:p>
      <w:pPr>
        <w:spacing w:before="0" w:after="40"/>
        <w:jc w:val="center"/>
      </w:pPr>
      <w:r>
        <w:rPr>
          <w:rFonts w:ascii="Courier New" w:cs="Courier New" w:eastAsia="Courier New" w:hAnsi="Courier New"/>
          <w:color w:val="4A4A4A"/>
          <w:sz w:val="18"/>
          <w:szCs w:val="18"/>
        </w:rPr>
        <w:t xml:space="preserve">draft-haberkamp-ipp-00</w:t>
      </w:r>
    </w:p>
    <w:p>
      <w:pPr>
        <w:pBdr>
          <w:bottom w:val="single" w:color="CCCCCC" w:sz="2"/>
        </w:pBdr>
        <w:spacing w:before="40" w:after="40"/>
      </w:pPr>
    </w:p>
    <w:p>
      <w:pPr>
        <w:spacing w:before="0" w:after="0"/>
      </w:pPr>
      <w:r>
        <w:t xml:space="preserve"/>
      </w:r>
    </w:p>
    <w:p>
      <w:pPr>
        <w:pStyle w:val="Heading1"/>
        <w:spacing w:before="320" w:after="120"/>
      </w:pPr>
      <w:r>
        <w:rPr>
          <w:rFonts w:ascii="Arial" w:cs="Arial" w:eastAsia="Arial" w:hAnsi="Arial"/>
          <w:b/>
          <w:bCs/>
          <w:color w:val="000000"/>
          <w:sz w:val="26"/>
          <w:szCs w:val="26"/>
        </w:rPr>
        <w:t xml:space="preserve">.  Abstract</w:t>
      </w:r>
    </w:p>
    <w:p>
      <w:pPr>
        <w:spacing w:before="0" w:after="160"/>
        <w:jc w:val="both"/>
      </w:pPr>
      <w:r>
        <w:rPr>
          <w:rFonts w:ascii="Arial" w:cs="Arial" w:eastAsia="Arial" w:hAnsi="Arial"/>
          <w:color w:val="4A4A4A"/>
          <w:sz w:val="20"/>
          <w:szCs w:val="20"/>
        </w:rPr>
        <w:t xml:space="preserve">This document specifies the Intent Provenance Protocol (IPP), a cryptographic infrastructure standard for carrying verified human intent through chains of autonomous artificial intelligence agent actions. IPP defines the Intent Token — a signed, bounded, and tamper-evident data structure that travels with every agentic action, preserving an unbroken, auditable lineage from the originating human principal to each terminal action executed on their behalf.</w:t>
      </w:r>
    </w:p>
    <w:p>
      <w:pPr>
        <w:spacing w:before="0" w:after="160"/>
        <w:jc w:val="both"/>
      </w:pPr>
      <w:r>
        <w:rPr>
          <w:rFonts w:ascii="Arial" w:cs="Arial" w:eastAsia="Arial" w:hAnsi="Arial"/>
          <w:color w:val="4A4A4A"/>
          <w:sz w:val="20"/>
          <w:szCs w:val="20"/>
        </w:rPr>
        <w:t xml:space="preserve">As AI agents become primary actors in enterprise environments — executing transactions, accessing sensitive data, orchestrating sub-agents, and operating across organizational boundaries — the absence of a shared trust substrate creates systemic risk to organizational accountability, regulatory compliance, and legal liability attribution. IPP addresses this gap by establishing a protocol layer that operates above cryptographic authentication and below application logic, making human intent a first-class, verifiable primitive in agentic systems.</w:t>
      </w:r>
    </w:p>
    <w:p>
      <w:pPr>
        <w:spacing w:before="0" w:after="160"/>
        <w:jc w:val="both"/>
      </w:pPr>
      <w:r>
        <w:rPr>
          <w:rFonts w:ascii="Arial" w:cs="Arial" w:eastAsia="Arial" w:hAnsi="Arial"/>
          <w:color w:val="4A4A4A"/>
          <w:sz w:val="20"/>
          <w:szCs w:val="20"/>
        </w:rPr>
        <w:t xml:space="preserve">IPP introduces four foundational properties — Lineage, Boundedness, Non-repudiation, and Interoperability — enforced through a combination of Ed25519 digital signatures, Decentralized Identifiers (DIDs), and a Narrowing Invariant that prevents any derived token from exceeding its parent's authorized scope. The protocol is framework-agnostic, cloud-agnostic, and designed for open implementation across the ecosystem of AI orchestration platforms.</w:t>
      </w:r>
    </w:p>
    <w:p>
      <w:pPr>
        <w:pBdr>
          <w:bottom w:val="single" w:color="CCCCCC" w:sz="2"/>
        </w:pBdr>
        <w:spacing w:before="40" w:after="40"/>
      </w:pPr>
    </w:p>
    <w:p>
      <w:pPr>
        <w:spacing w:before="0" w:after="0"/>
      </w:pPr>
      <w:r>
        <w:t xml:space="preserve"/>
      </w:r>
    </w:p>
    <w:p>
      <w:pPr>
        <w:pStyle w:val="Heading1"/>
        <w:spacing w:before="320" w:after="120"/>
      </w:pPr>
      <w:r>
        <w:rPr>
          <w:rFonts w:ascii="Arial" w:cs="Arial" w:eastAsia="Arial" w:hAnsi="Arial"/>
          <w:b/>
          <w:bCs/>
          <w:color w:val="000000"/>
          <w:sz w:val="26"/>
          <w:szCs w:val="26"/>
        </w:rPr>
        <w:t xml:space="preserve">.  Status of This Memo</w:t>
      </w:r>
    </w:p>
    <w:p>
      <w:pPr>
        <w:spacing w:before="0" w:after="160"/>
        <w:jc w:val="both"/>
      </w:pPr>
      <w:r>
        <w:rPr>
          <w:rFonts w:ascii="Arial" w:cs="Arial" w:eastAsia="Arial" w:hAnsi="Arial"/>
          <w:color w:val="4A4A4A"/>
          <w:sz w:val="20"/>
          <w:szCs w:val="20"/>
        </w:rPr>
        <w:t xml:space="preserve">This Internet-Draft is submitted in full conformance with the provisions of BCP 78 and BCP 79. Internet-Drafts are working documents of the Internet Engineering Task Force (IETF). Note that other groups may also distribute working documents as Internet-Drafts. The list of current Internet-Drafts is at https://datatracker.ietf.org/drafts/current/.</w:t>
      </w:r>
    </w:p>
    <w:p>
      <w:pPr>
        <w:spacing w:before="0" w:after="160"/>
        <w:jc w:val="both"/>
      </w:pPr>
      <w:r>
        <w:rPr>
          <w:rFonts w:ascii="Arial" w:cs="Arial" w:eastAsia="Arial" w:hAnsi="Arial"/>
          <w:color w:val="4A4A4A"/>
          <w:sz w:val="20"/>
          <w:szCs w:val="20"/>
        </w:rPr>
        <w:t xml:space="preserve">Internet-Drafts are draft documents valid for a maximum of six months and may be updated, replaced, or obsoleted by other documents at any time. It is inappropriate to use Internet-Drafts as reference material or to cite them other than as 'work in progress.'</w:t>
      </w:r>
    </w:p>
    <w:p>
      <w:pPr>
        <w:spacing w:before="0" w:after="160"/>
        <w:jc w:val="both"/>
      </w:pPr>
      <w:r>
        <w:rPr>
          <w:rFonts w:ascii="Arial" w:cs="Arial" w:eastAsia="Arial" w:hAnsi="Arial"/>
          <w:color w:val="4A4A4A"/>
          <w:sz w:val="20"/>
          <w:szCs w:val="20"/>
        </w:rPr>
        <w:t xml:space="preserve">This Internet-Draft will expire on March 1, 2027.</w:t>
      </w:r>
    </w:p>
    <w:p>
      <w:pPr>
        <w:pBdr>
          <w:bottom w:val="single" w:color="CCCCCC" w:sz="2"/>
        </w:pBdr>
        <w:spacing w:before="40" w:after="40"/>
      </w:pPr>
    </w:p>
    <w:p>
      <w:pPr>
        <w:spacing w:before="0" w:after="0"/>
      </w:pPr>
      <w:r>
        <w:t xml:space="preserve"/>
      </w:r>
    </w:p>
    <w:p>
      <w:pPr>
        <w:pStyle w:val="Heading1"/>
        <w:spacing w:before="320" w:after="120"/>
      </w:pPr>
      <w:r>
        <w:rPr>
          <w:rFonts w:ascii="Arial" w:cs="Arial" w:eastAsia="Arial" w:hAnsi="Arial"/>
          <w:b/>
          <w:bCs/>
          <w:color w:val="000000"/>
          <w:sz w:val="26"/>
          <w:szCs w:val="26"/>
        </w:rPr>
        <w:t xml:space="preserve">.  Copyright Notice</w:t>
      </w:r>
    </w:p>
    <w:p>
      <w:pPr>
        <w:spacing w:before="0" w:after="160"/>
        <w:jc w:val="both"/>
      </w:pPr>
      <w:r>
        <w:rPr>
          <w:rFonts w:ascii="Arial" w:cs="Arial" w:eastAsia="Arial" w:hAnsi="Arial"/>
          <w:color w:val="4A4A4A"/>
          <w:sz w:val="20"/>
          <w:szCs w:val="20"/>
        </w:rPr>
        <w:t xml:space="preserve">Copyright (c) 2026 Amanda Haberkamp and KH Sovereign, Inc. All rights reserved.</w:t>
      </w:r>
    </w:p>
    <w:p>
      <w:pPr>
        <w:spacing w:before="0" w:after="160"/>
        <w:jc w:val="both"/>
      </w:pPr>
      <w:r>
        <w:rPr>
          <w:rFonts w:ascii="Arial" w:cs="Arial" w:eastAsia="Arial" w:hAnsi="Arial"/>
          <w:color w:val="4A4A4A"/>
          <w:sz w:val="20"/>
          <w:szCs w:val="20"/>
        </w:rPr>
        <w:t xml:space="preserve">This specification is published under the Creative Commons Attribution 4.0 International License (CC BY 4.0). Any implementation, derivative work, or distribution of this specification must include full attribution to Amanda Haberkamp as the original author and to KH Sovereign, Inc. as the originating organization. Implementations that embed the IPP Genesis Seal (Section 5) carry this attribution cryptographically and satisfy the attribution requirement for the token-level record.</w:t>
      </w:r>
    </w:p>
    <w:p>
      <w:pPr>
        <w:pBdr>
          <w:bottom w:val="single" w:color="CCCCCC" w:sz="2"/>
        </w:pBdr>
        <w:spacing w:before="40" w:after="40"/>
      </w:pPr>
    </w:p>
    <w:p>
      <w:pPr>
        <w:spacing w:before="0" w:after="0"/>
      </w:pPr>
      <w:r>
        <w:t xml:space="preserve"/>
      </w:r>
    </w:p>
    <w:p>
      <w:pPr>
        <w:pStyle w:val="Heading1"/>
        <w:spacing w:before="320" w:after="120"/>
      </w:pPr>
      <w:r>
        <w:rPr>
          <w:rFonts w:ascii="Arial" w:cs="Arial" w:eastAsia="Arial" w:hAnsi="Arial"/>
          <w:b/>
          <w:bCs/>
          <w:color w:val="000000"/>
          <w:sz w:val="26"/>
          <w:szCs w:val="26"/>
        </w:rPr>
        <w:t xml:space="preserve">.  Table of Contents</w:t>
      </w:r>
    </w:p>
    <w:p>
      <w:pPr>
        <w:tabs>
          <w:tab w:val="right" w:pos="8640"/>
        </w:tabs>
        <w:spacing w:before="0" w:after="40"/>
      </w:pPr>
      <w:r>
        <w:rPr>
          <w:rFonts w:ascii="Courier New" w:cs="Courier New" w:eastAsia="Courier New" w:hAnsi="Courier New"/>
          <w:color w:val="4A4A4A"/>
          <w:sz w:val="18"/>
          <w:szCs w:val="18"/>
        </w:rPr>
        <w:t xml:space="preserve">   1.   Introduction</w:t>
      </w:r>
    </w:p>
    <w:p>
      <w:pPr>
        <w:tabs>
          <w:tab w:val="right" w:pos="8640"/>
        </w:tabs>
        <w:spacing w:before="0" w:after="40"/>
      </w:pPr>
      <w:r>
        <w:rPr>
          <w:rFonts w:ascii="Courier New" w:cs="Courier New" w:eastAsia="Courier New" w:hAnsi="Courier New"/>
          <w:color w:val="4A4A4A"/>
          <w:sz w:val="18"/>
          <w:szCs w:val="18"/>
        </w:rPr>
        <w:t xml:space="preserve">   1.1.   Background and Motivation</w:t>
      </w:r>
    </w:p>
    <w:p>
      <w:pPr>
        <w:tabs>
          <w:tab w:val="right" w:pos="8640"/>
        </w:tabs>
        <w:spacing w:before="0" w:after="40"/>
      </w:pPr>
      <w:r>
        <w:rPr>
          <w:rFonts w:ascii="Courier New" w:cs="Courier New" w:eastAsia="Courier New" w:hAnsi="Courier New"/>
          <w:color w:val="4A4A4A"/>
          <w:sz w:val="18"/>
          <w:szCs w:val="18"/>
        </w:rPr>
        <w:t xml:space="preserve">   1.2.   The Authorship Problem in Agentic Systems</w:t>
      </w:r>
    </w:p>
    <w:p>
      <w:pPr>
        <w:tabs>
          <w:tab w:val="right" w:pos="8640"/>
        </w:tabs>
        <w:spacing w:before="0" w:after="40"/>
      </w:pPr>
      <w:r>
        <w:rPr>
          <w:rFonts w:ascii="Courier New" w:cs="Courier New" w:eastAsia="Courier New" w:hAnsi="Courier New"/>
          <w:color w:val="4A4A4A"/>
          <w:sz w:val="18"/>
          <w:szCs w:val="18"/>
        </w:rPr>
        <w:t xml:space="preserve">   1.3.   Scope</w:t>
      </w:r>
    </w:p>
    <w:p>
      <w:pPr>
        <w:tabs>
          <w:tab w:val="right" w:pos="8640"/>
        </w:tabs>
        <w:spacing w:before="0" w:after="40"/>
      </w:pPr>
      <w:r>
        <w:rPr>
          <w:rFonts w:ascii="Courier New" w:cs="Courier New" w:eastAsia="Courier New" w:hAnsi="Courier New"/>
          <w:color w:val="4A4A4A"/>
          <w:sz w:val="18"/>
          <w:szCs w:val="18"/>
        </w:rPr>
        <w:t xml:space="preserve">   2.   Terminology and Definitions</w:t>
      </w:r>
    </w:p>
    <w:p>
      <w:pPr>
        <w:tabs>
          <w:tab w:val="right" w:pos="8640"/>
        </w:tabs>
        <w:spacing w:before="0" w:after="40"/>
      </w:pPr>
      <w:r>
        <w:rPr>
          <w:rFonts w:ascii="Courier New" w:cs="Courier New" w:eastAsia="Courier New" w:hAnsi="Courier New"/>
          <w:color w:val="4A4A4A"/>
          <w:sz w:val="18"/>
          <w:szCs w:val="18"/>
        </w:rPr>
        <w:t xml:space="preserve">   3.   Protocol Overview</w:t>
      </w:r>
    </w:p>
    <w:p>
      <w:pPr>
        <w:tabs>
          <w:tab w:val="right" w:pos="8640"/>
        </w:tabs>
        <w:spacing w:before="0" w:after="40"/>
      </w:pPr>
      <w:r>
        <w:rPr>
          <w:rFonts w:ascii="Courier New" w:cs="Courier New" w:eastAsia="Courier New" w:hAnsi="Courier New"/>
          <w:color w:val="4A4A4A"/>
          <w:sz w:val="18"/>
          <w:szCs w:val="18"/>
        </w:rPr>
        <w:t xml:space="preserve">   3.1.   Design Principles</w:t>
      </w:r>
    </w:p>
    <w:p>
      <w:pPr>
        <w:tabs>
          <w:tab w:val="right" w:pos="8640"/>
        </w:tabs>
        <w:spacing w:before="0" w:after="40"/>
      </w:pPr>
      <w:r>
        <w:rPr>
          <w:rFonts w:ascii="Courier New" w:cs="Courier New" w:eastAsia="Courier New" w:hAnsi="Courier New"/>
          <w:color w:val="4A4A4A"/>
          <w:sz w:val="18"/>
          <w:szCs w:val="18"/>
        </w:rPr>
        <w:t xml:space="preserve">   3.2.   The Four Foundational Properties</w:t>
      </w:r>
    </w:p>
    <w:p>
      <w:pPr>
        <w:tabs>
          <w:tab w:val="right" w:pos="8640"/>
        </w:tabs>
        <w:spacing w:before="0" w:after="40"/>
      </w:pPr>
      <w:r>
        <w:rPr>
          <w:rFonts w:ascii="Courier New" w:cs="Courier New" w:eastAsia="Courier New" w:hAnsi="Courier New"/>
          <w:color w:val="4A4A4A"/>
          <w:sz w:val="18"/>
          <w:szCs w:val="18"/>
        </w:rPr>
        <w:t xml:space="preserve">   3.3.   Protocol Layers</w:t>
      </w:r>
    </w:p>
    <w:p>
      <w:pPr>
        <w:tabs>
          <w:tab w:val="right" w:pos="8640"/>
        </w:tabs>
        <w:spacing w:before="0" w:after="40"/>
      </w:pPr>
      <w:r>
        <w:rPr>
          <w:rFonts w:ascii="Courier New" w:cs="Courier New" w:eastAsia="Courier New" w:hAnsi="Courier New"/>
          <w:color w:val="4A4A4A"/>
          <w:sz w:val="18"/>
          <w:szCs w:val="18"/>
        </w:rPr>
        <w:t xml:space="preserve">   4.   The Intent Token</w:t>
      </w:r>
    </w:p>
    <w:p>
      <w:pPr>
        <w:tabs>
          <w:tab w:val="right" w:pos="8640"/>
        </w:tabs>
        <w:spacing w:before="0" w:after="40"/>
      </w:pPr>
      <w:r>
        <w:rPr>
          <w:rFonts w:ascii="Courier New" w:cs="Courier New" w:eastAsia="Courier New" w:hAnsi="Courier New"/>
          <w:color w:val="4A4A4A"/>
          <w:sz w:val="18"/>
          <w:szCs w:val="18"/>
        </w:rPr>
        <w:t xml:space="preserve">   4.1.   Token Structure</w:t>
      </w:r>
    </w:p>
    <w:p>
      <w:pPr>
        <w:tabs>
          <w:tab w:val="right" w:pos="8640"/>
        </w:tabs>
        <w:spacing w:before="0" w:after="40"/>
      </w:pPr>
      <w:r>
        <w:rPr>
          <w:rFonts w:ascii="Courier New" w:cs="Courier New" w:eastAsia="Courier New" w:hAnsi="Courier New"/>
          <w:color w:val="4A4A4A"/>
          <w:sz w:val="18"/>
          <w:szCs w:val="18"/>
        </w:rPr>
        <w:t xml:space="preserve">   4.2.   Field Definitions</w:t>
      </w:r>
    </w:p>
    <w:p>
      <w:pPr>
        <w:tabs>
          <w:tab w:val="right" w:pos="8640"/>
        </w:tabs>
        <w:spacing w:before="0" w:after="40"/>
      </w:pPr>
      <w:r>
        <w:rPr>
          <w:rFonts w:ascii="Courier New" w:cs="Courier New" w:eastAsia="Courier New" w:hAnsi="Courier New"/>
          <w:color w:val="4A4A4A"/>
          <w:sz w:val="18"/>
          <w:szCs w:val="18"/>
        </w:rPr>
        <w:t xml:space="preserve">   4.3.   The Intent Scope Envelope</w:t>
      </w:r>
    </w:p>
    <w:p>
      <w:pPr>
        <w:tabs>
          <w:tab w:val="right" w:pos="8640"/>
        </w:tabs>
        <w:spacing w:before="0" w:after="40"/>
      </w:pPr>
      <w:r>
        <w:rPr>
          <w:rFonts w:ascii="Courier New" w:cs="Courier New" w:eastAsia="Courier New" w:hAnsi="Courier New"/>
          <w:color w:val="4A4A4A"/>
          <w:sz w:val="18"/>
          <w:szCs w:val="18"/>
        </w:rPr>
        <w:t xml:space="preserve">   4.4.   Quantitative Bounds</w:t>
      </w:r>
    </w:p>
    <w:p>
      <w:pPr>
        <w:tabs>
          <w:tab w:val="right" w:pos="8640"/>
        </w:tabs>
        <w:spacing w:before="0" w:after="40"/>
      </w:pPr>
      <w:r>
        <w:rPr>
          <w:rFonts w:ascii="Courier New" w:cs="Courier New" w:eastAsia="Courier New" w:hAnsi="Courier New"/>
          <w:color w:val="4A4A4A"/>
          <w:sz w:val="18"/>
          <w:szCs w:val="18"/>
        </w:rPr>
        <w:t xml:space="preserve">   5.   The Genesis Seal</w:t>
      </w:r>
    </w:p>
    <w:p>
      <w:pPr>
        <w:tabs>
          <w:tab w:val="right" w:pos="8640"/>
        </w:tabs>
        <w:spacing w:before="0" w:after="40"/>
      </w:pPr>
      <w:r>
        <w:rPr>
          <w:rFonts w:ascii="Courier New" w:cs="Courier New" w:eastAsia="Courier New" w:hAnsi="Courier New"/>
          <w:color w:val="4A4A4A"/>
          <w:sz w:val="18"/>
          <w:szCs w:val="18"/>
        </w:rPr>
        <w:t xml:space="preserve">   5.1.   Purpose and Design</w:t>
      </w:r>
    </w:p>
    <w:p>
      <w:pPr>
        <w:tabs>
          <w:tab w:val="right" w:pos="8640"/>
        </w:tabs>
        <w:spacing w:before="0" w:after="40"/>
      </w:pPr>
      <w:r>
        <w:rPr>
          <w:rFonts w:ascii="Courier New" w:cs="Courier New" w:eastAsia="Courier New" w:hAnsi="Courier New"/>
          <w:color w:val="4A4A4A"/>
          <w:sz w:val="18"/>
          <w:szCs w:val="18"/>
        </w:rPr>
        <w:t xml:space="preserve">   5.2.   Genesis Seal Structure</w:t>
      </w:r>
    </w:p>
    <w:p>
      <w:pPr>
        <w:tabs>
          <w:tab w:val="right" w:pos="8640"/>
        </w:tabs>
        <w:spacing w:before="0" w:after="40"/>
      </w:pPr>
      <w:r>
        <w:rPr>
          <w:rFonts w:ascii="Courier New" w:cs="Courier New" w:eastAsia="Courier New" w:hAnsi="Courier New"/>
          <w:color w:val="4A4A4A"/>
          <w:sz w:val="18"/>
          <w:szCs w:val="18"/>
        </w:rPr>
        <w:t xml:space="preserve">   5.3.   Key Generation Ceremony</w:t>
      </w:r>
    </w:p>
    <w:p>
      <w:pPr>
        <w:tabs>
          <w:tab w:val="right" w:pos="8640"/>
        </w:tabs>
        <w:spacing w:before="0" w:after="40"/>
      </w:pPr>
      <w:r>
        <w:rPr>
          <w:rFonts w:ascii="Courier New" w:cs="Courier New" w:eastAsia="Courier New" w:hAnsi="Courier New"/>
          <w:color w:val="4A4A4A"/>
          <w:sz w:val="18"/>
          <w:szCs w:val="18"/>
        </w:rPr>
        <w:t xml:space="preserve">   5.4.   Authorship Attribution Requirements</w:t>
      </w:r>
    </w:p>
    <w:p>
      <w:pPr>
        <w:tabs>
          <w:tab w:val="right" w:pos="8640"/>
        </w:tabs>
        <w:spacing w:before="0" w:after="40"/>
      </w:pPr>
      <w:r>
        <w:rPr>
          <w:rFonts w:ascii="Courier New" w:cs="Courier New" w:eastAsia="Courier New" w:hAnsi="Courier New"/>
          <w:color w:val="4A4A4A"/>
          <w:sz w:val="18"/>
          <w:szCs w:val="18"/>
        </w:rPr>
        <w:t xml:space="preserve">   6.   Cryptographic Mechanisms</w:t>
      </w:r>
    </w:p>
    <w:p>
      <w:pPr>
        <w:tabs>
          <w:tab w:val="right" w:pos="8640"/>
        </w:tabs>
        <w:spacing w:before="0" w:after="40"/>
      </w:pPr>
      <w:r>
        <w:rPr>
          <w:rFonts w:ascii="Courier New" w:cs="Courier New" w:eastAsia="Courier New" w:hAnsi="Courier New"/>
          <w:color w:val="4A4A4A"/>
          <w:sz w:val="18"/>
          <w:szCs w:val="18"/>
        </w:rPr>
        <w:t xml:space="preserve">   6.1.   Signature Algorithm</w:t>
      </w:r>
    </w:p>
    <w:p>
      <w:pPr>
        <w:tabs>
          <w:tab w:val="right" w:pos="8640"/>
        </w:tabs>
        <w:spacing w:before="0" w:after="40"/>
      </w:pPr>
      <w:r>
        <w:rPr>
          <w:rFonts w:ascii="Courier New" w:cs="Courier New" w:eastAsia="Courier New" w:hAnsi="Courier New"/>
          <w:color w:val="4A4A4A"/>
          <w:sz w:val="18"/>
          <w:szCs w:val="18"/>
        </w:rPr>
        <w:t xml:space="preserve">   6.2.   Decentralized Identifiers (DIDs)</w:t>
      </w:r>
    </w:p>
    <w:p>
      <w:pPr>
        <w:tabs>
          <w:tab w:val="right" w:pos="8640"/>
        </w:tabs>
        <w:spacing w:before="0" w:after="40"/>
      </w:pPr>
      <w:r>
        <w:rPr>
          <w:rFonts w:ascii="Courier New" w:cs="Courier New" w:eastAsia="Courier New" w:hAnsi="Courier New"/>
          <w:color w:val="4A4A4A"/>
          <w:sz w:val="18"/>
          <w:szCs w:val="18"/>
        </w:rPr>
        <w:t xml:space="preserve">   6.3.   Hash Functions</w:t>
      </w:r>
    </w:p>
    <w:p>
      <w:pPr>
        <w:tabs>
          <w:tab w:val="right" w:pos="8640"/>
        </w:tabs>
        <w:spacing w:before="0" w:after="40"/>
      </w:pPr>
      <w:r>
        <w:rPr>
          <w:rFonts w:ascii="Courier New" w:cs="Courier New" w:eastAsia="Courier New" w:hAnsi="Courier New"/>
          <w:color w:val="4A4A4A"/>
          <w:sz w:val="18"/>
          <w:szCs w:val="18"/>
        </w:rPr>
        <w:t xml:space="preserve">   6.4.   The Narrowing Invariant</w:t>
      </w:r>
    </w:p>
    <w:p>
      <w:pPr>
        <w:tabs>
          <w:tab w:val="right" w:pos="8640"/>
        </w:tabs>
        <w:spacing w:before="0" w:after="40"/>
      </w:pPr>
      <w:r>
        <w:rPr>
          <w:rFonts w:ascii="Courier New" w:cs="Courier New" w:eastAsia="Courier New" w:hAnsi="Courier New"/>
          <w:color w:val="4A4A4A"/>
          <w:sz w:val="18"/>
          <w:szCs w:val="18"/>
        </w:rPr>
        <w:t xml:space="preserve">   7.   Delegation and Derived Tokens</w:t>
      </w:r>
    </w:p>
    <w:p>
      <w:pPr>
        <w:tabs>
          <w:tab w:val="right" w:pos="8640"/>
        </w:tabs>
        <w:spacing w:before="0" w:after="40"/>
      </w:pPr>
      <w:r>
        <w:rPr>
          <w:rFonts w:ascii="Courier New" w:cs="Courier New" w:eastAsia="Courier New" w:hAnsi="Courier New"/>
          <w:color w:val="4A4A4A"/>
          <w:sz w:val="18"/>
          <w:szCs w:val="18"/>
        </w:rPr>
        <w:t xml:space="preserve">   7.1.   Derivation Rules</w:t>
      </w:r>
    </w:p>
    <w:p>
      <w:pPr>
        <w:tabs>
          <w:tab w:val="right" w:pos="8640"/>
        </w:tabs>
        <w:spacing w:before="0" w:after="40"/>
      </w:pPr>
      <w:r>
        <w:rPr>
          <w:rFonts w:ascii="Courier New" w:cs="Courier New" w:eastAsia="Courier New" w:hAnsi="Courier New"/>
          <w:color w:val="4A4A4A"/>
          <w:sz w:val="18"/>
          <w:szCs w:val="18"/>
        </w:rPr>
        <w:t xml:space="preserve">   7.2.   Delegation Depth</w:t>
      </w:r>
    </w:p>
    <w:p>
      <w:pPr>
        <w:tabs>
          <w:tab w:val="right" w:pos="8640"/>
        </w:tabs>
        <w:spacing w:before="0" w:after="40"/>
      </w:pPr>
      <w:r>
        <w:rPr>
          <w:rFonts w:ascii="Courier New" w:cs="Courier New" w:eastAsia="Courier New" w:hAnsi="Courier New"/>
          <w:color w:val="4A4A4A"/>
          <w:sz w:val="18"/>
          <w:szCs w:val="18"/>
        </w:rPr>
        <w:t xml:space="preserve">   7.3.   Sub-Agent Spawning</w:t>
      </w:r>
    </w:p>
    <w:p>
      <w:pPr>
        <w:tabs>
          <w:tab w:val="right" w:pos="8640"/>
        </w:tabs>
        <w:spacing w:before="0" w:after="40"/>
      </w:pPr>
      <w:r>
        <w:rPr>
          <w:rFonts w:ascii="Courier New" w:cs="Courier New" w:eastAsia="Courier New" w:hAnsi="Courier New"/>
          <w:color w:val="4A4A4A"/>
          <w:sz w:val="18"/>
          <w:szCs w:val="18"/>
        </w:rPr>
        <w:t xml:space="preserve">   8.   Revocation</w:t>
      </w:r>
    </w:p>
    <w:p>
      <w:pPr>
        <w:tabs>
          <w:tab w:val="right" w:pos="8640"/>
        </w:tabs>
        <w:spacing w:before="0" w:after="40"/>
      </w:pPr>
      <w:r>
        <w:rPr>
          <w:rFonts w:ascii="Courier New" w:cs="Courier New" w:eastAsia="Courier New" w:hAnsi="Courier New"/>
          <w:color w:val="4A4A4A"/>
          <w:sz w:val="18"/>
          <w:szCs w:val="18"/>
        </w:rPr>
        <w:t xml:space="preserve">   8.1.   Revocation Registry</w:t>
      </w:r>
    </w:p>
    <w:p>
      <w:pPr>
        <w:tabs>
          <w:tab w:val="right" w:pos="8640"/>
        </w:tabs>
        <w:spacing w:before="0" w:after="40"/>
      </w:pPr>
      <w:r>
        <w:rPr>
          <w:rFonts w:ascii="Courier New" w:cs="Courier New" w:eastAsia="Courier New" w:hAnsi="Courier New"/>
          <w:color w:val="4A4A4A"/>
          <w:sz w:val="18"/>
          <w:szCs w:val="18"/>
        </w:rPr>
        <w:t xml:space="preserve">   8.2.   Polling Requirements</w:t>
      </w:r>
    </w:p>
    <w:p>
      <w:pPr>
        <w:tabs>
          <w:tab w:val="right" w:pos="8640"/>
        </w:tabs>
        <w:spacing w:before="0" w:after="40"/>
      </w:pPr>
      <w:r>
        <w:rPr>
          <w:rFonts w:ascii="Courier New" w:cs="Courier New" w:eastAsia="Courier New" w:hAnsi="Courier New"/>
          <w:color w:val="4A4A4A"/>
          <w:sz w:val="18"/>
          <w:szCs w:val="18"/>
        </w:rPr>
        <w:t xml:space="preserve">   8.3.   Mid-Chain Revocation</w:t>
      </w:r>
    </w:p>
    <w:p>
      <w:pPr>
        <w:tabs>
          <w:tab w:val="right" w:pos="8640"/>
        </w:tabs>
        <w:spacing w:before="0" w:after="40"/>
      </w:pPr>
      <w:r>
        <w:rPr>
          <w:rFonts w:ascii="Courier New" w:cs="Courier New" w:eastAsia="Courier New" w:hAnsi="Courier New"/>
          <w:color w:val="4A4A4A"/>
          <w:sz w:val="18"/>
          <w:szCs w:val="18"/>
        </w:rPr>
        <w:t xml:space="preserve">   9.   Provenance Chain</w:t>
      </w:r>
    </w:p>
    <w:p>
      <w:pPr>
        <w:tabs>
          <w:tab w:val="right" w:pos="8640"/>
        </w:tabs>
        <w:spacing w:before="0" w:after="40"/>
      </w:pPr>
      <w:r>
        <w:rPr>
          <w:rFonts w:ascii="Courier New" w:cs="Courier New" w:eastAsia="Courier New" w:hAnsi="Courier New"/>
          <w:color w:val="4A4A4A"/>
          <w:sz w:val="18"/>
          <w:szCs w:val="18"/>
        </w:rPr>
        <w:t xml:space="preserve">   9.1.   Append-Only Structure</w:t>
      </w:r>
    </w:p>
    <w:p>
      <w:pPr>
        <w:tabs>
          <w:tab w:val="right" w:pos="8640"/>
        </w:tabs>
        <w:spacing w:before="0" w:after="40"/>
      </w:pPr>
      <w:r>
        <w:rPr>
          <w:rFonts w:ascii="Courier New" w:cs="Courier New" w:eastAsia="Courier New" w:hAnsi="Courier New"/>
          <w:color w:val="4A4A4A"/>
          <w:sz w:val="18"/>
          <w:szCs w:val="18"/>
        </w:rPr>
        <w:t xml:space="preserve">   9.2.   Provenance Record Format</w:t>
      </w:r>
    </w:p>
    <w:p>
      <w:pPr>
        <w:tabs>
          <w:tab w:val="right" w:pos="8640"/>
        </w:tabs>
        <w:spacing w:before="0" w:after="40"/>
      </w:pPr>
      <w:r>
        <w:rPr>
          <w:rFonts w:ascii="Courier New" w:cs="Courier New" w:eastAsia="Courier New" w:hAnsi="Courier New"/>
          <w:color w:val="4A4A4A"/>
          <w:sz w:val="18"/>
          <w:szCs w:val="18"/>
        </w:rPr>
        <w:t xml:space="preserve">   10.   Interoperability</w:t>
      </w:r>
    </w:p>
    <w:p>
      <w:pPr>
        <w:tabs>
          <w:tab w:val="right" w:pos="8640"/>
        </w:tabs>
        <w:spacing w:before="0" w:after="40"/>
      </w:pPr>
      <w:r>
        <w:rPr>
          <w:rFonts w:ascii="Courier New" w:cs="Courier New" w:eastAsia="Courier New" w:hAnsi="Courier New"/>
          <w:color w:val="4A4A4A"/>
          <w:sz w:val="18"/>
          <w:szCs w:val="18"/>
        </w:rPr>
        <w:t xml:space="preserve">   10.1.   Framework Integration</w:t>
      </w:r>
    </w:p>
    <w:p>
      <w:pPr>
        <w:tabs>
          <w:tab w:val="right" w:pos="8640"/>
        </w:tabs>
        <w:spacing w:before="0" w:after="40"/>
      </w:pPr>
      <w:r>
        <w:rPr>
          <w:rFonts w:ascii="Courier New" w:cs="Courier New" w:eastAsia="Courier New" w:hAnsi="Courier New"/>
          <w:color w:val="4A4A4A"/>
          <w:sz w:val="18"/>
          <w:szCs w:val="18"/>
        </w:rPr>
        <w:t xml:space="preserve">   10.2.   Cross-Organization Trust</w:t>
      </w:r>
    </w:p>
    <w:p>
      <w:pPr>
        <w:tabs>
          <w:tab w:val="right" w:pos="8640"/>
        </w:tabs>
        <w:spacing w:before="0" w:after="40"/>
      </w:pPr>
      <w:r>
        <w:rPr>
          <w:rFonts w:ascii="Courier New" w:cs="Courier New" w:eastAsia="Courier New" w:hAnsi="Courier New"/>
          <w:color w:val="4A4A4A"/>
          <w:sz w:val="18"/>
          <w:szCs w:val="18"/>
        </w:rPr>
        <w:t xml:space="preserve">   10.3.   Domain Taxonomy</w:t>
      </w:r>
    </w:p>
    <w:p>
      <w:pPr>
        <w:tabs>
          <w:tab w:val="right" w:pos="8640"/>
        </w:tabs>
        <w:spacing w:before="0" w:after="40"/>
      </w:pPr>
      <w:r>
        <w:rPr>
          <w:rFonts w:ascii="Courier New" w:cs="Courier New" w:eastAsia="Courier New" w:hAnsi="Courier New"/>
          <w:color w:val="4A4A4A"/>
          <w:sz w:val="18"/>
          <w:szCs w:val="18"/>
        </w:rPr>
        <w:t xml:space="preserve">   11.   Security Considerations</w:t>
      </w:r>
    </w:p>
    <w:p>
      <w:pPr>
        <w:tabs>
          <w:tab w:val="right" w:pos="8640"/>
        </w:tabs>
        <w:spacing w:before="0" w:after="40"/>
      </w:pPr>
      <w:r>
        <w:rPr>
          <w:rFonts w:ascii="Courier New" w:cs="Courier New" w:eastAsia="Courier New" w:hAnsi="Courier New"/>
          <w:color w:val="4A4A4A"/>
          <w:sz w:val="18"/>
          <w:szCs w:val="18"/>
        </w:rPr>
        <w:t xml:space="preserve">   12.   Privacy Considerations</w:t>
      </w:r>
    </w:p>
    <w:p>
      <w:pPr>
        <w:tabs>
          <w:tab w:val="right" w:pos="8640"/>
        </w:tabs>
        <w:spacing w:before="0" w:after="40"/>
      </w:pPr>
      <w:r>
        <w:rPr>
          <w:rFonts w:ascii="Courier New" w:cs="Courier New" w:eastAsia="Courier New" w:hAnsi="Courier New"/>
          <w:color w:val="4A4A4A"/>
          <w:sz w:val="18"/>
          <w:szCs w:val="18"/>
        </w:rPr>
        <w:t xml:space="preserve">   13.   IANA Considerations</w:t>
      </w:r>
    </w:p>
    <w:p>
      <w:pPr>
        <w:tabs>
          <w:tab w:val="right" w:pos="8640"/>
        </w:tabs>
        <w:spacing w:before="0" w:after="40"/>
      </w:pPr>
      <w:r>
        <w:rPr>
          <w:rFonts w:ascii="Courier New" w:cs="Courier New" w:eastAsia="Courier New" w:hAnsi="Courier New"/>
          <w:color w:val="4A4A4A"/>
          <w:sz w:val="18"/>
          <w:szCs w:val="18"/>
        </w:rPr>
        <w:t xml:space="preserve">   14.   References</w:t>
      </w:r>
    </w:p>
    <w:p>
      <w:pPr>
        <w:tabs>
          <w:tab w:val="right" w:pos="8640"/>
        </w:tabs>
        <w:spacing w:before="0" w:after="40"/>
      </w:pPr>
      <w:r>
        <w:rPr>
          <w:rFonts w:ascii="Courier New" w:cs="Courier New" w:eastAsia="Courier New" w:hAnsi="Courier New"/>
          <w:color w:val="4A4A4A"/>
          <w:sz w:val="18"/>
          <w:szCs w:val="18"/>
        </w:rPr>
        <w:t xml:space="preserve">   15.   Author's Address</w:t>
      </w:r>
    </w:p>
    <w:p>
      <w:pPr>
        <w:spacing w:before="0" w:after="0"/>
      </w:pPr>
      <w:r>
        <w:t xml:space="preserve"/>
      </w:r>
    </w:p>
    <w:p>
      <w:pPr>
        <w:pBdr>
          <w:bottom w:val="single" w:color="CCCCCC" w:sz="2"/>
        </w:pBdr>
        <w:spacing w:before="40" w:after="40"/>
      </w:pPr>
    </w:p>
    <w:p>
      <w:pPr>
        <w:spacing w:before="0" w:after="0"/>
      </w:pPr>
      <w:r>
        <w:t xml:space="preserve"/>
      </w:r>
    </w:p>
    <w:p>
      <w:pPr>
        <w:pStyle w:val="Heading1"/>
        <w:spacing w:before="320" w:after="120"/>
      </w:pPr>
      <w:r>
        <w:rPr>
          <w:rFonts w:ascii="Arial" w:cs="Arial" w:eastAsia="Arial" w:hAnsi="Arial"/>
          <w:b/>
          <w:bCs/>
          <w:color w:val="000000"/>
          <w:sz w:val="26"/>
          <w:szCs w:val="26"/>
        </w:rPr>
        <w:t xml:space="preserve">1.  Introduction</w:t>
      </w:r>
    </w:p>
    <w:p>
      <w:pPr>
        <w:pStyle w:val="Heading2"/>
        <w:spacing w:before="240" w:after="80"/>
      </w:pPr>
      <w:r>
        <w:rPr>
          <w:rFonts w:ascii="Arial" w:cs="Arial" w:eastAsia="Arial" w:hAnsi="Arial"/>
          <w:b/>
          <w:bCs/>
          <w:color w:val="000000"/>
          <w:sz w:val="22"/>
          <w:szCs w:val="22"/>
        </w:rPr>
        <w:t xml:space="preserve">1.1.  Background and Motivation</w:t>
      </w:r>
    </w:p>
    <w:p>
      <w:pPr>
        <w:spacing w:before="0" w:after="160"/>
        <w:jc w:val="both"/>
      </w:pPr>
      <w:r>
        <w:rPr>
          <w:rFonts w:ascii="Arial" w:cs="Arial" w:eastAsia="Arial" w:hAnsi="Arial"/>
          <w:color w:val="4A4A4A"/>
          <w:sz w:val="20"/>
          <w:szCs w:val="20"/>
        </w:rPr>
        <w:t xml:space="preserve">For three decades, enterprise security has operated under a single foundational assumption: that every consequential digital action originates from, and is ultimately accountable to, a human being. Access control systems, identity governance frameworks, audit logging infrastructures, and regulatory compliance regimes all derive their validity from this assumption. A human authenticates. A human is authorized. A human acts. A human is accountable.</w:t>
      </w:r>
    </w:p>
    <w:p>
      <w:pPr>
        <w:spacing w:before="0" w:after="160"/>
        <w:jc w:val="both"/>
      </w:pPr>
      <w:r>
        <w:rPr>
          <w:rFonts w:ascii="Arial" w:cs="Arial" w:eastAsia="Arial" w:hAnsi="Arial"/>
          <w:color w:val="4A4A4A"/>
          <w:sz w:val="20"/>
          <w:szCs w:val="20"/>
        </w:rPr>
        <w:t xml:space="preserve">The emergence of autonomous artificial intelligence agents — software entities capable of perceiving their environment, reasoning about goals, taking sequences of actions, and spawning additional agents to fulfill sub-tasks — fundamentally invalidates this assumption. In agentic environments, the majority of consequential actions are executed by software entities operating without real-time human supervision. A human sets a goal; an agent, or a hierarchy of agents, determines and executes the means.</w:t>
      </w:r>
    </w:p>
    <w:p>
      <w:pPr>
        <w:spacing w:before="0" w:after="160"/>
        <w:jc w:val="both"/>
      </w:pPr>
      <w:r>
        <w:rPr>
          <w:rFonts w:ascii="Arial" w:cs="Arial" w:eastAsia="Arial" w:hAnsi="Arial"/>
          <w:color w:val="4A4A4A"/>
          <w:sz w:val="20"/>
          <w:szCs w:val="20"/>
        </w:rPr>
        <w:t xml:space="preserve">This creates a category of risk that existing security infrastructure is architecturally unequipped to address: not the risk of unauthorized access, but the risk of authorized-but-misaligned action — agent behavior that is technically permitted by access control systems but inconsistent with the human intent that originally authorized the agent's deployment.</w:t>
      </w:r>
    </w:p>
    <w:p>
      <w:pPr>
        <w:pStyle w:val="Heading2"/>
        <w:spacing w:before="240" w:after="80"/>
      </w:pPr>
      <w:r>
        <w:rPr>
          <w:rFonts w:ascii="Arial" w:cs="Arial" w:eastAsia="Arial" w:hAnsi="Arial"/>
          <w:b/>
          <w:bCs/>
          <w:color w:val="000000"/>
          <w:sz w:val="22"/>
          <w:szCs w:val="22"/>
        </w:rPr>
        <w:t xml:space="preserve">1.2.  The Authorship Problem in Agentic Systems</w:t>
      </w:r>
    </w:p>
    <w:p>
      <w:pPr>
        <w:spacing w:before="0" w:after="160"/>
        <w:jc w:val="both"/>
      </w:pPr>
      <w:r>
        <w:rPr>
          <w:rFonts w:ascii="Arial" w:cs="Arial" w:eastAsia="Arial" w:hAnsi="Arial"/>
          <w:color w:val="4A4A4A"/>
          <w:sz w:val="20"/>
          <w:szCs w:val="20"/>
        </w:rPr>
        <w:t xml:space="preserve">Consider a scenario in which a Chief Financial Officer instructs an AI assistant to 'optimize cash positions across all subsidiaries and move any idle balances over ten million dollars into short-term treasuries.' The assistant spawns three sub-agents: one to query treasury balances, one to evaluate current rates, and one to execute transfers. The transfer agent, drawing on outputs from the other two, initiates eleven separate wire transfers totaling three hundred forty million dollars.</w:t>
      </w:r>
    </w:p>
    <w:p>
      <w:pPr>
        <w:spacing w:before="0" w:after="160"/>
        <w:jc w:val="both"/>
      </w:pPr>
      <w:r>
        <w:rPr>
          <w:rFonts w:ascii="Arial" w:cs="Arial" w:eastAsia="Arial" w:hAnsi="Arial"/>
          <w:color w:val="4A4A4A"/>
          <w:sz w:val="20"/>
          <w:szCs w:val="20"/>
        </w:rPr>
        <w:t xml:space="preserve">At the moment the eleventh transfer is executed, no existing system can answer the following questions with cryptographic certainty: (a) What specific human intent authorized this action? (b) What constraints bounded that intent? (c) What is the complete chain of delegation from the CFO's instruction to this specific transfer? (d) Is this action consistent with what the CFO meant, or merely consistent with what the CFO said? (e) Who bears legal accountability if this action causes harm?</w:t>
      </w:r>
    </w:p>
    <w:p>
      <w:pPr>
        <w:spacing w:before="0" w:after="160"/>
        <w:jc w:val="both"/>
      </w:pPr>
      <w:r>
        <w:rPr>
          <w:rFonts w:ascii="Arial" w:cs="Arial" w:eastAsia="Arial" w:hAnsi="Arial"/>
          <w:color w:val="4A4A4A"/>
          <w:sz w:val="20"/>
          <w:szCs w:val="20"/>
        </w:rPr>
        <w:t xml:space="preserve">The Intent Provenance Protocol is designed to make all five of these questions answerable with cryptographic precision, in real time, without requiring a central authority, and in a form that is legally defensible across jurisdictions.</w:t>
      </w:r>
    </w:p>
    <w:p>
      <w:pPr>
        <w:pStyle w:val="Heading2"/>
        <w:spacing w:before="240" w:after="80"/>
      </w:pPr>
      <w:r>
        <w:rPr>
          <w:rFonts w:ascii="Arial" w:cs="Arial" w:eastAsia="Arial" w:hAnsi="Arial"/>
          <w:b/>
          <w:bCs/>
          <w:color w:val="000000"/>
          <w:sz w:val="22"/>
          <w:szCs w:val="22"/>
        </w:rPr>
        <w:t xml:space="preserve">1.3.  Scope</w:t>
      </w:r>
    </w:p>
    <w:p>
      <w:pPr>
        <w:spacing w:before="0" w:after="160"/>
        <w:jc w:val="both"/>
      </w:pPr>
      <w:r>
        <w:rPr>
          <w:rFonts w:ascii="Arial" w:cs="Arial" w:eastAsia="Arial" w:hAnsi="Arial"/>
          <w:color w:val="4A4A4A"/>
          <w:sz w:val="20"/>
          <w:szCs w:val="20"/>
        </w:rPr>
        <w:t xml:space="preserve">This specification defines: the structure and semantics of the Intent Token; the Genesis Seal mechanism for permanent authorship attribution; the cryptographic mechanisms underlying token signing and verification; the Narrowing Invariant governing token derivation; the revocation protocol; the provenance chain format; and the interoperability requirements for compliant implementations.</w:t>
      </w:r>
    </w:p>
    <w:p>
      <w:pPr>
        <w:spacing w:before="0" w:after="160"/>
        <w:jc w:val="both"/>
      </w:pPr>
      <w:r>
        <w:rPr>
          <w:rFonts w:ascii="Arial" w:cs="Arial" w:eastAsia="Arial" w:hAnsi="Arial"/>
          <w:color w:val="4A4A4A"/>
          <w:sz w:val="20"/>
          <w:szCs w:val="20"/>
        </w:rPr>
        <w:t xml:space="preserve">This specification does not define: specific AI agent architectures or orchestration frameworks; natural language processing mechanisms for intent parsing; application-layer authorization policies; or legal standards for accountability attribution (though it is designed to support such standards).</w:t>
      </w:r>
    </w:p>
    <w:p>
      <w:pPr>
        <w:spacing w:before="0" w:after="0"/>
      </w:pPr>
      <w:r>
        <w:t xml:space="preserve"/>
      </w:r>
    </w:p>
    <w:p>
      <w:pPr>
        <w:pStyle w:val="Heading1"/>
        <w:spacing w:before="320" w:after="120"/>
      </w:pPr>
      <w:r>
        <w:rPr>
          <w:rFonts w:ascii="Arial" w:cs="Arial" w:eastAsia="Arial" w:hAnsi="Arial"/>
          <w:b/>
          <w:bCs/>
          <w:color w:val="000000"/>
          <w:sz w:val="26"/>
          <w:szCs w:val="26"/>
        </w:rPr>
        <w:t xml:space="preserve">2.  Terminology and Definitions</w:t>
      </w:r>
    </w:p>
    <w:p>
      <w:pPr>
        <w:spacing w:before="0" w:after="160"/>
        <w:jc w:val="both"/>
      </w:pPr>
      <w:r>
        <w:rPr>
          <w:rFonts w:ascii="Arial" w:cs="Arial" w:eastAsia="Arial" w:hAnsi="Arial"/>
          <w:color w:val="4A4A4A"/>
          <w:sz w:val="20"/>
          <w:szCs w:val="20"/>
        </w:rPr>
        <w:t xml:space="preserve">The following terms are used throughout this specification:</w:t>
      </w:r>
    </w:p>
    <w:p>
      <w:pPr>
        <w:spacing w:before="0" w:after="0"/>
      </w:pPr>
      <w:r>
        <w:t xml:space="preserve"/>
      </w:r>
    </w:p>
    <w:p>
      <w:pPr>
        <w:spacing w:before="80" w:after="0"/>
        <w:ind w:left="360"/>
      </w:pPr>
      <w:r>
        <w:rPr>
          <w:rFonts w:ascii="Arial" w:cs="Arial" w:eastAsia="Arial" w:hAnsi="Arial"/>
          <w:b/>
          <w:bCs/>
          <w:color w:val="007A6E"/>
          <w:sz w:val="20"/>
          <w:szCs w:val="20"/>
        </w:rPr>
        <w:t xml:space="preserve">Agent:</w:t>
      </w:r>
    </w:p>
    <w:p>
      <w:pPr>
        <w:spacing w:before="0" w:after="120"/>
        <w:ind w:left="720"/>
      </w:pPr>
      <w:r>
        <w:rPr>
          <w:rFonts w:ascii="Arial" w:cs="Arial" w:eastAsia="Arial" w:hAnsi="Arial"/>
          <w:color w:val="4A4A4A"/>
          <w:sz w:val="20"/>
          <w:szCs w:val="20"/>
        </w:rPr>
        <w:t xml:space="preserve">An autonomous software entity capable of perceiving inputs, reasoning about goals, taking sequences of actions, and potentially spawning additional agents. Agents are the primary non-human actors governed by this protocol.</w:t>
      </w:r>
    </w:p>
    <w:p>
      <w:pPr>
        <w:spacing w:before="80" w:after="0"/>
        <w:ind w:left="360"/>
      </w:pPr>
      <w:r>
        <w:rPr>
          <w:rFonts w:ascii="Arial" w:cs="Arial" w:eastAsia="Arial" w:hAnsi="Arial"/>
          <w:b/>
          <w:bCs/>
          <w:color w:val="007A6E"/>
          <w:sz w:val="20"/>
          <w:szCs w:val="20"/>
        </w:rPr>
        <w:t xml:space="preserve">Principal:</w:t>
      </w:r>
    </w:p>
    <w:p>
      <w:pPr>
        <w:spacing w:before="0" w:after="120"/>
        <w:ind w:left="720"/>
      </w:pPr>
      <w:r>
        <w:rPr>
          <w:rFonts w:ascii="Arial" w:cs="Arial" w:eastAsia="Arial" w:hAnsi="Arial"/>
          <w:color w:val="4A4A4A"/>
          <w:sz w:val="20"/>
          <w:szCs w:val="20"/>
        </w:rPr>
        <w:t xml:space="preserve">A human being or legally accountable organization at the root of an intent chain. Every valid Intent Token chain MUST have a human Principal at its origin. There is no such thing as an agent-originated intent chain under this protocol.</w:t>
      </w:r>
    </w:p>
    <w:p>
      <w:pPr>
        <w:spacing w:before="80" w:after="0"/>
        <w:ind w:left="360"/>
      </w:pPr>
      <w:r>
        <w:rPr>
          <w:rFonts w:ascii="Arial" w:cs="Arial" w:eastAsia="Arial" w:hAnsi="Arial"/>
          <w:b/>
          <w:bCs/>
          <w:color w:val="007A6E"/>
          <w:sz w:val="20"/>
          <w:szCs w:val="20"/>
        </w:rPr>
        <w:t xml:space="preserve">Intent Token:</w:t>
      </w:r>
    </w:p>
    <w:p>
      <w:pPr>
        <w:spacing w:before="0" w:after="120"/>
        <w:ind w:left="720"/>
      </w:pPr>
      <w:r>
        <w:rPr>
          <w:rFonts w:ascii="Arial" w:cs="Arial" w:eastAsia="Arial" w:hAnsi="Arial"/>
          <w:color w:val="4A4A4A"/>
          <w:sz w:val="20"/>
          <w:szCs w:val="20"/>
        </w:rPr>
        <w:t xml:space="preserve">The atomic unit of this protocol. A cryptographically signed, bounded, and time-limited data structure that carries verified human intent through a chain of agentic actions.</w:t>
      </w:r>
    </w:p>
    <w:p>
      <w:pPr>
        <w:spacing w:before="80" w:after="0"/>
        <w:ind w:left="360"/>
      </w:pPr>
      <w:r>
        <w:rPr>
          <w:rFonts w:ascii="Arial" w:cs="Arial" w:eastAsia="Arial" w:hAnsi="Arial"/>
          <w:b/>
          <w:bCs/>
          <w:color w:val="007A6E"/>
          <w:sz w:val="20"/>
          <w:szCs w:val="20"/>
        </w:rPr>
        <w:t xml:space="preserve">Genesis Seal:</w:t>
      </w:r>
    </w:p>
    <w:p>
      <w:pPr>
        <w:spacing w:before="0" w:after="120"/>
        <w:ind w:left="720"/>
      </w:pPr>
      <w:r>
        <w:rPr>
          <w:rFonts w:ascii="Arial" w:cs="Arial" w:eastAsia="Arial" w:hAnsi="Arial"/>
          <w:color w:val="4A4A4A"/>
          <w:sz w:val="20"/>
          <w:szCs w:val="20"/>
        </w:rPr>
        <w:t xml:space="preserve">A cryptographic artifact embedded in every Intent Token that permanently links the token to the original IPP specification and its author, Amanda Haberkamp. The Genesis Seal contains a hash of the specification document signed by the Founding Key.</w:t>
      </w:r>
    </w:p>
    <w:p>
      <w:pPr>
        <w:spacing w:before="80" w:after="0"/>
        <w:ind w:left="360"/>
      </w:pPr>
      <w:r>
        <w:rPr>
          <w:rFonts w:ascii="Arial" w:cs="Arial" w:eastAsia="Arial" w:hAnsi="Arial"/>
          <w:b/>
          <w:bCs/>
          <w:color w:val="007A6E"/>
          <w:sz w:val="20"/>
          <w:szCs w:val="20"/>
        </w:rPr>
        <w:t xml:space="preserve">Founding Key:</w:t>
      </w:r>
    </w:p>
    <w:p>
      <w:pPr>
        <w:spacing w:before="0" w:after="120"/>
        <w:ind w:left="720"/>
      </w:pPr>
      <w:r>
        <w:rPr>
          <w:rFonts w:ascii="Arial" w:cs="Arial" w:eastAsia="Arial" w:hAnsi="Arial"/>
          <w:color w:val="4A4A4A"/>
          <w:sz w:val="20"/>
          <w:szCs w:val="20"/>
        </w:rPr>
        <w:t xml:space="preserve">The Ed25519 private key generated by Amanda Haberkamp during the Key Generation Ceremony and used exclusively to produce the Genesis Seal signature. This key is never used after the ceremony and is stored in offline cold storage.</w:t>
      </w:r>
    </w:p>
    <w:p>
      <w:pPr>
        <w:spacing w:before="80" w:after="0"/>
        <w:ind w:left="360"/>
      </w:pPr>
      <w:r>
        <w:rPr>
          <w:rFonts w:ascii="Arial" w:cs="Arial" w:eastAsia="Arial" w:hAnsi="Arial"/>
          <w:b/>
          <w:bCs/>
          <w:color w:val="007A6E"/>
          <w:sz w:val="20"/>
          <w:szCs w:val="20"/>
        </w:rPr>
        <w:t xml:space="preserve">Narrowing Invariant:</w:t>
      </w:r>
    </w:p>
    <w:p>
      <w:pPr>
        <w:spacing w:before="0" w:after="120"/>
        <w:ind w:left="720"/>
      </w:pPr>
      <w:r>
        <w:rPr>
          <w:rFonts w:ascii="Arial" w:cs="Arial" w:eastAsia="Arial" w:hAnsi="Arial"/>
          <w:color w:val="4A4A4A"/>
          <w:sz w:val="20"/>
          <w:szCs w:val="20"/>
        </w:rPr>
        <w:t xml:space="preserve">The protocol rule that a Derived Token MUST be strictly less than or equal to its Parent Token in every dimension of scope, delegation depth, and expiry. Violations of this invariant are detectable by any participant without contacting a central authority.</w:t>
      </w:r>
    </w:p>
    <w:p>
      <w:pPr>
        <w:spacing w:before="80" w:after="0"/>
        <w:ind w:left="360"/>
      </w:pPr>
      <w:r>
        <w:rPr>
          <w:rFonts w:ascii="Arial" w:cs="Arial" w:eastAsia="Arial" w:hAnsi="Arial"/>
          <w:b/>
          <w:bCs/>
          <w:color w:val="007A6E"/>
          <w:sz w:val="20"/>
          <w:szCs w:val="20"/>
        </w:rPr>
        <w:t xml:space="preserve">Derived Token:</w:t>
      </w:r>
    </w:p>
    <w:p>
      <w:pPr>
        <w:spacing w:before="0" w:after="120"/>
        <w:ind w:left="720"/>
      </w:pPr>
      <w:r>
        <w:rPr>
          <w:rFonts w:ascii="Arial" w:cs="Arial" w:eastAsia="Arial" w:hAnsi="Arial"/>
          <w:color w:val="4A4A4A"/>
          <w:sz w:val="20"/>
          <w:szCs w:val="20"/>
        </w:rPr>
        <w:t xml:space="preserve">An Intent Token produced by an agent from a Parent Token. A Derived Token carries narrowed scope and reduced delegation depth, and is signed by both the issuing agent and linked to the Parent Token's signature.</w:t>
      </w:r>
    </w:p>
    <w:p>
      <w:pPr>
        <w:spacing w:before="80" w:after="0"/>
        <w:ind w:left="360"/>
      </w:pPr>
      <w:r>
        <w:rPr>
          <w:rFonts w:ascii="Arial" w:cs="Arial" w:eastAsia="Arial" w:hAnsi="Arial"/>
          <w:b/>
          <w:bCs/>
          <w:color w:val="007A6E"/>
          <w:sz w:val="20"/>
          <w:szCs w:val="20"/>
        </w:rPr>
        <w:t xml:space="preserve">Delegation Depth:</w:t>
      </w:r>
    </w:p>
    <w:p>
      <w:pPr>
        <w:spacing w:before="0" w:after="120"/>
        <w:ind w:left="720"/>
      </w:pPr>
      <w:r>
        <w:rPr>
          <w:rFonts w:ascii="Arial" w:cs="Arial" w:eastAsia="Arial" w:hAnsi="Arial"/>
          <w:color w:val="4A4A4A"/>
          <w:sz w:val="20"/>
          <w:szCs w:val="20"/>
        </w:rPr>
        <w:t xml:space="preserve">A non-negative integer field in the Intent Token specifying how many additional levels of sub-agent spawning are authorized. A value of zero means the token holder may act but may not spawn sub-agents.</w:t>
      </w:r>
    </w:p>
    <w:p>
      <w:pPr>
        <w:spacing w:before="80" w:after="0"/>
        <w:ind w:left="360"/>
      </w:pPr>
      <w:r>
        <w:rPr>
          <w:rFonts w:ascii="Arial" w:cs="Arial" w:eastAsia="Arial" w:hAnsi="Arial"/>
          <w:b/>
          <w:bCs/>
          <w:color w:val="007A6E"/>
          <w:sz w:val="20"/>
          <w:szCs w:val="20"/>
        </w:rPr>
        <w:t xml:space="preserve">Provenance Chain:</w:t>
      </w:r>
    </w:p>
    <w:p>
      <w:pPr>
        <w:spacing w:before="0" w:after="120"/>
        <w:ind w:left="720"/>
      </w:pPr>
      <w:r>
        <w:rPr>
          <w:rFonts w:ascii="Arial" w:cs="Arial" w:eastAsia="Arial" w:hAnsi="Arial"/>
          <w:color w:val="4A4A4A"/>
          <w:sz w:val="20"/>
          <w:szCs w:val="20"/>
        </w:rPr>
        <w:t xml:space="preserve">An append-only, cryptographically linked sequence of records within an Intent Token documenting every action taken under that token's authority.</w:t>
      </w:r>
    </w:p>
    <w:p>
      <w:pPr>
        <w:spacing w:before="80" w:after="0"/>
        <w:ind w:left="360"/>
      </w:pPr>
      <w:r>
        <w:rPr>
          <w:rFonts w:ascii="Arial" w:cs="Arial" w:eastAsia="Arial" w:hAnsi="Arial"/>
          <w:b/>
          <w:bCs/>
          <w:color w:val="007A6E"/>
          <w:sz w:val="20"/>
          <w:szCs w:val="20"/>
        </w:rPr>
        <w:t xml:space="preserve">Domain Taxonomy:</w:t>
      </w:r>
    </w:p>
    <w:p>
      <w:pPr>
        <w:spacing w:before="0" w:after="120"/>
        <w:ind w:left="720"/>
      </w:pPr>
      <w:r>
        <w:rPr>
          <w:rFonts w:ascii="Arial" w:cs="Arial" w:eastAsia="Arial" w:hAnsi="Arial"/>
          <w:color w:val="4A4A4A"/>
          <w:sz w:val="20"/>
          <w:szCs w:val="20"/>
        </w:rPr>
        <w:t xml:space="preserve">The hierarchical dot-notation vocabulary for classifying intent domains, maintained by KH Sovereign, Inc. and open for community contribution. Examples: financial.treasury, healthcare.records.read, infrastructure.compute.provision.</w:t>
      </w:r>
    </w:p>
    <w:p>
      <w:pPr>
        <w:spacing w:before="80" w:after="0"/>
        <w:ind w:left="360"/>
      </w:pPr>
      <w:r>
        <w:rPr>
          <w:rFonts w:ascii="Arial" w:cs="Arial" w:eastAsia="Arial" w:hAnsi="Arial"/>
          <w:b/>
          <w:bCs/>
          <w:color w:val="007A6E"/>
          <w:sz w:val="20"/>
          <w:szCs w:val="20"/>
        </w:rPr>
        <w:t xml:space="preserve">DID:</w:t>
      </w:r>
    </w:p>
    <w:p>
      <w:pPr>
        <w:spacing w:before="0" w:after="120"/>
        <w:ind w:left="720"/>
      </w:pPr>
      <w:r>
        <w:rPr>
          <w:rFonts w:ascii="Arial" w:cs="Arial" w:eastAsia="Arial" w:hAnsi="Arial"/>
          <w:color w:val="4A4A4A"/>
          <w:sz w:val="20"/>
          <w:szCs w:val="20"/>
        </w:rPr>
        <w:t xml:space="preserve">Decentralized Identifier. A W3C standard identifier that enables verifiable, self-sovereign identity without relying on a centralized registry. All Principal and Agent identities in this protocol are expressed as DIDs.</w:t>
      </w:r>
    </w:p>
    <w:p>
      <w:pPr>
        <w:spacing w:before="80" w:after="0"/>
        <w:ind w:left="360"/>
      </w:pPr>
      <w:r>
        <w:rPr>
          <w:rFonts w:ascii="Arial" w:cs="Arial" w:eastAsia="Arial" w:hAnsi="Arial"/>
          <w:b/>
          <w:bCs/>
          <w:color w:val="007A6E"/>
          <w:sz w:val="20"/>
          <w:szCs w:val="20"/>
        </w:rPr>
        <w:t xml:space="preserve">Revocation Registry:</w:t>
      </w:r>
    </w:p>
    <w:p>
      <w:pPr>
        <w:spacing w:before="0" w:after="120"/>
        <w:ind w:left="720"/>
      </w:pPr>
      <w:r>
        <w:rPr>
          <w:rFonts w:ascii="Arial" w:cs="Arial" w:eastAsia="Arial" w:hAnsi="Arial"/>
          <w:color w:val="4A4A4A"/>
          <w:sz w:val="20"/>
          <w:szCs w:val="20"/>
        </w:rPr>
        <w:t xml:space="preserve">A distributed service providing real-time token revocation status. Agents MUST check the registry before taking any action under a token.</w:t>
      </w:r>
    </w:p>
    <w:p>
      <w:pPr>
        <w:spacing w:before="0" w:after="0"/>
      </w:pPr>
      <w:r>
        <w:t xml:space="preserve"/>
      </w:r>
    </w:p>
    <w:p>
      <w:pPr>
        <w:spacing w:before="0" w:after="160"/>
        <w:jc w:val="both"/>
      </w:pPr>
      <w:r>
        <w:rPr>
          <w:rFonts w:ascii="Arial" w:cs="Arial" w:eastAsia="Arial" w:hAnsi="Arial"/>
          <w:color w:val="4A4A4A"/>
          <w:sz w:val="20"/>
          <w:szCs w:val="20"/>
        </w:rPr>
        <w:t xml:space="preserve">The key words 'MUST', 'MUST NOT', 'REQUIRED', 'SHALL', 'SHALL NOT', 'SHOULD', 'SHOULD NOT', 'RECOMMENDED', 'NOT RECOMMENDED', 'MAY', and 'OPTIONAL' in this document are to be interpreted as described in BCP 14 [RFC2119] [RFC8174] when, and only when, they appear in all capitals, as shown here.</w:t>
      </w:r>
    </w:p>
    <w:p>
      <w:pPr>
        <w:spacing w:before="0" w:after="0"/>
      </w:pPr>
      <w:r>
        <w:t xml:space="preserve"/>
      </w:r>
    </w:p>
    <w:p>
      <w:pPr>
        <w:pStyle w:val="Heading1"/>
        <w:spacing w:before="320" w:after="120"/>
      </w:pPr>
      <w:r>
        <w:rPr>
          <w:rFonts w:ascii="Arial" w:cs="Arial" w:eastAsia="Arial" w:hAnsi="Arial"/>
          <w:b/>
          <w:bCs/>
          <w:color w:val="000000"/>
          <w:sz w:val="26"/>
          <w:szCs w:val="26"/>
        </w:rPr>
        <w:t xml:space="preserve">3.  Protocol Overview</w:t>
      </w:r>
    </w:p>
    <w:p>
      <w:pPr>
        <w:pStyle w:val="Heading2"/>
        <w:spacing w:before="240" w:after="80"/>
      </w:pPr>
      <w:r>
        <w:rPr>
          <w:rFonts w:ascii="Arial" w:cs="Arial" w:eastAsia="Arial" w:hAnsi="Arial"/>
          <w:b/>
          <w:bCs/>
          <w:color w:val="000000"/>
          <w:sz w:val="22"/>
          <w:szCs w:val="22"/>
        </w:rPr>
        <w:t xml:space="preserve">3.1.  Design Principles</w:t>
      </w:r>
    </w:p>
    <w:p>
      <w:pPr>
        <w:spacing w:before="0" w:after="160"/>
        <w:jc w:val="both"/>
      </w:pPr>
      <w:r>
        <w:rPr>
          <w:rFonts w:ascii="Arial" w:cs="Arial" w:eastAsia="Arial" w:hAnsi="Arial"/>
          <w:color w:val="4A4A4A"/>
          <w:sz w:val="20"/>
          <w:szCs w:val="20"/>
        </w:rPr>
        <w:t xml:space="preserve">IPP is designed according to the following principles:</w:t>
      </w:r>
    </w:p>
    <w:p>
      <w:pPr>
        <w:pStyle w:val="ListParagraph"/>
        <w:numPr>
          <w:ilvl w:val="0"/>
          <w:numId w:val="2"/>
        </w:numPr>
        <w:spacing w:before="0" w:after="80"/>
      </w:pPr>
      <w:r>
        <w:rPr>
          <w:rFonts w:ascii="Arial" w:cs="Arial" w:eastAsia="Arial" w:hAnsi="Arial"/>
          <w:color w:val="4A4A4A"/>
          <w:sz w:val="20"/>
          <w:szCs w:val="20"/>
        </w:rPr>
        <w:t xml:space="preserve">Decentralized enforcement: Token validity is verifiable by any participant without contacting a central authority. The cryptographic structure of the token itself makes violations detectable.</w:t>
      </w:r>
    </w:p>
    <w:p>
      <w:pPr>
        <w:pStyle w:val="ListParagraph"/>
        <w:numPr>
          <w:ilvl w:val="0"/>
          <w:numId w:val="2"/>
        </w:numPr>
        <w:spacing w:before="0" w:after="80"/>
      </w:pPr>
      <w:r>
        <w:rPr>
          <w:rFonts w:ascii="Arial" w:cs="Arial" w:eastAsia="Arial" w:hAnsi="Arial"/>
          <w:color w:val="4A4A4A"/>
          <w:sz w:val="20"/>
          <w:szCs w:val="20"/>
        </w:rPr>
        <w:t xml:space="preserve">Human primacy: Every intent chain MUST originate from a human Principal. This is not a policy choice — it is a structural requirement enforced by the token schema.</w:t>
      </w:r>
    </w:p>
    <w:p>
      <w:pPr>
        <w:pStyle w:val="ListParagraph"/>
        <w:numPr>
          <w:ilvl w:val="0"/>
          <w:numId w:val="2"/>
        </w:numPr>
        <w:spacing w:before="0" w:after="80"/>
      </w:pPr>
      <w:r>
        <w:rPr>
          <w:rFonts w:ascii="Arial" w:cs="Arial" w:eastAsia="Arial" w:hAnsi="Arial"/>
          <w:color w:val="4A4A4A"/>
          <w:sz w:val="20"/>
          <w:szCs w:val="20"/>
        </w:rPr>
        <w:t xml:space="preserve">Minimal footprint: The SDK integration surface is intentionally small. Developers add governance capability to existing agents without rewriting their architecture.</w:t>
      </w:r>
    </w:p>
    <w:p>
      <w:pPr>
        <w:pStyle w:val="ListParagraph"/>
        <w:numPr>
          <w:ilvl w:val="0"/>
          <w:numId w:val="2"/>
        </w:numPr>
        <w:spacing w:before="0" w:after="80"/>
      </w:pPr>
      <w:r>
        <w:rPr>
          <w:rFonts w:ascii="Arial" w:cs="Arial" w:eastAsia="Arial" w:hAnsi="Arial"/>
          <w:color w:val="4A4A4A"/>
          <w:sz w:val="20"/>
          <w:szCs w:val="20"/>
        </w:rPr>
        <w:t xml:space="preserve">Open interoperability: The protocol is framework-agnostic, cloud-agnostic, and jurisdiction-agnostic. Any conformant implementation can interoperate with any other.</w:t>
      </w:r>
    </w:p>
    <w:p>
      <w:pPr>
        <w:pStyle w:val="ListParagraph"/>
        <w:numPr>
          <w:ilvl w:val="0"/>
          <w:numId w:val="2"/>
        </w:numPr>
        <w:spacing w:before="0" w:after="80"/>
      </w:pPr>
      <w:r>
        <w:rPr>
          <w:rFonts w:ascii="Arial" w:cs="Arial" w:eastAsia="Arial" w:hAnsi="Arial"/>
          <w:color w:val="4A4A4A"/>
          <w:sz w:val="20"/>
          <w:szCs w:val="20"/>
        </w:rPr>
        <w:t xml:space="preserve">Permanent authorship: The Genesis Seal embeds cryptographic attribution to the protocol's author in every token, making the authorship record tamper-evident and permanent by design.</w:t>
      </w:r>
    </w:p>
    <w:p>
      <w:pPr>
        <w:spacing w:before="0" w:after="0"/>
      </w:pPr>
      <w:r>
        <w:t xml:space="preserve"/>
      </w:r>
    </w:p>
    <w:p>
      <w:pPr>
        <w:pStyle w:val="Heading2"/>
        <w:spacing w:before="240" w:after="80"/>
      </w:pPr>
      <w:r>
        <w:rPr>
          <w:rFonts w:ascii="Arial" w:cs="Arial" w:eastAsia="Arial" w:hAnsi="Arial"/>
          <w:b/>
          <w:bCs/>
          <w:color w:val="000000"/>
          <w:sz w:val="22"/>
          <w:szCs w:val="22"/>
        </w:rPr>
        <w:t xml:space="preserve">3.2.  The Four Foundational Properties</w:t>
      </w:r>
    </w:p>
    <w:p>
      <w:pPr>
        <w:spacing w:before="0" w:after="160"/>
        <w:jc w:val="both"/>
      </w:pPr>
      <w:r>
        <w:rPr>
          <w:rFonts w:ascii="Arial" w:cs="Arial" w:eastAsia="Arial" w:hAnsi="Arial"/>
          <w:color w:val="4A4A4A"/>
          <w:sz w:val="20"/>
          <w:szCs w:val="20"/>
        </w:rPr>
        <w:t xml:space="preserve">Every compliant IPP implementation MUST guarantee the following four properties:</w:t>
      </w:r>
    </w:p>
    <w:p>
      <w:pPr>
        <w:spacing w:before="0" w:after="0"/>
      </w:pPr>
      <w:r>
        <w:t xml:space="preserve"/>
      </w:r>
    </w:p>
    <w:p>
      <w:pPr>
        <w:spacing w:before="180" w:after="60"/>
      </w:pPr>
      <w:r>
        <w:rPr>
          <w:rFonts w:ascii="Arial" w:cs="Arial" w:eastAsia="Arial" w:hAnsi="Arial"/>
          <w:b/>
          <w:bCs/>
          <w:color w:val="007A6E"/>
          <w:sz w:val="20"/>
          <w:szCs w:val="20"/>
        </w:rPr>
        <w:t xml:space="preserve">Lineage</w:t>
      </w:r>
    </w:p>
    <w:p>
      <w:pPr>
        <w:spacing w:before="0" w:after="160"/>
        <w:jc w:val="both"/>
      </w:pPr>
      <w:r>
        <w:rPr>
          <w:rFonts w:ascii="Arial" w:cs="Arial" w:eastAsia="Arial" w:hAnsi="Arial"/>
          <w:color w:val="4A4A4A"/>
          <w:sz w:val="20"/>
          <w:szCs w:val="20"/>
        </w:rPr>
        <w:t xml:space="preserve">Every action taken by any agent under an Intent Token MUST be traceable, through an unbroken chain of cryptographic signatures, to a human Principal. The chain may pass through any number of intermediate agents, but the terminal node in the backwards trace MUST always be a DID resolving to a human or human-accountable legal entity.</w:t>
      </w:r>
    </w:p>
    <w:p>
      <w:pPr>
        <w:spacing w:before="180" w:after="60"/>
      </w:pPr>
      <w:r>
        <w:rPr>
          <w:rFonts w:ascii="Arial" w:cs="Arial" w:eastAsia="Arial" w:hAnsi="Arial"/>
          <w:b/>
          <w:bCs/>
          <w:color w:val="007A6E"/>
          <w:sz w:val="20"/>
          <w:szCs w:val="20"/>
        </w:rPr>
        <w:t xml:space="preserve">Boundedness</w:t>
      </w:r>
    </w:p>
    <w:p>
      <w:pPr>
        <w:spacing w:before="0" w:after="160"/>
        <w:jc w:val="both"/>
      </w:pPr>
      <w:r>
        <w:rPr>
          <w:rFonts w:ascii="Arial" w:cs="Arial" w:eastAsia="Arial" w:hAnsi="Arial"/>
          <w:color w:val="4A4A4A"/>
          <w:sz w:val="20"/>
          <w:szCs w:val="20"/>
        </w:rPr>
        <w:t xml:space="preserve">Every Intent Token MUST carry explicit, machine-readable constraints on the scope of authorized action. These constraints MUST be enforced by the SDK before any action is taken. Constraints travel with the token through every delegation level and MUST NOT be expanded by any intermediate agent.</w:t>
      </w:r>
    </w:p>
    <w:p>
      <w:pPr>
        <w:spacing w:before="180" w:after="60"/>
      </w:pPr>
      <w:r>
        <w:rPr>
          <w:rFonts w:ascii="Arial" w:cs="Arial" w:eastAsia="Arial" w:hAnsi="Arial"/>
          <w:b/>
          <w:bCs/>
          <w:color w:val="007A6E"/>
          <w:sz w:val="20"/>
          <w:szCs w:val="20"/>
        </w:rPr>
        <w:t xml:space="preserve">Non-Repudiation</w:t>
      </w:r>
    </w:p>
    <w:p>
      <w:pPr>
        <w:spacing w:before="0" w:after="160"/>
        <w:jc w:val="both"/>
      </w:pPr>
      <w:r>
        <w:rPr>
          <w:rFonts w:ascii="Arial" w:cs="Arial" w:eastAsia="Arial" w:hAnsi="Arial"/>
          <w:color w:val="4A4A4A"/>
          <w:sz w:val="20"/>
          <w:szCs w:val="20"/>
        </w:rPr>
        <w:t xml:space="preserve">Every Intent Token MUST be cryptographically signed such that the signing Principal or Agent cannot credibly deny having issued the token. The signature MUST be verifiable by any third party using only the signer's public key, without requiring communication with the signer or any central authority.</w:t>
      </w:r>
    </w:p>
    <w:p>
      <w:pPr>
        <w:spacing w:before="180" w:after="60"/>
      </w:pPr>
      <w:r>
        <w:rPr>
          <w:rFonts w:ascii="Arial" w:cs="Arial" w:eastAsia="Arial" w:hAnsi="Arial"/>
          <w:b/>
          <w:bCs/>
          <w:color w:val="007A6E"/>
          <w:sz w:val="20"/>
          <w:szCs w:val="20"/>
        </w:rPr>
        <w:t xml:space="preserve">Interoperability</w:t>
      </w:r>
    </w:p>
    <w:p>
      <w:pPr>
        <w:spacing w:before="0" w:after="160"/>
        <w:jc w:val="both"/>
      </w:pPr>
      <w:r>
        <w:rPr>
          <w:rFonts w:ascii="Arial" w:cs="Arial" w:eastAsia="Arial" w:hAnsi="Arial"/>
          <w:color w:val="4A4A4A"/>
          <w:sz w:val="20"/>
          <w:szCs w:val="20"/>
        </w:rPr>
        <w:t xml:space="preserve">Compliant implementations MUST be capable of consuming and producing Intent Tokens regardless of the AI framework, cloud environment, or programming language used. The token format is defined in JSON with a canonical serialization for signature purposes. SDK implementations MUST be available in at minimum Python, JavaScript, Go, and Java.</w:t>
      </w:r>
    </w:p>
    <w:p>
      <w:pPr>
        <w:spacing w:before="0" w:after="0"/>
      </w:pPr>
      <w:r>
        <w:t xml:space="preserve"/>
      </w:r>
    </w:p>
    <w:p>
      <w:pPr>
        <w:pStyle w:val="Heading2"/>
        <w:spacing w:before="240" w:after="80"/>
      </w:pPr>
      <w:r>
        <w:rPr>
          <w:rFonts w:ascii="Arial" w:cs="Arial" w:eastAsia="Arial" w:hAnsi="Arial"/>
          <w:b/>
          <w:bCs/>
          <w:color w:val="000000"/>
          <w:sz w:val="22"/>
          <w:szCs w:val="22"/>
        </w:rPr>
        <w:t xml:space="preserve">3.3.  Protocol Layers</w:t>
      </w:r>
    </w:p>
    <w:p>
      <w:pPr>
        <w:spacing w:before="0" w:after="160"/>
        <w:jc w:val="both"/>
      </w:pPr>
      <w:r>
        <w:rPr>
          <w:rFonts w:ascii="Arial" w:cs="Arial" w:eastAsia="Arial" w:hAnsi="Arial"/>
          <w:color w:val="4A4A4A"/>
          <w:sz w:val="20"/>
          <w:szCs w:val="20"/>
        </w:rPr>
        <w:t xml:space="preserve">IPP operates as a distinct protocol layer between cryptographic identity infrastructure and application logic:</w:t>
      </w:r>
    </w:p>
    <w:p>
      <w:pPr>
        <w:spacing w:before="0" w:after="0"/>
      </w:pPr>
      <w:r>
        <w:t xml:space="preserve"/>
      </w:r>
    </w:p>
    <w:p>
      <w:pPr>
        <w:spacing w:before="0" w:after="0" w:line="240"/>
        <w:ind w:left="720"/>
      </w:pPr>
      <w:r>
        <w:rPr>
          <w:rFonts w:ascii="Courier New" w:cs="Courier New" w:eastAsia="Courier New" w:hAnsi="Courier New"/>
          <w:color w:val="000000"/>
          <w:sz w:val="18"/>
          <w:szCs w:val="18"/>
        </w:rPr>
        <w:t xml:space="preserve">+------------------------------------------+</w:t>
      </w:r>
    </w:p>
    <w:p>
      <w:pPr>
        <w:spacing w:before="0" w:after="0" w:line="240"/>
        <w:ind w:left="720"/>
      </w:pPr>
      <w:r>
        <w:rPr>
          <w:rFonts w:ascii="Courier New" w:cs="Courier New" w:eastAsia="Courier New" w:hAnsi="Courier New"/>
          <w:color w:val="000000"/>
          <w:sz w:val="18"/>
          <w:szCs w:val="18"/>
        </w:rPr>
        <w:t xml:space="preserve">|          Application Logic               |  &lt;- Agent goals, actions, outputs</w:t>
      </w:r>
    </w:p>
    <w:p>
      <w:pPr>
        <w:spacing w:before="0" w:after="0" w:line="240"/>
        <w:ind w:left="720"/>
      </w:pPr>
      <w:r>
        <w:rPr>
          <w:rFonts w:ascii="Courier New" w:cs="Courier New" w:eastAsia="Courier New" w:hAnsi="Courier New"/>
          <w:color w:val="000000"/>
          <w:sz w:val="18"/>
          <w:szCs w:val="18"/>
        </w:rPr>
        <w:t xml:space="preserve">+------------------------------------------+</w:t>
      </w:r>
    </w:p>
    <w:p>
      <w:pPr>
        <w:spacing w:before="0" w:after="0" w:line="240"/>
        <w:ind w:left="720"/>
      </w:pPr>
      <w:r>
        <w:rPr>
          <w:rFonts w:ascii="Courier New" w:cs="Courier New" w:eastAsia="Courier New" w:hAnsi="Courier New"/>
          <w:color w:val="000000"/>
          <w:sz w:val="18"/>
          <w:szCs w:val="18"/>
        </w:rPr>
        <w:t xml:space="preserve">|   Intent Provenance Protocol (IPP)       |  &lt;- This specification</w:t>
      </w:r>
    </w:p>
    <w:p>
      <w:pPr>
        <w:spacing w:before="0" w:after="0" w:line="240"/>
        <w:ind w:left="720"/>
      </w:pPr>
      <w:r>
        <w:rPr>
          <w:rFonts w:ascii="Courier New" w:cs="Courier New" w:eastAsia="Courier New" w:hAnsi="Courier New"/>
          <w:color w:val="000000"/>
          <w:sz w:val="18"/>
          <w:szCs w:val="18"/>
        </w:rPr>
        <w:t xml:space="preserve">|   - Intent Tokens                        |</w:t>
      </w:r>
    </w:p>
    <w:p>
      <w:pPr>
        <w:spacing w:before="0" w:after="0" w:line="240"/>
        <w:ind w:left="720"/>
      </w:pPr>
      <w:r>
        <w:rPr>
          <w:rFonts w:ascii="Courier New" w:cs="Courier New" w:eastAsia="Courier New" w:hAnsi="Courier New"/>
          <w:color w:val="000000"/>
          <w:sz w:val="18"/>
          <w:szCs w:val="18"/>
        </w:rPr>
        <w:t xml:space="preserve">|   - Delegation &amp; Derivation              |</w:t>
      </w:r>
    </w:p>
    <w:p>
      <w:pPr>
        <w:spacing w:before="0" w:after="0" w:line="240"/>
        <w:ind w:left="720"/>
      </w:pPr>
      <w:r>
        <w:rPr>
          <w:rFonts w:ascii="Courier New" w:cs="Courier New" w:eastAsia="Courier New" w:hAnsi="Courier New"/>
          <w:color w:val="000000"/>
          <w:sz w:val="18"/>
          <w:szCs w:val="18"/>
        </w:rPr>
        <w:t xml:space="preserve">|   - Provenance Chain                     |</w:t>
      </w:r>
    </w:p>
    <w:p>
      <w:pPr>
        <w:spacing w:before="0" w:after="0" w:line="240"/>
        <w:ind w:left="720"/>
      </w:pPr>
      <w:r>
        <w:rPr>
          <w:rFonts w:ascii="Courier New" w:cs="Courier New" w:eastAsia="Courier New" w:hAnsi="Courier New"/>
          <w:color w:val="000000"/>
          <w:sz w:val="18"/>
          <w:szCs w:val="18"/>
        </w:rPr>
        <w:t xml:space="preserve">|   - Revocation                           |</w:t>
      </w:r>
    </w:p>
    <w:p>
      <w:pPr>
        <w:spacing w:before="0" w:after="0" w:line="240"/>
        <w:ind w:left="720"/>
      </w:pPr>
      <w:r>
        <w:rPr>
          <w:rFonts w:ascii="Courier New" w:cs="Courier New" w:eastAsia="Courier New" w:hAnsi="Courier New"/>
          <w:color w:val="000000"/>
          <w:sz w:val="18"/>
          <w:szCs w:val="18"/>
        </w:rPr>
        <w:t xml:space="preserve">+------------------------------------------+</w:t>
      </w:r>
    </w:p>
    <w:p>
      <w:pPr>
        <w:spacing w:before="0" w:after="0" w:line="240"/>
        <w:ind w:left="720"/>
      </w:pPr>
      <w:r>
        <w:rPr>
          <w:rFonts w:ascii="Courier New" w:cs="Courier New" w:eastAsia="Courier New" w:hAnsi="Courier New"/>
          <w:color w:val="000000"/>
          <w:sz w:val="18"/>
          <w:szCs w:val="18"/>
        </w:rPr>
        <w:t xml:space="preserve">|   Cryptographic Identity Layer           |  &lt;- DIDs, Ed25519, TLS</w:t>
      </w:r>
    </w:p>
    <w:p>
      <w:pPr>
        <w:spacing w:before="0" w:after="0" w:line="240"/>
        <w:ind w:left="720"/>
      </w:pPr>
      <w:r>
        <w:rPr>
          <w:rFonts w:ascii="Courier New" w:cs="Courier New" w:eastAsia="Courier New" w:hAnsi="Courier New"/>
          <w:color w:val="000000"/>
          <w:sz w:val="18"/>
          <w:szCs w:val="18"/>
        </w:rPr>
        <w:t xml:space="preserve">+------------------------------------------+</w:t>
      </w:r>
    </w:p>
    <w:p>
      <w:pPr>
        <w:spacing w:before="0" w:after="0" w:line="240"/>
        <w:ind w:left="720"/>
      </w:pPr>
      <w:r>
        <w:rPr>
          <w:rFonts w:ascii="Courier New" w:cs="Courier New" w:eastAsia="Courier New" w:hAnsi="Courier New"/>
          <w:color w:val="000000"/>
          <w:sz w:val="18"/>
          <w:szCs w:val="18"/>
        </w:rPr>
        <w:t xml:space="preserve">|   Transport / Infrastructure             |  &lt;- HTTP, gRPC, cloud APIs</w:t>
      </w:r>
    </w:p>
    <w:p>
      <w:pPr>
        <w:spacing w:before="0" w:after="0" w:line="240"/>
        <w:ind w:left="720"/>
      </w:pPr>
      <w:r>
        <w:rPr>
          <w:rFonts w:ascii="Courier New" w:cs="Courier New" w:eastAsia="Courier New" w:hAnsi="Courier New"/>
          <w:color w:val="000000"/>
          <w:sz w:val="18"/>
          <w:szCs w:val="18"/>
        </w:rPr>
        <w:t xml:space="preserve">+------------------------------------------+</w:t>
      </w:r>
    </w:p>
    <w:p>
      <w:pPr>
        <w:spacing w:before="0" w:after="0"/>
      </w:pPr>
      <w:r>
        <w:t xml:space="preserve"/>
      </w:r>
    </w:p>
    <w:p>
      <w:pPr>
        <w:pStyle w:val="Heading1"/>
        <w:spacing w:before="320" w:after="120"/>
      </w:pPr>
      <w:r>
        <w:rPr>
          <w:rFonts w:ascii="Arial" w:cs="Arial" w:eastAsia="Arial" w:hAnsi="Arial"/>
          <w:b/>
          <w:bCs/>
          <w:color w:val="000000"/>
          <w:sz w:val="26"/>
          <w:szCs w:val="26"/>
        </w:rPr>
        <w:t xml:space="preserve">4.  The Intent Token</w:t>
      </w:r>
    </w:p>
    <w:p>
      <w:pPr>
        <w:pStyle w:val="Heading2"/>
        <w:spacing w:before="240" w:after="80"/>
      </w:pPr>
      <w:r>
        <w:rPr>
          <w:rFonts w:ascii="Arial" w:cs="Arial" w:eastAsia="Arial" w:hAnsi="Arial"/>
          <w:b/>
          <w:bCs/>
          <w:color w:val="000000"/>
          <w:sz w:val="22"/>
          <w:szCs w:val="22"/>
        </w:rPr>
        <w:t xml:space="preserve">4.1.  Token Structure</w:t>
      </w:r>
    </w:p>
    <w:p>
      <w:pPr>
        <w:spacing w:before="0" w:after="160"/>
        <w:jc w:val="both"/>
      </w:pPr>
      <w:r>
        <w:rPr>
          <w:rFonts w:ascii="Arial" w:cs="Arial" w:eastAsia="Arial" w:hAnsi="Arial"/>
          <w:color w:val="4A4A4A"/>
          <w:sz w:val="20"/>
          <w:szCs w:val="20"/>
        </w:rPr>
        <w:t xml:space="preserve">The Intent Token is a JSON object with a canonical structure. The following is a complete example of a root Intent Token (issued by a Principal, not derived from a parent):</w:t>
      </w:r>
    </w:p>
    <w:p>
      <w:pPr>
        <w:spacing w:before="0" w:after="0"/>
      </w:pPr>
      <w:r>
        <w:t xml:space="preserve"/>
      </w:r>
    </w:p>
    <w:p>
      <w:pPr>
        <w:spacing w:before="0" w:after="0" w:line="240"/>
        <w:ind w:left="720"/>
      </w:pPr>
      <w:r>
        <w:rPr>
          <w:rFonts w:ascii="Courier New" w:cs="Courier New" w:eastAsia="Courier New" w:hAnsi="Courier New"/>
          <w:color w:val="000000"/>
          <w:sz w:val="18"/>
          <w:szCs w:val="18"/>
        </w:rPr>
        <w:t xml:space="preserve">{</w:t>
      </w:r>
    </w:p>
    <w:p>
      <w:pPr>
        <w:spacing w:before="0" w:after="0" w:line="240"/>
        <w:ind w:left="720"/>
      </w:pPr>
      <w:r>
        <w:rPr>
          <w:rFonts w:ascii="Courier New" w:cs="Courier New" w:eastAsia="Courier New" w:hAnsi="Courier New"/>
          <w:color w:val="000000"/>
          <w:sz w:val="18"/>
          <w:szCs w:val="18"/>
        </w:rPr>
        <w:t xml:space="preserve">  "$schema": "https://ipp.khsovereign.com/schema/v0.1/intent-token.json",</w:t>
      </w:r>
    </w:p>
    <w:p>
      <w:pPr>
        <w:spacing w:before="0" w:after="0" w:line="240"/>
        <w:ind w:left="720"/>
      </w:pPr>
      <w:r>
        <w:rPr>
          <w:rFonts w:ascii="Courier New" w:cs="Courier New" w:eastAsia="Courier New" w:hAnsi="Courier New"/>
          <w:color w:val="000000"/>
          <w:sz w:val="18"/>
          <w:szCs w:val="18"/>
        </w:rPr>
        <w:t xml:space="preserve">  "$id": "IntentToken",</w:t>
      </w:r>
    </w:p>
    <w:p>
      <w:pPr>
        <w:spacing w:before="0" w:after="0" w:line="240"/>
        <w:ind w:left="720"/>
      </w:pPr>
      <w:r>
        <w:rPr>
          <w:rFonts w:ascii="Courier New" w:cs="Courier New" w:eastAsia="Courier New" w:hAnsi="Courier New"/>
          <w:color w:val="000000"/>
          <w:sz w:val="18"/>
          <w:szCs w:val="18"/>
        </w:rPr>
        <w:t xml:space="preserve">  "version": "0.1",</w:t>
      </w:r>
    </w:p>
    <w:p>
      <w:pPr>
        <w:spacing w:before="0" w:after="0" w:line="240"/>
        <w:ind w:left="720"/>
      </w:pPr>
      <w:r>
        <w:rPr>
          <w:rFonts w:ascii="Courier New" w:cs="Courier New" w:eastAsia="Courier New" w:hAnsi="Courier New"/>
          <w:color w:val="000000"/>
          <w:sz w:val="18"/>
          <w:szCs w:val="18"/>
        </w:rPr>
        <w:t xml:space="preserve"/>
      </w:r>
    </w:p>
    <w:p>
      <w:pPr>
        <w:spacing w:before="0" w:after="0" w:line="240"/>
        <w:ind w:left="720"/>
      </w:pPr>
      <w:r>
        <w:rPr>
          <w:rFonts w:ascii="Courier New" w:cs="Courier New" w:eastAsia="Courier New" w:hAnsi="Courier New"/>
          <w:color w:val="000000"/>
          <w:sz w:val="18"/>
          <w:szCs w:val="18"/>
        </w:rPr>
        <w:t xml:space="preserve">  "genesis": {</w:t>
      </w:r>
    </w:p>
    <w:p>
      <w:pPr>
        <w:spacing w:before="0" w:after="0" w:line="240"/>
        <w:ind w:left="720"/>
      </w:pPr>
      <w:r>
        <w:rPr>
          <w:rFonts w:ascii="Courier New" w:cs="Courier New" w:eastAsia="Courier New" w:hAnsi="Courier New"/>
          <w:color w:val="000000"/>
          <w:sz w:val="18"/>
          <w:szCs w:val="18"/>
        </w:rPr>
        <w:t xml:space="preserve">    "spec_hash": "sha3-256:a3f9c2d8e1b74f6a...",</w:t>
      </w:r>
    </w:p>
    <w:p>
      <w:pPr>
        <w:spacing w:before="0" w:after="0" w:line="240"/>
        <w:ind w:left="720"/>
      </w:pPr>
      <w:r>
        <w:rPr>
          <w:rFonts w:ascii="Courier New" w:cs="Courier New" w:eastAsia="Courier New" w:hAnsi="Courier New"/>
          <w:color w:val="000000"/>
          <w:sz w:val="18"/>
          <w:szCs w:val="18"/>
        </w:rPr>
        <w:t xml:space="preserve">    "author_did": "did:key:z6MkHaberkamp...",</w:t>
      </w:r>
    </w:p>
    <w:p>
      <w:pPr>
        <w:spacing w:before="0" w:after="0" w:line="240"/>
        <w:ind w:left="720"/>
      </w:pPr>
      <w:r>
        <w:rPr>
          <w:rFonts w:ascii="Courier New" w:cs="Courier New" w:eastAsia="Courier New" w:hAnsi="Courier New"/>
          <w:color w:val="000000"/>
          <w:sz w:val="18"/>
          <w:szCs w:val="18"/>
        </w:rPr>
        <w:t xml:space="preserve">    "author_name": "Amanda Haberkamp",</w:t>
      </w:r>
    </w:p>
    <w:p>
      <w:pPr>
        <w:spacing w:before="0" w:after="0" w:line="240"/>
        <w:ind w:left="720"/>
      </w:pPr>
      <w:r>
        <w:rPr>
          <w:rFonts w:ascii="Courier New" w:cs="Courier New" w:eastAsia="Courier New" w:hAnsi="Courier New"/>
          <w:color w:val="000000"/>
          <w:sz w:val="18"/>
          <w:szCs w:val="18"/>
        </w:rPr>
        <w:t xml:space="preserve">    "org": "KH Sovereign, Inc.",</w:t>
      </w:r>
    </w:p>
    <w:p>
      <w:pPr>
        <w:spacing w:before="0" w:after="0" w:line="240"/>
        <w:ind w:left="720"/>
      </w:pPr>
      <w:r>
        <w:rPr>
          <w:rFonts w:ascii="Courier New" w:cs="Courier New" w:eastAsia="Courier New" w:hAnsi="Courier New"/>
          <w:color w:val="000000"/>
          <w:sz w:val="18"/>
          <w:szCs w:val="18"/>
        </w:rPr>
        <w:t xml:space="preserve">    "genesis_sig": "ed25519:BASE64URL..."</w:t>
      </w:r>
    </w:p>
    <w:p>
      <w:pPr>
        <w:spacing w:before="0" w:after="0" w:line="240"/>
        <w:ind w:left="720"/>
      </w:pPr>
      <w:r>
        <w:rPr>
          <w:rFonts w:ascii="Courier New" w:cs="Courier New" w:eastAsia="Courier New" w:hAnsi="Courier New"/>
          <w:color w:val="000000"/>
          <w:sz w:val="18"/>
          <w:szCs w:val="18"/>
        </w:rPr>
        <w:t xml:space="preserve">  },</w:t>
      </w:r>
    </w:p>
    <w:p>
      <w:pPr>
        <w:spacing w:before="0" w:after="0" w:line="240"/>
        <w:ind w:left="720"/>
      </w:pPr>
      <w:r>
        <w:rPr>
          <w:rFonts w:ascii="Courier New" w:cs="Courier New" w:eastAsia="Courier New" w:hAnsi="Courier New"/>
          <w:color w:val="000000"/>
          <w:sz w:val="18"/>
          <w:szCs w:val="18"/>
        </w:rPr>
        <w:t xml:space="preserve"/>
      </w:r>
    </w:p>
    <w:p>
      <w:pPr>
        <w:spacing w:before="0" w:after="0" w:line="240"/>
        <w:ind w:left="720"/>
      </w:pPr>
      <w:r>
        <w:rPr>
          <w:rFonts w:ascii="Courier New" w:cs="Courier New" w:eastAsia="Courier New" w:hAnsi="Courier New"/>
          <w:color w:val="000000"/>
          <w:sz w:val="18"/>
          <w:szCs w:val="18"/>
        </w:rPr>
        <w:t xml:space="preserve">  "token_id": "ipp:tok:550e8400-e29b-41d4-a716-446655440000",</w:t>
      </w:r>
    </w:p>
    <w:p>
      <w:pPr>
        <w:spacing w:before="0" w:after="0" w:line="240"/>
        <w:ind w:left="720"/>
      </w:pPr>
      <w:r>
        <w:rPr>
          <w:rFonts w:ascii="Courier New" w:cs="Courier New" w:eastAsia="Courier New" w:hAnsi="Courier New"/>
          <w:color w:val="000000"/>
          <w:sz w:val="18"/>
          <w:szCs w:val="18"/>
        </w:rPr>
        <w:t xml:space="preserve">  "schema_version": "0.1",</w:t>
      </w:r>
    </w:p>
    <w:p>
      <w:pPr>
        <w:spacing w:before="0" w:after="0" w:line="240"/>
        <w:ind w:left="720"/>
      </w:pPr>
      <w:r>
        <w:rPr>
          <w:rFonts w:ascii="Courier New" w:cs="Courier New" w:eastAsia="Courier New" w:hAnsi="Courier New"/>
          <w:color w:val="000000"/>
          <w:sz w:val="18"/>
          <w:szCs w:val="18"/>
        </w:rPr>
        <w:t xml:space="preserve">  "created_at": "2026-09-01T14:32:00Z",</w:t>
      </w:r>
    </w:p>
    <w:p>
      <w:pPr>
        <w:spacing w:before="0" w:after="0" w:line="240"/>
        <w:ind w:left="720"/>
      </w:pPr>
      <w:r>
        <w:rPr>
          <w:rFonts w:ascii="Courier New" w:cs="Courier New" w:eastAsia="Courier New" w:hAnsi="Courier New"/>
          <w:color w:val="000000"/>
          <w:sz w:val="18"/>
          <w:szCs w:val="18"/>
        </w:rPr>
        <w:t xml:space="preserve">  "expires_at": "2026-09-01T22:32:00Z",</w:t>
      </w:r>
    </w:p>
    <w:p>
      <w:pPr>
        <w:spacing w:before="0" w:after="0" w:line="240"/>
        <w:ind w:left="720"/>
      </w:pPr>
      <w:r>
        <w:rPr>
          <w:rFonts w:ascii="Courier New" w:cs="Courier New" w:eastAsia="Courier New" w:hAnsi="Courier New"/>
          <w:color w:val="000000"/>
          <w:sz w:val="18"/>
          <w:szCs w:val="18"/>
        </w:rPr>
        <w:t xml:space="preserve"/>
      </w:r>
    </w:p>
    <w:p>
      <w:pPr>
        <w:spacing w:before="0" w:after="0" w:line="240"/>
        <w:ind w:left="720"/>
      </w:pPr>
      <w:r>
        <w:rPr>
          <w:rFonts w:ascii="Courier New" w:cs="Courier New" w:eastAsia="Courier New" w:hAnsi="Courier New"/>
          <w:color w:val="000000"/>
          <w:sz w:val="18"/>
          <w:szCs w:val="18"/>
        </w:rPr>
        <w:t xml:space="preserve">  "principal": {</w:t>
      </w:r>
    </w:p>
    <w:p>
      <w:pPr>
        <w:spacing w:before="0" w:after="0" w:line="240"/>
        <w:ind w:left="720"/>
      </w:pPr>
      <w:r>
        <w:rPr>
          <w:rFonts w:ascii="Courier New" w:cs="Courier New" w:eastAsia="Courier New" w:hAnsi="Courier New"/>
          <w:color w:val="000000"/>
          <w:sz w:val="18"/>
          <w:szCs w:val="18"/>
        </w:rPr>
        <w:t xml:space="preserve">    "did": "did:key:z6MkPrincipalXXX...",</w:t>
      </w:r>
    </w:p>
    <w:p>
      <w:pPr>
        <w:spacing w:before="0" w:after="0" w:line="240"/>
        <w:ind w:left="720"/>
      </w:pPr>
      <w:r>
        <w:rPr>
          <w:rFonts w:ascii="Courier New" w:cs="Courier New" w:eastAsia="Courier New" w:hAnsi="Courier New"/>
          <w:color w:val="000000"/>
          <w:sz w:val="18"/>
          <w:szCs w:val="18"/>
        </w:rPr>
        <w:t xml:space="preserve">    "name": "Amanda Butlett",</w:t>
      </w:r>
    </w:p>
    <w:p>
      <w:pPr>
        <w:spacing w:before="0" w:after="0" w:line="240"/>
        <w:ind w:left="720"/>
      </w:pPr>
      <w:r>
        <w:rPr>
          <w:rFonts w:ascii="Courier New" w:cs="Courier New" w:eastAsia="Courier New" w:hAnsi="Courier New"/>
          <w:color w:val="000000"/>
          <w:sz w:val="18"/>
          <w:szCs w:val="18"/>
        </w:rPr>
        <w:t xml:space="preserve">    "org": "KH Sovereign, Inc.",</w:t>
      </w:r>
    </w:p>
    <w:p>
      <w:pPr>
        <w:spacing w:before="0" w:after="0" w:line="240"/>
        <w:ind w:left="720"/>
      </w:pPr>
      <w:r>
        <w:rPr>
          <w:rFonts w:ascii="Courier New" w:cs="Courier New" w:eastAsia="Courier New" w:hAnsi="Courier New"/>
          <w:color w:val="000000"/>
          <w:sz w:val="18"/>
          <w:szCs w:val="18"/>
        </w:rPr>
        <w:t xml:space="preserve">    "legal_jurisdiction": "US-IL",</w:t>
      </w:r>
    </w:p>
    <w:p>
      <w:pPr>
        <w:spacing w:before="0" w:after="0" w:line="240"/>
        <w:ind w:left="720"/>
      </w:pPr>
      <w:r>
        <w:rPr>
          <w:rFonts w:ascii="Courier New" w:cs="Courier New" w:eastAsia="Courier New" w:hAnsi="Courier New"/>
          <w:color w:val="000000"/>
          <w:sz w:val="18"/>
          <w:szCs w:val="18"/>
        </w:rPr>
        <w:t xml:space="preserve">    "signature": "ed25519:BASE64URL..."</w:t>
      </w:r>
    </w:p>
    <w:p>
      <w:pPr>
        <w:spacing w:before="0" w:after="0" w:line="240"/>
        <w:ind w:left="720"/>
      </w:pPr>
      <w:r>
        <w:rPr>
          <w:rFonts w:ascii="Courier New" w:cs="Courier New" w:eastAsia="Courier New" w:hAnsi="Courier New"/>
          <w:color w:val="000000"/>
          <w:sz w:val="18"/>
          <w:szCs w:val="18"/>
        </w:rPr>
        <w:t xml:space="preserve">  },</w:t>
      </w:r>
    </w:p>
    <w:p>
      <w:pPr>
        <w:spacing w:before="0" w:after="0" w:line="240"/>
        <w:ind w:left="720"/>
      </w:pPr>
      <w:r>
        <w:rPr>
          <w:rFonts w:ascii="Courier New" w:cs="Courier New" w:eastAsia="Courier New" w:hAnsi="Courier New"/>
          <w:color w:val="000000"/>
          <w:sz w:val="18"/>
          <w:szCs w:val="18"/>
        </w:rPr>
        <w:t xml:space="preserve"/>
      </w:r>
    </w:p>
    <w:p>
      <w:pPr>
        <w:spacing w:before="0" w:after="0" w:line="240"/>
        <w:ind w:left="720"/>
      </w:pPr>
      <w:r>
        <w:rPr>
          <w:rFonts w:ascii="Courier New" w:cs="Courier New" w:eastAsia="Courier New" w:hAnsi="Courier New"/>
          <w:color w:val="000000"/>
          <w:sz w:val="18"/>
          <w:szCs w:val="18"/>
        </w:rPr>
        <w:t xml:space="preserve">  "intent": {</w:t>
      </w:r>
    </w:p>
    <w:p>
      <w:pPr>
        <w:spacing w:before="0" w:after="0" w:line="240"/>
        <w:ind w:left="720"/>
      </w:pPr>
      <w:r>
        <w:rPr>
          <w:rFonts w:ascii="Courier New" w:cs="Courier New" w:eastAsia="Courier New" w:hAnsi="Courier New"/>
          <w:color w:val="000000"/>
          <w:sz w:val="18"/>
          <w:szCs w:val="18"/>
        </w:rPr>
        <w:t xml:space="preserve">    "natural_language": "Optimize cash positions across subsidiaries",</w:t>
      </w:r>
    </w:p>
    <w:p>
      <w:pPr>
        <w:spacing w:before="0" w:after="0" w:line="240"/>
        <w:ind w:left="720"/>
      </w:pPr>
      <w:r>
        <w:rPr>
          <w:rFonts w:ascii="Courier New" w:cs="Courier New" w:eastAsia="Courier New" w:hAnsi="Courier New"/>
          <w:color w:val="000000"/>
          <w:sz w:val="18"/>
          <w:szCs w:val="18"/>
        </w:rPr>
        <w:t xml:space="preserve">    "domain": "financial.treasury",</w:t>
      </w:r>
    </w:p>
    <w:p>
      <w:pPr>
        <w:spacing w:before="0" w:after="0" w:line="240"/>
        <w:ind w:left="720"/>
      </w:pPr>
      <w:r>
        <w:rPr>
          <w:rFonts w:ascii="Courier New" w:cs="Courier New" w:eastAsia="Courier New" w:hAnsi="Courier New"/>
          <w:color w:val="000000"/>
          <w:sz w:val="18"/>
          <w:szCs w:val="18"/>
        </w:rPr>
        <w:t xml:space="preserve">    "resource_scope": ["subsidiary:*", "account_type:cash"],</w:t>
      </w:r>
    </w:p>
    <w:p>
      <w:pPr>
        <w:spacing w:before="0" w:after="0" w:line="240"/>
        <w:ind w:left="720"/>
      </w:pPr>
      <w:r>
        <w:rPr>
          <w:rFonts w:ascii="Courier New" w:cs="Courier New" w:eastAsia="Courier New" w:hAnsi="Courier New"/>
          <w:color w:val="000000"/>
          <w:sz w:val="18"/>
          <w:szCs w:val="18"/>
        </w:rPr>
        <w:t xml:space="preserve">    "quantitative_bounds": {</w:t>
      </w:r>
    </w:p>
    <w:p>
      <w:pPr>
        <w:spacing w:before="0" w:after="0" w:line="240"/>
        <w:ind w:left="720"/>
      </w:pPr>
      <w:r>
        <w:rPr>
          <w:rFonts w:ascii="Courier New" w:cs="Courier New" w:eastAsia="Courier New" w:hAnsi="Courier New"/>
          <w:color w:val="000000"/>
          <w:sz w:val="18"/>
          <w:szCs w:val="18"/>
        </w:rPr>
        <w:t xml:space="preserve">      "min_balance_threshold": 10000000,</w:t>
      </w:r>
    </w:p>
    <w:p>
      <w:pPr>
        <w:spacing w:before="0" w:after="0" w:line="240"/>
        <w:ind w:left="720"/>
      </w:pPr>
      <w:r>
        <w:rPr>
          <w:rFonts w:ascii="Courier New" w:cs="Courier New" w:eastAsia="Courier New" w:hAnsi="Courier New"/>
          <w:color w:val="000000"/>
          <w:sz w:val="18"/>
          <w:szCs w:val="18"/>
        </w:rPr>
        <w:t xml:space="preserve">      "currency": "USD",</w:t>
      </w:r>
    </w:p>
    <w:p>
      <w:pPr>
        <w:spacing w:before="0" w:after="0" w:line="240"/>
        <w:ind w:left="720"/>
      </w:pPr>
      <w:r>
        <w:rPr>
          <w:rFonts w:ascii="Courier New" w:cs="Courier New" w:eastAsia="Courier New" w:hAnsi="Courier New"/>
          <w:color w:val="000000"/>
          <w:sz w:val="18"/>
          <w:szCs w:val="18"/>
        </w:rPr>
        <w:t xml:space="preserve">      "max_single_transaction": 50000000,</w:t>
      </w:r>
    </w:p>
    <w:p>
      <w:pPr>
        <w:spacing w:before="0" w:after="0" w:line="240"/>
        <w:ind w:left="720"/>
      </w:pPr>
      <w:r>
        <w:rPr>
          <w:rFonts w:ascii="Courier New" w:cs="Courier New" w:eastAsia="Courier New" w:hAnsi="Courier New"/>
          <w:color w:val="000000"/>
          <w:sz w:val="18"/>
          <w:szCs w:val="18"/>
        </w:rPr>
        <w:t xml:space="preserve">      "time_window": "business_hours_CT"</w:t>
      </w:r>
    </w:p>
    <w:p>
      <w:pPr>
        <w:spacing w:before="0" w:after="0" w:line="240"/>
        <w:ind w:left="720"/>
      </w:pPr>
      <w:r>
        <w:rPr>
          <w:rFonts w:ascii="Courier New" w:cs="Courier New" w:eastAsia="Courier New" w:hAnsi="Courier New"/>
          <w:color w:val="000000"/>
          <w:sz w:val="18"/>
          <w:szCs w:val="18"/>
        </w:rPr>
        <w:t xml:space="preserve">    },</w:t>
      </w:r>
    </w:p>
    <w:p>
      <w:pPr>
        <w:spacing w:before="0" w:after="0" w:line="240"/>
        <w:ind w:left="720"/>
      </w:pPr>
      <w:r>
        <w:rPr>
          <w:rFonts w:ascii="Courier New" w:cs="Courier New" w:eastAsia="Courier New" w:hAnsi="Courier New"/>
          <w:color w:val="000000"/>
          <w:sz w:val="18"/>
          <w:szCs w:val="18"/>
        </w:rPr>
        <w:t xml:space="preserve">    "prohibited_actions": ["equity_purchase", "account_closure"]</w:t>
      </w:r>
    </w:p>
    <w:p>
      <w:pPr>
        <w:spacing w:before="0" w:after="0" w:line="240"/>
        <w:ind w:left="720"/>
      </w:pPr>
      <w:r>
        <w:rPr>
          <w:rFonts w:ascii="Courier New" w:cs="Courier New" w:eastAsia="Courier New" w:hAnsi="Courier New"/>
          <w:color w:val="000000"/>
          <w:sz w:val="18"/>
          <w:szCs w:val="18"/>
        </w:rPr>
        <w:t xml:space="preserve">  },</w:t>
      </w:r>
    </w:p>
    <w:p>
      <w:pPr>
        <w:spacing w:before="0" w:after="0" w:line="240"/>
        <w:ind w:left="720"/>
      </w:pPr>
      <w:r>
        <w:rPr>
          <w:rFonts w:ascii="Courier New" w:cs="Courier New" w:eastAsia="Courier New" w:hAnsi="Courier New"/>
          <w:color w:val="000000"/>
          <w:sz w:val="18"/>
          <w:szCs w:val="18"/>
        </w:rPr>
        <w:t xml:space="preserve"/>
      </w:r>
    </w:p>
    <w:p>
      <w:pPr>
        <w:spacing w:before="0" w:after="0" w:line="240"/>
        <w:ind w:left="720"/>
      </w:pPr>
      <w:r>
        <w:rPr>
          <w:rFonts w:ascii="Courier New" w:cs="Courier New" w:eastAsia="Courier New" w:hAnsi="Courier New"/>
          <w:color w:val="000000"/>
          <w:sz w:val="18"/>
          <w:szCs w:val="18"/>
        </w:rPr>
        <w:t xml:space="preserve">  "delegation": {</w:t>
      </w:r>
    </w:p>
    <w:p>
      <w:pPr>
        <w:spacing w:before="0" w:after="0" w:line="240"/>
        <w:ind w:left="720"/>
      </w:pPr>
      <w:r>
        <w:rPr>
          <w:rFonts w:ascii="Courier New" w:cs="Courier New" w:eastAsia="Courier New" w:hAnsi="Courier New"/>
          <w:color w:val="000000"/>
          <w:sz w:val="18"/>
          <w:szCs w:val="18"/>
        </w:rPr>
        <w:t xml:space="preserve">    "parent_token_id": null,</w:t>
      </w:r>
    </w:p>
    <w:p>
      <w:pPr>
        <w:spacing w:before="0" w:after="0" w:line="240"/>
        <w:ind w:left="720"/>
      </w:pPr>
      <w:r>
        <w:rPr>
          <w:rFonts w:ascii="Courier New" w:cs="Courier New" w:eastAsia="Courier New" w:hAnsi="Courier New"/>
          <w:color w:val="000000"/>
          <w:sz w:val="18"/>
          <w:szCs w:val="18"/>
        </w:rPr>
        <w:t xml:space="preserve">    "depth_remaining": 3,</w:t>
      </w:r>
    </w:p>
    <w:p>
      <w:pPr>
        <w:spacing w:before="0" w:after="0" w:line="240"/>
        <w:ind w:left="720"/>
      </w:pPr>
      <w:r>
        <w:rPr>
          <w:rFonts w:ascii="Courier New" w:cs="Courier New" w:eastAsia="Courier New" w:hAnsi="Courier New"/>
          <w:color w:val="000000"/>
          <w:sz w:val="18"/>
          <w:szCs w:val="18"/>
        </w:rPr>
        <w:t xml:space="preserve">    "depth_original": 3,</w:t>
      </w:r>
    </w:p>
    <w:p>
      <w:pPr>
        <w:spacing w:before="0" w:after="0" w:line="240"/>
        <w:ind w:left="720"/>
      </w:pPr>
      <w:r>
        <w:rPr>
          <w:rFonts w:ascii="Courier New" w:cs="Courier New" w:eastAsia="Courier New" w:hAnsi="Courier New"/>
          <w:color w:val="000000"/>
          <w:sz w:val="18"/>
          <w:szCs w:val="18"/>
        </w:rPr>
        <w:t xml:space="preserve">    "agent_id": "ipp:agent:langchain:treasury-optimizer-v1",</w:t>
      </w:r>
    </w:p>
    <w:p>
      <w:pPr>
        <w:spacing w:before="0" w:after="0" w:line="240"/>
        <w:ind w:left="720"/>
      </w:pPr>
      <w:r>
        <w:rPr>
          <w:rFonts w:ascii="Courier New" w:cs="Courier New" w:eastAsia="Courier New" w:hAnsi="Courier New"/>
          <w:color w:val="000000"/>
          <w:sz w:val="18"/>
          <w:szCs w:val="18"/>
        </w:rPr>
        <w:t xml:space="preserve">    "agent_framework": "langchain",</w:t>
      </w:r>
    </w:p>
    <w:p>
      <w:pPr>
        <w:spacing w:before="0" w:after="0" w:line="240"/>
        <w:ind w:left="720"/>
      </w:pPr>
      <w:r>
        <w:rPr>
          <w:rFonts w:ascii="Courier New" w:cs="Courier New" w:eastAsia="Courier New" w:hAnsi="Courier New"/>
          <w:color w:val="000000"/>
          <w:sz w:val="18"/>
          <w:szCs w:val="18"/>
        </w:rPr>
        <w:t xml:space="preserve">    "agent_version": "0.1.0",</w:t>
      </w:r>
    </w:p>
    <w:p>
      <w:pPr>
        <w:spacing w:before="0" w:after="0" w:line="240"/>
        <w:ind w:left="720"/>
      </w:pPr>
      <w:r>
        <w:rPr>
          <w:rFonts w:ascii="Courier New" w:cs="Courier New" w:eastAsia="Courier New" w:hAnsi="Courier New"/>
          <w:color w:val="000000"/>
          <w:sz w:val="18"/>
          <w:szCs w:val="18"/>
        </w:rPr>
        <w:t xml:space="preserve">    "spawned_by_principal": true</w:t>
      </w:r>
    </w:p>
    <w:p>
      <w:pPr>
        <w:spacing w:before="0" w:after="0" w:line="240"/>
        <w:ind w:left="720"/>
      </w:pPr>
      <w:r>
        <w:rPr>
          <w:rFonts w:ascii="Courier New" w:cs="Courier New" w:eastAsia="Courier New" w:hAnsi="Courier New"/>
          <w:color w:val="000000"/>
          <w:sz w:val="18"/>
          <w:szCs w:val="18"/>
        </w:rPr>
        <w:t xml:space="preserve">  },</w:t>
      </w:r>
    </w:p>
    <w:p>
      <w:pPr>
        <w:spacing w:before="0" w:after="0" w:line="240"/>
        <w:ind w:left="720"/>
      </w:pPr>
      <w:r>
        <w:rPr>
          <w:rFonts w:ascii="Courier New" w:cs="Courier New" w:eastAsia="Courier New" w:hAnsi="Courier New"/>
          <w:color w:val="000000"/>
          <w:sz w:val="18"/>
          <w:szCs w:val="18"/>
        </w:rPr>
        <w:t xml:space="preserve"/>
      </w:r>
    </w:p>
    <w:p>
      <w:pPr>
        <w:spacing w:before="0" w:after="0" w:line="240"/>
        <w:ind w:left="720"/>
      </w:pPr>
      <w:r>
        <w:rPr>
          <w:rFonts w:ascii="Courier New" w:cs="Courier New" w:eastAsia="Courier New" w:hAnsi="Courier New"/>
          <w:color w:val="000000"/>
          <w:sz w:val="18"/>
          <w:szCs w:val="18"/>
        </w:rPr>
        <w:t xml:space="preserve">  "revocation": {</w:t>
      </w:r>
    </w:p>
    <w:p>
      <w:pPr>
        <w:spacing w:before="0" w:after="0" w:line="240"/>
        <w:ind w:left="720"/>
      </w:pPr>
      <w:r>
        <w:rPr>
          <w:rFonts w:ascii="Courier New" w:cs="Courier New" w:eastAsia="Courier New" w:hAnsi="Courier New"/>
          <w:color w:val="000000"/>
          <w:sz w:val="18"/>
          <w:szCs w:val="18"/>
        </w:rPr>
        <w:t xml:space="preserve">    "registry_endpoint": "https://revoke.khsovereign.com/v1",</w:t>
      </w:r>
    </w:p>
    <w:p>
      <w:pPr>
        <w:spacing w:before="0" w:after="0" w:line="240"/>
        <w:ind w:left="720"/>
      </w:pPr>
      <w:r>
        <w:rPr>
          <w:rFonts w:ascii="Courier New" w:cs="Courier New" w:eastAsia="Courier New" w:hAnsi="Courier New"/>
          <w:color w:val="000000"/>
          <w:sz w:val="18"/>
          <w:szCs w:val="18"/>
        </w:rPr>
        <w:t xml:space="preserve">    "token_id_hash": "sha3-256:HASH...",</w:t>
      </w:r>
    </w:p>
    <w:p>
      <w:pPr>
        <w:spacing w:before="0" w:after="0" w:line="240"/>
        <w:ind w:left="720"/>
      </w:pPr>
      <w:r>
        <w:rPr>
          <w:rFonts w:ascii="Courier New" w:cs="Courier New" w:eastAsia="Courier New" w:hAnsi="Courier New"/>
          <w:color w:val="000000"/>
          <w:sz w:val="18"/>
          <w:szCs w:val="18"/>
        </w:rPr>
        <w:t xml:space="preserve">    "check_interval_ms": 5000</w:t>
      </w:r>
    </w:p>
    <w:p>
      <w:pPr>
        <w:spacing w:before="0" w:after="0" w:line="240"/>
        <w:ind w:left="720"/>
      </w:pPr>
      <w:r>
        <w:rPr>
          <w:rFonts w:ascii="Courier New" w:cs="Courier New" w:eastAsia="Courier New" w:hAnsi="Courier New"/>
          <w:color w:val="000000"/>
          <w:sz w:val="18"/>
          <w:szCs w:val="18"/>
        </w:rPr>
        <w:t xml:space="preserve">  },</w:t>
      </w:r>
    </w:p>
    <w:p>
      <w:pPr>
        <w:spacing w:before="0" w:after="0" w:line="240"/>
        <w:ind w:left="720"/>
      </w:pPr>
      <w:r>
        <w:rPr>
          <w:rFonts w:ascii="Courier New" w:cs="Courier New" w:eastAsia="Courier New" w:hAnsi="Courier New"/>
          <w:color w:val="000000"/>
          <w:sz w:val="18"/>
          <w:szCs w:val="18"/>
        </w:rPr>
        <w:t xml:space="preserve"/>
      </w:r>
    </w:p>
    <w:p>
      <w:pPr>
        <w:spacing w:before="0" w:after="0" w:line="240"/>
        <w:ind w:left="720"/>
      </w:pPr>
      <w:r>
        <w:rPr>
          <w:rFonts w:ascii="Courier New" w:cs="Courier New" w:eastAsia="Courier New" w:hAnsi="Courier New"/>
          <w:color w:val="000000"/>
          <w:sz w:val="18"/>
          <w:szCs w:val="18"/>
        </w:rPr>
        <w:t xml:space="preserve">  "provenance_chain": [],</w:t>
      </w:r>
    </w:p>
    <w:p>
      <w:pPr>
        <w:spacing w:before="0" w:after="0" w:line="240"/>
        <w:ind w:left="720"/>
      </w:pPr>
      <w:r>
        <w:rPr>
          <w:rFonts w:ascii="Courier New" w:cs="Courier New" w:eastAsia="Courier New" w:hAnsi="Courier New"/>
          <w:color w:val="000000"/>
          <w:sz w:val="18"/>
          <w:szCs w:val="18"/>
        </w:rPr>
        <w:t xml:space="preserve"/>
      </w:r>
    </w:p>
    <w:p>
      <w:pPr>
        <w:spacing w:before="0" w:after="0" w:line="240"/>
        <w:ind w:left="720"/>
      </w:pPr>
      <w:r>
        <w:rPr>
          <w:rFonts w:ascii="Courier New" w:cs="Courier New" w:eastAsia="Courier New" w:hAnsi="Courier New"/>
          <w:color w:val="000000"/>
          <w:sz w:val="18"/>
          <w:szCs w:val="18"/>
        </w:rPr>
        <w:t xml:space="preserve">  "token_signature": "ed25519:BASE64URL_SIGNED_BY_PRINCIPAL"</w:t>
      </w:r>
    </w:p>
    <w:p>
      <w:pPr>
        <w:spacing w:before="0" w:after="0" w:line="240"/>
        <w:ind w:left="720"/>
      </w:pPr>
      <w:r>
        <w:rPr>
          <w:rFonts w:ascii="Courier New" w:cs="Courier New" w:eastAsia="Courier New" w:hAnsi="Courier New"/>
          <w:color w:val="000000"/>
          <w:sz w:val="18"/>
          <w:szCs w:val="18"/>
        </w:rPr>
        <w:t xml:space="preserve">}</w:t>
      </w:r>
    </w:p>
    <w:p>
      <w:pPr>
        <w:spacing w:before="0" w:after="0"/>
      </w:pPr>
      <w:r>
        <w:t xml:space="preserve"/>
      </w:r>
    </w:p>
    <w:p>
      <w:pPr>
        <w:pStyle w:val="Heading2"/>
        <w:spacing w:before="240" w:after="80"/>
      </w:pPr>
      <w:r>
        <w:rPr>
          <w:rFonts w:ascii="Arial" w:cs="Arial" w:eastAsia="Arial" w:hAnsi="Arial"/>
          <w:b/>
          <w:bCs/>
          <w:color w:val="000000"/>
          <w:sz w:val="22"/>
          <w:szCs w:val="22"/>
        </w:rPr>
        <w:t xml:space="preserve">4.2.  Field Definitions</w:t>
      </w:r>
    </w:p>
    <w:p>
      <w:pPr>
        <w:spacing w:before="0" w:after="160"/>
        <w:jc w:val="both"/>
      </w:pPr>
      <w:r>
        <w:rPr>
          <w:rFonts w:ascii="Arial" w:cs="Arial" w:eastAsia="Arial" w:hAnsi="Arial"/>
          <w:color w:val="4A4A4A"/>
          <w:sz w:val="20"/>
          <w:szCs w:val="20"/>
        </w:rPr>
        <w:t xml:space="preserve">The following table defines all top-level fields of the Intent Token:</w:t>
      </w:r>
    </w:p>
    <w:p>
      <w:pPr>
        <w:spacing w:before="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40"/>
      </w:tblGrid>
      <w:tr>
        <w:trPr>
          <w:tblHeader/>
        </w:trPr>
        <w:tc>
          <w:tcPr>
            <w:tcW w:type="dxa" w:w="2200"/>
            <w:tcBorders>
              <w:top w:val="single" w:color="007A6E" w:sz="6"/>
              <w:left w:val="single" w:color="CCCCCC" w:sz="2"/>
              <w:bottom w:val="single" w:color="007A6E" w:sz="4"/>
              <w:right w:val="single" w:color="CCCCCC" w:sz="2"/>
            </w:tcBorders>
            <w:shd w:fill="E8F4F3" w:val="clear"/>
            <w:tcMar>
              <w:top w:type="dxa" w:w="80"/>
              <w:left w:type="dxa" w:w="120"/>
              <w:bottom w:type="dxa" w:w="80"/>
              <w:right w:type="dxa" w:w="120"/>
            </w:tcMar>
          </w:tcPr>
          <w:p>
            <w:r>
              <w:rPr>
                <w:rFonts w:ascii="Arial" w:cs="Arial" w:eastAsia="Arial" w:hAnsi="Arial"/>
                <w:b/>
                <w:bCs/>
                <w:color w:val="007A6E"/>
                <w:sz w:val="19"/>
                <w:szCs w:val="19"/>
              </w:rPr>
              <w:t xml:space="preserve">Field</w:t>
            </w:r>
          </w:p>
        </w:tc>
        <w:tc>
          <w:tcPr>
            <w:tcW w:type="dxa" w:w="1800"/>
            <w:tcBorders>
              <w:top w:val="single" w:color="007A6E" w:sz="6"/>
              <w:left w:val="single" w:color="CCCCCC" w:sz="2"/>
              <w:bottom w:val="single" w:color="007A6E" w:sz="4"/>
              <w:right w:val="single" w:color="CCCCCC" w:sz="2"/>
            </w:tcBorders>
            <w:shd w:fill="E8F4F3" w:val="clear"/>
            <w:tcMar>
              <w:top w:type="dxa" w:w="80"/>
              <w:left w:type="dxa" w:w="120"/>
              <w:bottom w:type="dxa" w:w="80"/>
              <w:right w:type="dxa" w:w="120"/>
            </w:tcMar>
          </w:tcPr>
          <w:p>
            <w:r>
              <w:rPr>
                <w:rFonts w:ascii="Arial" w:cs="Arial" w:eastAsia="Arial" w:hAnsi="Arial"/>
                <w:b/>
                <w:bCs/>
                <w:color w:val="007A6E"/>
                <w:sz w:val="19"/>
                <w:szCs w:val="19"/>
              </w:rPr>
              <w:t xml:space="preserve">Type</w:t>
            </w:r>
          </w:p>
        </w:tc>
        <w:tc>
          <w:tcPr>
            <w:tcW w:type="dxa" w:w="4640"/>
            <w:tcBorders>
              <w:top w:val="single" w:color="007A6E" w:sz="6"/>
              <w:left w:val="single" w:color="CCCCCC" w:sz="2"/>
              <w:bottom w:val="single" w:color="007A6E" w:sz="4"/>
              <w:right w:val="single" w:color="CCCCCC" w:sz="2"/>
            </w:tcBorders>
            <w:shd w:fill="E8F4F3" w:val="clear"/>
            <w:tcMar>
              <w:top w:type="dxa" w:w="80"/>
              <w:left w:type="dxa" w:w="120"/>
              <w:bottom w:type="dxa" w:w="80"/>
              <w:right w:type="dxa" w:w="120"/>
            </w:tcMar>
          </w:tcPr>
          <w:p>
            <w:r>
              <w:rPr>
                <w:rFonts w:ascii="Arial" w:cs="Arial" w:eastAsia="Arial" w:hAnsi="Arial"/>
                <w:b/>
                <w:bCs/>
                <w:color w:val="007A6E"/>
                <w:sz w:val="19"/>
                <w:szCs w:val="19"/>
              </w:rPr>
              <w:t xml:space="preserve">Description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genesis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Object</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The Genesis Seal. REQUIRED in all tokens. See Section 5.</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token_id</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String</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 globally unique token identifier in the format ipp:tok:{UUIDv4}. REQUIRED.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schema_version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String</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The IPP schema version used to construct this token. REQUIRED.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created_at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String</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ISO 8601 UTC timestamp of token creation. REQUIRED.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expires_at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String</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ISO 8601 UTC timestamp of token expiry. REQUIRED. Agents MUST NOT act under expired tokens.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principal</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Object</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The human Principal at the root of this intent chain. REQUIRED for root tokens. See Section 4.2.1.</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intent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Object</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The structured intent scope envelope. REQUIRED. See Section 4.3.</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delegation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Object</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Delegation metadata including parent token reference, depth, and agent identity. REQUIRED. See Section 7.</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revocation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Object</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Revocation registry endpoint and polling configuration. REQUIRED. See Section 8.</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provenance_chain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Array</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Append-only array of provenance records. Initially empty. See Section 9.</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token_signature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String</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Ed25519 signature over the canonical serialization of all other fields. REQUIRED.</w:t>
            </w:r>
          </w:p>
        </w:tc>
      </w:tr>
    </w:tbl>
    <w:p>
      <w:pPr>
        <w:spacing w:before="0" w:after="0"/>
      </w:pPr>
      <w:r>
        <w:t xml:space="preserve"/>
      </w:r>
    </w:p>
    <w:p>
      <w:pPr>
        <w:pStyle w:val="Heading2"/>
        <w:spacing w:before="240" w:after="80"/>
      </w:pPr>
      <w:r>
        <w:rPr>
          <w:rFonts w:ascii="Arial" w:cs="Arial" w:eastAsia="Arial" w:hAnsi="Arial"/>
          <w:b/>
          <w:bCs/>
          <w:color w:val="000000"/>
          <w:sz w:val="22"/>
          <w:szCs w:val="22"/>
        </w:rPr>
        <w:t xml:space="preserve">4.3.  The Intent Scope Envelope</w:t>
      </w:r>
    </w:p>
    <w:p>
      <w:pPr>
        <w:spacing w:before="0" w:after="160"/>
        <w:jc w:val="both"/>
      </w:pPr>
      <w:r>
        <w:rPr>
          <w:rFonts w:ascii="Arial" w:cs="Arial" w:eastAsia="Arial" w:hAnsi="Arial"/>
          <w:color w:val="4A4A4A"/>
          <w:sz w:val="20"/>
          <w:szCs w:val="20"/>
        </w:rPr>
        <w:t xml:space="preserve">The intent field encodes the human's goal as a Structured Intent Envelope consisting of four components. The natural_language field is human-readable but NOT machine-enforceable. Enforcement is performed against the structured fields only.</w:t>
      </w:r>
    </w:p>
    <w:p>
      <w:pPr>
        <w:spacing w:before="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40"/>
      </w:tblGrid>
      <w:tr>
        <w:trPr>
          <w:tblHeader/>
        </w:trPr>
        <w:tc>
          <w:tcPr>
            <w:tcW w:type="dxa" w:w="2200"/>
            <w:tcBorders>
              <w:top w:val="single" w:color="007A6E" w:sz="6"/>
              <w:left w:val="single" w:color="CCCCCC" w:sz="2"/>
              <w:bottom w:val="single" w:color="007A6E" w:sz="4"/>
              <w:right w:val="single" w:color="CCCCCC" w:sz="2"/>
            </w:tcBorders>
            <w:shd w:fill="E8F4F3" w:val="clear"/>
            <w:tcMar>
              <w:top w:type="dxa" w:w="80"/>
              <w:left w:type="dxa" w:w="120"/>
              <w:bottom w:type="dxa" w:w="80"/>
              <w:right w:type="dxa" w:w="120"/>
            </w:tcMar>
          </w:tcPr>
          <w:p>
            <w:r>
              <w:rPr>
                <w:rFonts w:ascii="Arial" w:cs="Arial" w:eastAsia="Arial" w:hAnsi="Arial"/>
                <w:b/>
                <w:bCs/>
                <w:color w:val="007A6E"/>
                <w:sz w:val="19"/>
                <w:szCs w:val="19"/>
              </w:rPr>
              <w:t xml:space="preserve">Field</w:t>
            </w:r>
          </w:p>
        </w:tc>
        <w:tc>
          <w:tcPr>
            <w:tcW w:type="dxa" w:w="1800"/>
            <w:tcBorders>
              <w:top w:val="single" w:color="007A6E" w:sz="6"/>
              <w:left w:val="single" w:color="CCCCCC" w:sz="2"/>
              <w:bottom w:val="single" w:color="007A6E" w:sz="4"/>
              <w:right w:val="single" w:color="CCCCCC" w:sz="2"/>
            </w:tcBorders>
            <w:shd w:fill="E8F4F3" w:val="clear"/>
            <w:tcMar>
              <w:top w:type="dxa" w:w="80"/>
              <w:left w:type="dxa" w:w="120"/>
              <w:bottom w:type="dxa" w:w="80"/>
              <w:right w:type="dxa" w:w="120"/>
            </w:tcMar>
          </w:tcPr>
          <w:p>
            <w:r>
              <w:rPr>
                <w:rFonts w:ascii="Arial" w:cs="Arial" w:eastAsia="Arial" w:hAnsi="Arial"/>
                <w:b/>
                <w:bCs/>
                <w:color w:val="007A6E"/>
                <w:sz w:val="19"/>
                <w:szCs w:val="19"/>
              </w:rPr>
              <w:t xml:space="preserve">Type</w:t>
            </w:r>
          </w:p>
        </w:tc>
        <w:tc>
          <w:tcPr>
            <w:tcW w:type="dxa" w:w="4640"/>
            <w:tcBorders>
              <w:top w:val="single" w:color="007A6E" w:sz="6"/>
              <w:left w:val="single" w:color="CCCCCC" w:sz="2"/>
              <w:bottom w:val="single" w:color="007A6E" w:sz="4"/>
              <w:right w:val="single" w:color="CCCCCC" w:sz="2"/>
            </w:tcBorders>
            <w:shd w:fill="E8F4F3" w:val="clear"/>
            <w:tcMar>
              <w:top w:type="dxa" w:w="80"/>
              <w:left w:type="dxa" w:w="120"/>
              <w:bottom w:type="dxa" w:w="80"/>
              <w:right w:type="dxa" w:w="120"/>
            </w:tcMar>
          </w:tcPr>
          <w:p>
            <w:r>
              <w:rPr>
                <w:rFonts w:ascii="Arial" w:cs="Arial" w:eastAsia="Arial" w:hAnsi="Arial"/>
                <w:b/>
                <w:bCs/>
                <w:color w:val="007A6E"/>
                <w:sz w:val="19"/>
                <w:szCs w:val="19"/>
              </w:rPr>
              <w:t xml:space="preserve">Description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natural_language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String</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Human-readable description of the intent. Informational only. REQUIRED.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domain</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String</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Dot-notation domain from the IPP Domain Taxonomy. REQUIRED. Example: financial.treasury</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resource_scope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Array</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Array of resource patterns defining which systems, accounts, or data types are in scope. Supports wildcard (*) notation. REQUIRED.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quantitative_bounds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Object</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Numerical and temporal constraints on authorized actions. Contents are domain-specific. OPTIONAL but RECOMMENDED.</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prohibited_actions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b w:val="false"/>
                <w:bCs w:val="false"/>
                <w:color w:val="4A4A4A"/>
                <w:sz w:val="17"/>
                <w:szCs w:val="17"/>
              </w:rPr>
              <w:t xml:space="preserve">Array</w:t>
            </w:r>
          </w:p>
        </w:tc>
        <w:tc>
          <w:tcPr>
            <w:tcW w:type="dxa" w:w="4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Explicit list of action types that are prohibited regardless of resource scope. OPTIONAL. Agents MUST NOT perform prohibited actions even if technically permissible.</w:t>
            </w:r>
          </w:p>
        </w:tc>
      </w:tr>
    </w:tbl>
    <w:p>
      <w:pPr>
        <w:spacing w:before="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7A6E" w:sz="4"/>
              <w:left w:val="single" w:color="007A6E" w:sz="12"/>
              <w:bottom w:val="single" w:color="CCCCCC" w:sz="2"/>
              <w:right w:val="single" w:color="CCCCCC" w:sz="2"/>
            </w:tcBorders>
            <w:shd w:fill="F4F8F8" w:val="clear"/>
            <w:tcMar>
              <w:top w:type="dxa" w:w="100"/>
              <w:left w:type="dxa" w:w="180"/>
              <w:bottom w:type="dxa" w:w="100"/>
              <w:right w:type="dxa" w:w="180"/>
            </w:tcMar>
          </w:tcPr>
          <w:p>
            <w:pPr>
              <w:spacing w:before="0" w:after="60"/>
            </w:pPr>
            <w:r>
              <w:rPr>
                <w:rFonts w:ascii="Arial" w:cs="Arial" w:eastAsia="Arial" w:hAnsi="Arial"/>
                <w:b/>
                <w:bCs/>
                <w:color w:val="007A6E"/>
                <w:sz w:val="20"/>
                <w:szCs w:val="20"/>
              </w:rPr>
              <w:t xml:space="preserve">IMPORTANT:  </w:t>
            </w:r>
            <w:r>
              <w:rPr>
                <w:rFonts w:ascii="Arial" w:cs="Arial" w:eastAsia="Arial" w:hAnsi="Arial"/>
                <w:color w:val="4A4A4A"/>
                <w:sz w:val="20"/>
                <w:szCs w:val="20"/>
              </w:rPr>
              <w:t xml:space="preserve">The domain field value MUST be drawn from the IPP Domain Taxonomy maintained at https://ipp.khsovereign.com/taxonomy. Implementations using non-standard domain values MUST prefix them with 'x.' (e.g., x.mycompany.custom_domain) to avoid collision with future taxonomy additions.</w:t>
            </w:r>
          </w:p>
        </w:tc>
      </w:tr>
    </w:tbl>
    <w:p>
      <w:pPr>
        <w:spacing w:before="0" w:after="0"/>
      </w:pPr>
      <w:r>
        <w:t xml:space="preserve"/>
      </w:r>
    </w:p>
    <w:p>
      <w:pPr>
        <w:pStyle w:val="Heading2"/>
        <w:spacing w:before="240" w:after="80"/>
      </w:pPr>
      <w:r>
        <w:rPr>
          <w:rFonts w:ascii="Arial" w:cs="Arial" w:eastAsia="Arial" w:hAnsi="Arial"/>
          <w:b/>
          <w:bCs/>
          <w:color w:val="000000"/>
          <w:sz w:val="22"/>
          <w:szCs w:val="22"/>
        </w:rPr>
        <w:t xml:space="preserve">4.4.  Quantitative Bounds</w:t>
      </w:r>
    </w:p>
    <w:p>
      <w:pPr>
        <w:spacing w:before="0" w:after="160"/>
        <w:jc w:val="both"/>
      </w:pPr>
      <w:r>
        <w:rPr>
          <w:rFonts w:ascii="Arial" w:cs="Arial" w:eastAsia="Arial" w:hAnsi="Arial"/>
          <w:color w:val="4A4A4A"/>
          <w:sz w:val="20"/>
          <w:szCs w:val="20"/>
        </w:rPr>
        <w:t xml:space="preserve">The quantitative_bounds object is domain-specific. This specification defines standard bound fields for the financial domain. Domain-specific extensions are published in the IPP Domain Taxonomy registry. Implementations SHOULD use standard field names where they exist.</w:t>
      </w:r>
    </w:p>
    <w:p>
      <w:pPr>
        <w:spacing w:before="0" w:after="0"/>
      </w:pPr>
      <w:r>
        <w:t xml:space="preserve"/>
      </w:r>
    </w:p>
    <w:p>
      <w:pPr>
        <w:spacing w:before="0" w:after="0" w:line="240"/>
        <w:ind w:left="720"/>
      </w:pPr>
      <w:r>
        <w:rPr>
          <w:rFonts w:ascii="Courier New" w:cs="Courier New" w:eastAsia="Courier New" w:hAnsi="Courier New"/>
          <w:color w:val="000000"/>
          <w:sz w:val="18"/>
          <w:szCs w:val="18"/>
        </w:rPr>
        <w:t xml:space="preserve">// Standard financial domain bounds</w:t>
      </w:r>
    </w:p>
    <w:p>
      <w:pPr>
        <w:spacing w:before="0" w:after="0" w:line="240"/>
        <w:ind w:left="720"/>
      </w:pPr>
      <w:r>
        <w:rPr>
          <w:rFonts w:ascii="Courier New" w:cs="Courier New" w:eastAsia="Courier New" w:hAnsi="Courier New"/>
          <w:color w:val="000000"/>
          <w:sz w:val="18"/>
          <w:szCs w:val="18"/>
        </w:rPr>
        <w:t xml:space="preserve">"quantitative_bounds": {</w:t>
      </w:r>
    </w:p>
    <w:p>
      <w:pPr>
        <w:spacing w:before="0" w:after="0" w:line="240"/>
        <w:ind w:left="720"/>
      </w:pPr>
      <w:r>
        <w:rPr>
          <w:rFonts w:ascii="Courier New" w:cs="Courier New" w:eastAsia="Courier New" w:hAnsi="Courier New"/>
          <w:color w:val="000000"/>
          <w:sz w:val="18"/>
          <w:szCs w:val="18"/>
        </w:rPr>
        <w:t xml:space="preserve">  "min_balance_threshold":  integer,   // Minimum balance to trigger action (currency units)</w:t>
      </w:r>
    </w:p>
    <w:p>
      <w:pPr>
        <w:spacing w:before="0" w:after="0" w:line="240"/>
        <w:ind w:left="720"/>
      </w:pPr>
      <w:r>
        <w:rPr>
          <w:rFonts w:ascii="Courier New" w:cs="Courier New" w:eastAsia="Courier New" w:hAnsi="Courier New"/>
          <w:color w:val="000000"/>
          <w:sz w:val="18"/>
          <w:szCs w:val="18"/>
        </w:rPr>
        <w:t xml:space="preserve">  "max_single_transaction": integer,   // Maximum single transaction value</w:t>
      </w:r>
    </w:p>
    <w:p>
      <w:pPr>
        <w:spacing w:before="0" w:after="0" w:line="240"/>
        <w:ind w:left="720"/>
      </w:pPr>
      <w:r>
        <w:rPr>
          <w:rFonts w:ascii="Courier New" w:cs="Courier New" w:eastAsia="Courier New" w:hAnsi="Courier New"/>
          <w:color w:val="000000"/>
          <w:sz w:val="18"/>
          <w:szCs w:val="18"/>
        </w:rPr>
        <w:t xml:space="preserve">  "max_total_exposure":     integer,   // Maximum aggregate action value</w:t>
      </w:r>
    </w:p>
    <w:p>
      <w:pPr>
        <w:spacing w:before="0" w:after="0" w:line="240"/>
        <w:ind w:left="720"/>
      </w:pPr>
      <w:r>
        <w:rPr>
          <w:rFonts w:ascii="Courier New" w:cs="Courier New" w:eastAsia="Courier New" w:hAnsi="Courier New"/>
          <w:color w:val="000000"/>
          <w:sz w:val="18"/>
          <w:szCs w:val="18"/>
        </w:rPr>
        <w:t xml:space="preserve">  "currency":               string,    // ISO 4217 currency code</w:t>
      </w:r>
    </w:p>
    <w:p>
      <w:pPr>
        <w:spacing w:before="0" w:after="0" w:line="240"/>
        <w:ind w:left="720"/>
      </w:pPr>
      <w:r>
        <w:rPr>
          <w:rFonts w:ascii="Courier New" w:cs="Courier New" w:eastAsia="Courier New" w:hAnsi="Courier New"/>
          <w:color w:val="000000"/>
          <w:sz w:val="18"/>
          <w:szCs w:val="18"/>
        </w:rPr>
        <w:t xml:space="preserve">  "time_window":            string,    // Named time window or ISO 8601 interval</w:t>
      </w:r>
    </w:p>
    <w:p>
      <w:pPr>
        <w:spacing w:before="0" w:after="0" w:line="240"/>
        <w:ind w:left="720"/>
      </w:pPr>
      <w:r>
        <w:rPr>
          <w:rFonts w:ascii="Courier New" w:cs="Courier New" w:eastAsia="Courier New" w:hAnsi="Courier New"/>
          <w:color w:val="000000"/>
          <w:sz w:val="18"/>
          <w:szCs w:val="18"/>
        </w:rPr>
        <w:t xml:space="preserve">  "geographic_restriction": [string],  // Array of ISO 3166-1 alpha-2 country codes</w:t>
      </w:r>
    </w:p>
    <w:p>
      <w:pPr>
        <w:spacing w:before="0" w:after="0" w:line="240"/>
        <w:ind w:left="720"/>
      </w:pPr>
      <w:r>
        <w:rPr>
          <w:rFonts w:ascii="Courier New" w:cs="Courier New" w:eastAsia="Courier New" w:hAnsi="Courier New"/>
          <w:color w:val="000000"/>
          <w:sz w:val="18"/>
          <w:szCs w:val="18"/>
        </w:rPr>
        <w:t xml:space="preserve">  "counterparty_allowlist": [string],  // DID or entity identifier allowlist</w:t>
      </w:r>
    </w:p>
    <w:p>
      <w:pPr>
        <w:spacing w:before="0" w:after="0" w:line="240"/>
        <w:ind w:left="720"/>
      </w:pPr>
      <w:r>
        <w:rPr>
          <w:rFonts w:ascii="Courier New" w:cs="Courier New" w:eastAsia="Courier New" w:hAnsi="Courier New"/>
          <w:color w:val="000000"/>
          <w:sz w:val="18"/>
          <w:szCs w:val="18"/>
        </w:rPr>
        <w:t xml:space="preserve">  "counterparty_blocklist": [string]   // DID or entity identifier blocklist</w:t>
      </w:r>
    </w:p>
    <w:p>
      <w:pPr>
        <w:spacing w:before="0" w:after="0" w:line="240"/>
        <w:ind w:left="720"/>
      </w:pPr>
      <w:r>
        <w:rPr>
          <w:rFonts w:ascii="Courier New" w:cs="Courier New" w:eastAsia="Courier New" w:hAnsi="Courier New"/>
          <w:color w:val="000000"/>
          <w:sz w:val="18"/>
          <w:szCs w:val="18"/>
        </w:rPr>
        <w:t xml:space="preserve">}</w:t>
      </w:r>
    </w:p>
    <w:p>
      <w:pPr>
        <w:spacing w:before="0" w:after="0"/>
      </w:pPr>
      <w:r>
        <w:t xml:space="preserve"/>
      </w:r>
    </w:p>
    <w:p>
      <w:pPr>
        <w:pStyle w:val="Heading1"/>
        <w:spacing w:before="320" w:after="120"/>
      </w:pPr>
      <w:r>
        <w:rPr>
          <w:rFonts w:ascii="Arial" w:cs="Arial" w:eastAsia="Arial" w:hAnsi="Arial"/>
          <w:b/>
          <w:bCs/>
          <w:color w:val="000000"/>
          <w:sz w:val="26"/>
          <w:szCs w:val="26"/>
        </w:rPr>
        <w:t xml:space="preserve">5.  The Genesis Seal</w:t>
      </w:r>
    </w:p>
    <w:p>
      <w:pPr>
        <w:pStyle w:val="Heading2"/>
        <w:spacing w:before="240" w:after="80"/>
      </w:pPr>
      <w:r>
        <w:rPr>
          <w:rFonts w:ascii="Arial" w:cs="Arial" w:eastAsia="Arial" w:hAnsi="Arial"/>
          <w:b/>
          <w:bCs/>
          <w:color w:val="000000"/>
          <w:sz w:val="22"/>
          <w:szCs w:val="22"/>
        </w:rPr>
        <w:t xml:space="preserve">5.1.  Purpose and Design</w:t>
      </w:r>
    </w:p>
    <w:p>
      <w:pPr>
        <w:spacing w:before="0" w:after="160"/>
        <w:jc w:val="both"/>
      </w:pPr>
      <w:r>
        <w:rPr>
          <w:rFonts w:ascii="Arial" w:cs="Arial" w:eastAsia="Arial" w:hAnsi="Arial"/>
          <w:color w:val="4A4A4A"/>
          <w:sz w:val="20"/>
          <w:szCs w:val="20"/>
        </w:rPr>
        <w:t xml:space="preserve">The Genesis Seal is a cryptographic artifact embedded in every Intent Token that permanently and irrevocably links the token to this specification and to its author, Amanda Haberkamp. The Genesis Seal serves three simultaneous functions:</w:t>
      </w:r>
    </w:p>
    <w:p>
      <w:pPr>
        <w:pStyle w:val="ListParagraph"/>
        <w:numPr>
          <w:ilvl w:val="0"/>
          <w:numId w:val="2"/>
        </w:numPr>
        <w:spacing w:before="0" w:after="80"/>
      </w:pPr>
      <w:r>
        <w:rPr>
          <w:rFonts w:ascii="Arial" w:cs="Arial" w:eastAsia="Arial" w:hAnsi="Arial"/>
          <w:color w:val="4A4A4A"/>
          <w:sz w:val="20"/>
          <w:szCs w:val="20"/>
        </w:rPr>
        <w:t xml:space="preserve">Protocol versioning: The spec_hash field uniquely identifies the exact version of the IPP specification under which the token was issued.</w:t>
      </w:r>
    </w:p>
    <w:p>
      <w:pPr>
        <w:pStyle w:val="ListParagraph"/>
        <w:numPr>
          <w:ilvl w:val="0"/>
          <w:numId w:val="2"/>
        </w:numPr>
        <w:spacing w:before="0" w:after="80"/>
      </w:pPr>
      <w:r>
        <w:rPr>
          <w:rFonts w:ascii="Arial" w:cs="Arial" w:eastAsia="Arial" w:hAnsi="Arial"/>
          <w:color w:val="4A4A4A"/>
          <w:sz w:val="20"/>
          <w:szCs w:val="20"/>
        </w:rPr>
        <w:t xml:space="preserve">Authorship attribution: The author_did and genesis_sig fields constitute a permanent, cryptographically verifiable record that Amanda Haberkamp is the originator of this protocol.</w:t>
      </w:r>
    </w:p>
    <w:p>
      <w:pPr>
        <w:pStyle w:val="ListParagraph"/>
        <w:numPr>
          <w:ilvl w:val="0"/>
          <w:numId w:val="2"/>
        </w:numPr>
        <w:spacing w:before="0" w:after="80"/>
      </w:pPr>
      <w:r>
        <w:rPr>
          <w:rFonts w:ascii="Arial" w:cs="Arial" w:eastAsia="Arial" w:hAnsi="Arial"/>
          <w:color w:val="4A4A4A"/>
          <w:sz w:val="20"/>
          <w:szCs w:val="20"/>
        </w:rPr>
        <w:t xml:space="preserve">Ecosystem integrity: Because the Genesis Seal is required in all tokens, any token that omits or falsifies it is detectable as non-compliant without reference to any external authority.</w:t>
      </w:r>
    </w:p>
    <w:p>
      <w:pPr>
        <w:spacing w:before="0" w:after="0"/>
      </w:pPr>
      <w:r>
        <w:t xml:space="preserve"/>
      </w:r>
    </w:p>
    <w:p>
      <w:pPr>
        <w:spacing w:before="0" w:after="160"/>
        <w:jc w:val="both"/>
      </w:pPr>
      <w:r>
        <w:rPr>
          <w:rFonts w:ascii="Arial" w:cs="Arial" w:eastAsia="Arial" w:hAnsi="Arial"/>
          <w:color w:val="4A4A4A"/>
          <w:sz w:val="20"/>
          <w:szCs w:val="20"/>
        </w:rPr>
        <w:t xml:space="preserve">The design is inspired by the genesis block pattern used in blockchain systems, where the initial block contains a timestamp and authorship record that is cryptographically chained to every subsequent block. In IPP, the Genesis Seal plays the analogous role: it is the permanent origin record embedded in every token the protocol ever produces.</w:t>
      </w:r>
    </w:p>
    <w:p>
      <w:pPr>
        <w:spacing w:before="0" w:after="160"/>
        <w:jc w:val="both"/>
      </w:pPr>
      <w:r>
        <w:rPr>
          <w:rFonts w:ascii="Arial" w:cs="Arial" w:eastAsia="Arial" w:hAnsi="Arial"/>
          <w:color w:val="4A4A4A"/>
          <w:sz w:val="20"/>
          <w:szCs w:val="20"/>
        </w:rPr>
        <w:t xml:space="preserve">The genesis_sig is produced using the Founding Key — an Ed25519 private key generated by Amanda Haberkamp and used ONLY ONCE, during the Key Generation Ceremony described in Section 5.3. The private component of this key is stored in offline cold storage and is never used again. The public component is published in this specification and in the IPP specification repository.</w:t>
      </w:r>
    </w:p>
    <w:p>
      <w:pPr>
        <w:pStyle w:val="Heading2"/>
        <w:spacing w:before="240" w:after="80"/>
      </w:pPr>
      <w:r>
        <w:rPr>
          <w:rFonts w:ascii="Arial" w:cs="Arial" w:eastAsia="Arial" w:hAnsi="Arial"/>
          <w:b/>
          <w:bCs/>
          <w:color w:val="000000"/>
          <w:sz w:val="22"/>
          <w:szCs w:val="22"/>
        </w:rPr>
        <w:t xml:space="preserve">5.2.  Genesis Seal Structure</w:t>
      </w:r>
    </w:p>
    <w:p>
      <w:pPr>
        <w:spacing w:before="0" w:after="0"/>
      </w:pPr>
      <w:r>
        <w:t xml:space="preserve"/>
      </w:r>
    </w:p>
    <w:p>
      <w:pPr>
        <w:spacing w:before="0" w:after="0" w:line="240"/>
        <w:ind w:left="720"/>
      </w:pPr>
      <w:r>
        <w:rPr>
          <w:rFonts w:ascii="Courier New" w:cs="Courier New" w:eastAsia="Courier New" w:hAnsi="Courier New"/>
          <w:color w:val="000000"/>
          <w:sz w:val="18"/>
          <w:szCs w:val="18"/>
        </w:rPr>
        <w:t xml:space="preserve">"genesis": {</w:t>
      </w:r>
    </w:p>
    <w:p>
      <w:pPr>
        <w:spacing w:before="0" w:after="0" w:line="240"/>
        <w:ind w:left="720"/>
      </w:pPr>
      <w:r>
        <w:rPr>
          <w:rFonts w:ascii="Courier New" w:cs="Courier New" w:eastAsia="Courier New" w:hAnsi="Courier New"/>
          <w:color w:val="000000"/>
          <w:sz w:val="18"/>
          <w:szCs w:val="18"/>
        </w:rPr>
        <w:t xml:space="preserve">  "spec_hash":    "sha3-256:[HASH OF IPP SPECIFICATION DOCUMENT]",</w:t>
      </w:r>
    </w:p>
    <w:p>
      <w:pPr>
        <w:spacing w:before="0" w:after="0" w:line="240"/>
        <w:ind w:left="720"/>
      </w:pPr>
      <w:r>
        <w:rPr>
          <w:rFonts w:ascii="Courier New" w:cs="Courier New" w:eastAsia="Courier New" w:hAnsi="Courier New"/>
          <w:color w:val="000000"/>
          <w:sz w:val="18"/>
          <w:szCs w:val="18"/>
        </w:rPr>
        <w:t xml:space="preserve">  "author_did":   "did:key:z6MkHaberkampXXXXXXXXXXXXXXXXXXXXXXXXXX",</w:t>
      </w:r>
    </w:p>
    <w:p>
      <w:pPr>
        <w:spacing w:before="0" w:after="0" w:line="240"/>
        <w:ind w:left="720"/>
      </w:pPr>
      <w:r>
        <w:rPr>
          <w:rFonts w:ascii="Courier New" w:cs="Courier New" w:eastAsia="Courier New" w:hAnsi="Courier New"/>
          <w:color w:val="000000"/>
          <w:sz w:val="18"/>
          <w:szCs w:val="18"/>
        </w:rPr>
        <w:t xml:space="preserve">  "author_name":  "Amanda Haberkamp",</w:t>
      </w:r>
    </w:p>
    <w:p>
      <w:pPr>
        <w:spacing w:before="0" w:after="0" w:line="240"/>
        <w:ind w:left="720"/>
      </w:pPr>
      <w:r>
        <w:rPr>
          <w:rFonts w:ascii="Courier New" w:cs="Courier New" w:eastAsia="Courier New" w:hAnsi="Courier New"/>
          <w:color w:val="000000"/>
          <w:sz w:val="18"/>
          <w:szCs w:val="18"/>
        </w:rPr>
        <w:t xml:space="preserve">  "org":          "KH Sovereign, Inc.",</w:t>
      </w:r>
    </w:p>
    <w:p>
      <w:pPr>
        <w:spacing w:before="0" w:after="0" w:line="240"/>
        <w:ind w:left="720"/>
      </w:pPr>
      <w:r>
        <w:rPr>
          <w:rFonts w:ascii="Courier New" w:cs="Courier New" w:eastAsia="Courier New" w:hAnsi="Courier New"/>
          <w:color w:val="000000"/>
          <w:sz w:val="18"/>
          <w:szCs w:val="18"/>
        </w:rPr>
        <w:t xml:space="preserve">  "founding_pubkey": "ed25519-pub:[BASE64URL PUBLIC KEY]",</w:t>
      </w:r>
    </w:p>
    <w:p>
      <w:pPr>
        <w:spacing w:before="0" w:after="0" w:line="240"/>
        <w:ind w:left="720"/>
      </w:pPr>
      <w:r>
        <w:rPr>
          <w:rFonts w:ascii="Courier New" w:cs="Courier New" w:eastAsia="Courier New" w:hAnsi="Courier New"/>
          <w:color w:val="000000"/>
          <w:sz w:val="18"/>
          <w:szCs w:val="18"/>
        </w:rPr>
        <w:t xml:space="preserve">  "genesis_sig":  "ed25519:[BASE64URL SIGNATURE]"</w:t>
      </w:r>
    </w:p>
    <w:p>
      <w:pPr>
        <w:spacing w:before="0" w:after="0" w:line="240"/>
        <w:ind w:left="720"/>
      </w:pPr>
      <w:r>
        <w:rPr>
          <w:rFonts w:ascii="Courier New" w:cs="Courier New" w:eastAsia="Courier New" w:hAnsi="Courier New"/>
          <w:color w:val="000000"/>
          <w:sz w:val="18"/>
          <w:szCs w:val="18"/>
        </w:rPr>
        <w:t xml:space="preserve">}</w:t>
      </w:r>
    </w:p>
    <w:p>
      <w:pPr>
        <w:spacing w:before="0" w:after="0" w:line="240"/>
        <w:ind w:left="720"/>
      </w:pPr>
      <w:r>
        <w:rPr>
          <w:rFonts w:ascii="Courier New" w:cs="Courier New" w:eastAsia="Courier New" w:hAnsi="Courier New"/>
          <w:color w:val="000000"/>
          <w:sz w:val="18"/>
          <w:szCs w:val="18"/>
        </w:rPr>
        <w:t xml:space="preserve"/>
      </w:r>
    </w:p>
    <w:p>
      <w:pPr>
        <w:spacing w:before="0" w:after="0" w:line="240"/>
        <w:ind w:left="720"/>
      </w:pPr>
      <w:r>
        <w:rPr>
          <w:rFonts w:ascii="Courier New" w:cs="Courier New" w:eastAsia="Courier New" w:hAnsi="Courier New"/>
          <w:color w:val="000000"/>
          <w:sz w:val="18"/>
          <w:szCs w:val="18"/>
        </w:rPr>
        <w:t xml:space="preserve">Where genesis_sig = Ed25519Sign(</w:t>
      </w:r>
    </w:p>
    <w:p>
      <w:pPr>
        <w:spacing w:before="0" w:after="0" w:line="240"/>
        <w:ind w:left="720"/>
      </w:pPr>
      <w:r>
        <w:rPr>
          <w:rFonts w:ascii="Courier New" w:cs="Courier New" w:eastAsia="Courier New" w:hAnsi="Courier New"/>
          <w:color w:val="000000"/>
          <w:sz w:val="18"/>
          <w:szCs w:val="18"/>
        </w:rPr>
        <w:t xml:space="preserve">  private_key = FOUNDING_PRIVATE_KEY,</w:t>
      </w:r>
    </w:p>
    <w:p>
      <w:pPr>
        <w:spacing w:before="0" w:after="0" w:line="240"/>
        <w:ind w:left="720"/>
      </w:pPr>
      <w:r>
        <w:rPr>
          <w:rFonts w:ascii="Courier New" w:cs="Courier New" w:eastAsia="Courier New" w:hAnsi="Courier New"/>
          <w:color w:val="000000"/>
          <w:sz w:val="18"/>
          <w:szCs w:val="18"/>
        </w:rPr>
        <w:t xml:space="preserve">  message     = SHA3-256(spec_hash + author_did + author_name + org + timestamp)</w:t>
      </w:r>
    </w:p>
    <w:p>
      <w:pPr>
        <w:spacing w:before="0" w:after="0" w:line="240"/>
        <w:ind w:left="720"/>
      </w:pPr>
      <w:r>
        <w:rPr>
          <w:rFonts w:ascii="Courier New" w:cs="Courier New" w:eastAsia="Courier New" w:hAnsi="Courier New"/>
          <w:color w:val="000000"/>
          <w:sz w:val="18"/>
          <w:szCs w:val="18"/>
        </w:rPr>
        <w:t xml:space="preserve">)</w:t>
      </w:r>
    </w:p>
    <w:p>
      <w:pPr>
        <w:spacing w:before="0" w:after="0"/>
      </w:pPr>
      <w:r>
        <w:t xml:space="preserve"/>
      </w:r>
    </w:p>
    <w:p>
      <w:pPr>
        <w:spacing w:before="0" w:after="160"/>
        <w:jc w:val="both"/>
      </w:pPr>
      <w:r>
        <w:rPr>
          <w:rFonts w:ascii="Arial" w:cs="Arial" w:eastAsia="Arial" w:hAnsi="Arial"/>
          <w:color w:val="4A4A4A"/>
          <w:sz w:val="20"/>
          <w:szCs w:val="20"/>
        </w:rPr>
        <w:t xml:space="preserve">Verification of the Genesis Seal MUST proceed as follows:</w:t>
      </w:r>
    </w:p>
    <w:p>
      <w:pPr>
        <w:pStyle w:val="ListParagraph"/>
        <w:numPr>
          <w:ilvl w:val="0"/>
          <w:numId w:val="3"/>
        </w:numPr>
        <w:spacing w:before="0" w:after="80"/>
      </w:pPr>
      <w:r>
        <w:rPr>
          <w:rFonts w:ascii="Arial" w:cs="Arial" w:eastAsia="Arial" w:hAnsi="Arial"/>
          <w:color w:val="4A4A4A"/>
          <w:sz w:val="20"/>
          <w:szCs w:val="20"/>
        </w:rPr>
        <w:t xml:space="preserve">Retrieve the IPP specification document from the canonical location: https://ipp.khsovereign.com/spec/v0.1</w:t>
      </w:r>
    </w:p>
    <w:p>
      <w:pPr>
        <w:pStyle w:val="ListParagraph"/>
        <w:numPr>
          <w:ilvl w:val="0"/>
          <w:numId w:val="3"/>
        </w:numPr>
        <w:spacing w:before="0" w:after="80"/>
      </w:pPr>
      <w:r>
        <w:rPr>
          <w:rFonts w:ascii="Arial" w:cs="Arial" w:eastAsia="Arial" w:hAnsi="Arial"/>
          <w:color w:val="4A4A4A"/>
          <w:sz w:val="20"/>
          <w:szCs w:val="20"/>
        </w:rPr>
        <w:t xml:space="preserve">Compute SHA3-256 of the specification document and compare with spec_hash. If they do not match, the token was issued under a modified or forged specification.</w:t>
      </w:r>
    </w:p>
    <w:p>
      <w:pPr>
        <w:pStyle w:val="ListParagraph"/>
        <w:numPr>
          <w:ilvl w:val="0"/>
          <w:numId w:val="3"/>
        </w:numPr>
        <w:spacing w:before="0" w:after="80"/>
      </w:pPr>
      <w:r>
        <w:rPr>
          <w:rFonts w:ascii="Arial" w:cs="Arial" w:eastAsia="Arial" w:hAnsi="Arial"/>
          <w:color w:val="4A4A4A"/>
          <w:sz w:val="20"/>
          <w:szCs w:val="20"/>
        </w:rPr>
        <w:t xml:space="preserve">Retrieve Amanda Haberkamp's founding public key from the specification repository at https://ipp.khsovereign.com/keys/founding_public.pem</w:t>
      </w:r>
    </w:p>
    <w:p>
      <w:pPr>
        <w:pStyle w:val="ListParagraph"/>
        <w:numPr>
          <w:ilvl w:val="0"/>
          <w:numId w:val="3"/>
        </w:numPr>
        <w:spacing w:before="0" w:after="80"/>
      </w:pPr>
      <w:r>
        <w:rPr>
          <w:rFonts w:ascii="Arial" w:cs="Arial" w:eastAsia="Arial" w:hAnsi="Arial"/>
          <w:color w:val="4A4A4A"/>
          <w:sz w:val="20"/>
          <w:szCs w:val="20"/>
        </w:rPr>
        <w:t xml:space="preserve">Verify the genesis_sig using the founding public key against the message defined above. If verification fails, the Genesis Seal is invalid.</w:t>
      </w:r>
    </w:p>
    <w:p>
      <w:pPr>
        <w:pStyle w:val="ListParagraph"/>
        <w:numPr>
          <w:ilvl w:val="0"/>
          <w:numId w:val="3"/>
        </w:numPr>
        <w:spacing w:before="0" w:after="80"/>
      </w:pPr>
      <w:r>
        <w:rPr>
          <w:rFonts w:ascii="Arial" w:cs="Arial" w:eastAsia="Arial" w:hAnsi="Arial"/>
          <w:color w:val="4A4A4A"/>
          <w:sz w:val="20"/>
          <w:szCs w:val="20"/>
        </w:rPr>
        <w:t xml:space="preserve">If both checks pass, the token is certified as issued under the authentic IPP specification authored by Amanda Haberkamp.</w:t>
      </w:r>
    </w:p>
    <w:p>
      <w:pPr>
        <w:spacing w:before="0" w:after="0"/>
      </w:pPr>
      <w:r>
        <w:t xml:space="preserve"/>
      </w:r>
    </w:p>
    <w:p>
      <w:pPr>
        <w:pStyle w:val="Heading2"/>
        <w:spacing w:before="240" w:after="80"/>
      </w:pPr>
      <w:r>
        <w:rPr>
          <w:rFonts w:ascii="Arial" w:cs="Arial" w:eastAsia="Arial" w:hAnsi="Arial"/>
          <w:b/>
          <w:bCs/>
          <w:color w:val="000000"/>
          <w:sz w:val="22"/>
          <w:szCs w:val="22"/>
        </w:rPr>
        <w:t xml:space="preserve">5.3.  Key Generation Ceremony</w:t>
      </w:r>
    </w:p>
    <w:p>
      <w:pPr>
        <w:spacing w:before="0" w:after="160"/>
        <w:jc w:val="both"/>
      </w:pPr>
      <w:r>
        <w:rPr>
          <w:rFonts w:ascii="Arial" w:cs="Arial" w:eastAsia="Arial" w:hAnsi="Arial"/>
          <w:color w:val="4A4A4A"/>
          <w:sz w:val="20"/>
          <w:szCs w:val="20"/>
        </w:rPr>
        <w:t xml:space="preserve">The Founding Key pair was generated according to the following procedure, designed to maximize security and establish a clear, witnessed chain of custody:</w:t>
      </w:r>
    </w:p>
    <w:p>
      <w:pPr>
        <w:pStyle w:val="ListParagraph"/>
        <w:numPr>
          <w:ilvl w:val="0"/>
          <w:numId w:val="3"/>
        </w:numPr>
        <w:spacing w:before="0" w:after="80"/>
      </w:pPr>
      <w:r>
        <w:rPr>
          <w:rFonts w:ascii="Arial" w:cs="Arial" w:eastAsia="Arial" w:hAnsi="Arial"/>
          <w:color w:val="4A4A4A"/>
          <w:sz w:val="20"/>
          <w:szCs w:val="20"/>
        </w:rPr>
        <w:t xml:space="preserve">An air-gapped machine (never connected to any network) was used for all key generation operations.</w:t>
      </w:r>
    </w:p>
    <w:p>
      <w:pPr>
        <w:pStyle w:val="ListParagraph"/>
        <w:numPr>
          <w:ilvl w:val="0"/>
          <w:numId w:val="3"/>
        </w:numPr>
        <w:spacing w:before="0" w:after="80"/>
      </w:pPr>
      <w:r>
        <w:rPr>
          <w:rFonts w:ascii="Arial" w:cs="Arial" w:eastAsia="Arial" w:hAnsi="Arial"/>
          <w:color w:val="4A4A4A"/>
          <w:sz w:val="20"/>
          <w:szCs w:val="20"/>
        </w:rPr>
        <w:t xml:space="preserve">The Ed25519 key pair was generated using OpenSSL 3.x with the following command:</w:t>
      </w:r>
    </w:p>
    <w:p>
      <w:pPr>
        <w:spacing w:before="0" w:after="0"/>
      </w:pPr>
      <w:r>
        <w:t xml:space="preserve"/>
      </w:r>
    </w:p>
    <w:p>
      <w:pPr>
        <w:spacing w:before="0" w:after="0" w:line="240"/>
        <w:ind w:left="720"/>
      </w:pPr>
      <w:r>
        <w:rPr>
          <w:rFonts w:ascii="Courier New" w:cs="Courier New" w:eastAsia="Courier New" w:hAnsi="Courier New"/>
          <w:color w:val="000000"/>
          <w:sz w:val="18"/>
          <w:szCs w:val="18"/>
        </w:rPr>
        <w:t xml:space="preserve">openssl genpkey -algorithm ed25519 \</w:t>
      </w:r>
    </w:p>
    <w:p>
      <w:pPr>
        <w:spacing w:before="0" w:after="0" w:line="240"/>
        <w:ind w:left="720"/>
      </w:pPr>
      <w:r>
        <w:rPr>
          <w:rFonts w:ascii="Courier New" w:cs="Courier New" w:eastAsia="Courier New" w:hAnsi="Courier New"/>
          <w:color w:val="000000"/>
          <w:sz w:val="18"/>
          <w:szCs w:val="18"/>
        </w:rPr>
        <w:t xml:space="preserve">  -out amanda_haberkamp_founding_private.pem</w:t>
      </w:r>
    </w:p>
    <w:p>
      <w:pPr>
        <w:spacing w:before="0" w:after="0" w:line="240"/>
        <w:ind w:left="720"/>
      </w:pPr>
      <w:r>
        <w:rPr>
          <w:rFonts w:ascii="Courier New" w:cs="Courier New" w:eastAsia="Courier New" w:hAnsi="Courier New"/>
          <w:color w:val="000000"/>
          <w:sz w:val="18"/>
          <w:szCs w:val="18"/>
        </w:rPr>
        <w:t xml:space="preserve"/>
      </w:r>
    </w:p>
    <w:p>
      <w:pPr>
        <w:spacing w:before="0" w:after="0" w:line="240"/>
        <w:ind w:left="720"/>
      </w:pPr>
      <w:r>
        <w:rPr>
          <w:rFonts w:ascii="Courier New" w:cs="Courier New" w:eastAsia="Courier New" w:hAnsi="Courier New"/>
          <w:color w:val="000000"/>
          <w:sz w:val="18"/>
          <w:szCs w:val="18"/>
        </w:rPr>
        <w:t xml:space="preserve">openssl pkey -in amanda_haberkamp_founding_private.pem \</w:t>
      </w:r>
    </w:p>
    <w:p>
      <w:pPr>
        <w:spacing w:before="0" w:after="0" w:line="240"/>
        <w:ind w:left="720"/>
      </w:pPr>
      <w:r>
        <w:rPr>
          <w:rFonts w:ascii="Courier New" w:cs="Courier New" w:eastAsia="Courier New" w:hAnsi="Courier New"/>
          <w:color w:val="000000"/>
          <w:sz w:val="18"/>
          <w:szCs w:val="18"/>
        </w:rPr>
        <w:t xml:space="preserve">  -pubout \</w:t>
      </w:r>
    </w:p>
    <w:p>
      <w:pPr>
        <w:spacing w:before="0" w:after="0" w:line="240"/>
        <w:ind w:left="720"/>
      </w:pPr>
      <w:r>
        <w:rPr>
          <w:rFonts w:ascii="Courier New" w:cs="Courier New" w:eastAsia="Courier New" w:hAnsi="Courier New"/>
          <w:color w:val="000000"/>
          <w:sz w:val="18"/>
          <w:szCs w:val="18"/>
        </w:rPr>
        <w:t xml:space="preserve">  -out amanda_haberkamp_founding_public.pem</w:t>
      </w:r>
    </w:p>
    <w:p>
      <w:pPr>
        <w:spacing w:before="0" w:after="0"/>
      </w:pPr>
      <w:r>
        <w:t xml:space="preserve"/>
      </w:r>
    </w:p>
    <w:p>
      <w:pPr>
        <w:pStyle w:val="ListParagraph"/>
        <w:numPr>
          <w:ilvl w:val="0"/>
          <w:numId w:val="3"/>
        </w:numPr>
        <w:spacing w:before="0" w:after="80"/>
      </w:pPr>
      <w:r>
        <w:rPr>
          <w:rFonts w:ascii="Arial" w:cs="Arial" w:eastAsia="Arial" w:hAnsi="Arial"/>
          <w:color w:val="4A4A4A"/>
          <w:sz w:val="20"/>
          <w:szCs w:val="20"/>
        </w:rPr>
        <w:t xml:space="preserve">A DID was generated from the public key using the did:key method (W3C DID Core specification):</w:t>
      </w:r>
    </w:p>
    <w:p>
      <w:pPr>
        <w:spacing w:before="0" w:after="0"/>
      </w:pPr>
      <w:r>
        <w:t xml:space="preserve"/>
      </w:r>
    </w:p>
    <w:p>
      <w:pPr>
        <w:spacing w:before="0" w:after="0" w:line="240"/>
        <w:ind w:left="720"/>
      </w:pPr>
      <w:r>
        <w:rPr>
          <w:rFonts w:ascii="Courier New" w:cs="Courier New" w:eastAsia="Courier New" w:hAnsi="Courier New"/>
          <w:color w:val="000000"/>
          <w:sz w:val="18"/>
          <w:szCs w:val="18"/>
        </w:rPr>
        <w:t xml:space="preserve"># DID:KEY generation (multibase encoded public key)</w:t>
      </w:r>
    </w:p>
    <w:p>
      <w:pPr>
        <w:spacing w:before="0" w:after="0" w:line="240"/>
        <w:ind w:left="720"/>
      </w:pPr>
      <w:r>
        <w:rPr>
          <w:rFonts w:ascii="Courier New" w:cs="Courier New" w:eastAsia="Courier New" w:hAnsi="Courier New"/>
          <w:color w:val="000000"/>
          <w:sz w:val="18"/>
          <w:szCs w:val="18"/>
        </w:rPr>
        <w:t xml:space="preserve">did:key:z6Mk[Base58BTC-encoded Ed25519 public key]</w:t>
      </w:r>
    </w:p>
    <w:p>
      <w:pPr>
        <w:spacing w:before="0" w:after="0"/>
      </w:pPr>
      <w:r>
        <w:t xml:space="preserve"/>
      </w:r>
    </w:p>
    <w:p>
      <w:pPr>
        <w:pStyle w:val="ListParagraph"/>
        <w:numPr>
          <w:ilvl w:val="0"/>
          <w:numId w:val="3"/>
        </w:numPr>
        <w:spacing w:before="0" w:after="80"/>
      </w:pPr>
      <w:r>
        <w:rPr>
          <w:rFonts w:ascii="Arial" w:cs="Arial" w:eastAsia="Arial" w:hAnsi="Arial"/>
          <w:color w:val="4A4A4A"/>
          <w:sz w:val="20"/>
          <w:szCs w:val="20"/>
        </w:rPr>
        <w:t xml:space="preserve">The Genesis Seal payload was constructed and signed using the private key.</w:t>
      </w:r>
    </w:p>
    <w:p>
      <w:pPr>
        <w:pStyle w:val="ListParagraph"/>
        <w:numPr>
          <w:ilvl w:val="0"/>
          <w:numId w:val="3"/>
        </w:numPr>
        <w:spacing w:before="0" w:after="80"/>
      </w:pPr>
      <w:r>
        <w:rPr>
          <w:rFonts w:ascii="Arial" w:cs="Arial" w:eastAsia="Arial" w:hAnsi="Arial"/>
          <w:color w:val="4A4A4A"/>
          <w:sz w:val="20"/>
          <w:szCs w:val="20"/>
        </w:rPr>
        <w:t xml:space="preserve">The private key was printed to paper (two copies), placed in fireproof storage, and deleted from all digital media. The air-gapped machine was permanently decommissioned.</w:t>
      </w:r>
    </w:p>
    <w:p>
      <w:pPr>
        <w:pStyle w:val="ListParagraph"/>
        <w:numPr>
          <w:ilvl w:val="0"/>
          <w:numId w:val="3"/>
        </w:numPr>
        <w:spacing w:before="0" w:after="80"/>
      </w:pPr>
      <w:r>
        <w:rPr>
          <w:rFonts w:ascii="Arial" w:cs="Arial" w:eastAsia="Arial" w:hAnsi="Arial"/>
          <w:color w:val="4A4A4A"/>
          <w:sz w:val="20"/>
          <w:szCs w:val="20"/>
        </w:rPr>
        <w:t xml:space="preserve">The public key, DID, and Genesis Seal were committed to the IPP specification repository with a cryptographic timestamp from a trusted timestamping authority (RFC 3161).</w:t>
      </w:r>
    </w:p>
    <w:p>
      <w:pPr>
        <w:spacing w:before="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7A6E" w:sz="4"/>
              <w:left w:val="single" w:color="007A6E" w:sz="12"/>
              <w:bottom w:val="single" w:color="CCCCCC" w:sz="2"/>
              <w:right w:val="single" w:color="CCCCCC" w:sz="2"/>
            </w:tcBorders>
            <w:shd w:fill="F4F8F8" w:val="clear"/>
            <w:tcMar>
              <w:top w:type="dxa" w:w="100"/>
              <w:left w:type="dxa" w:w="180"/>
              <w:bottom w:type="dxa" w:w="100"/>
              <w:right w:type="dxa" w:w="180"/>
            </w:tcMar>
          </w:tcPr>
          <w:p>
            <w:pPr>
              <w:spacing w:before="0" w:after="60"/>
            </w:pPr>
            <w:r>
              <w:rPr>
                <w:rFonts w:ascii="Arial" w:cs="Arial" w:eastAsia="Arial" w:hAnsi="Arial"/>
                <w:b/>
                <w:bCs/>
                <w:color w:val="007A6E"/>
                <w:sz w:val="20"/>
                <w:szCs w:val="20"/>
              </w:rPr>
              <w:t xml:space="preserve">SECURITY NOTE:  </w:t>
            </w:r>
            <w:r>
              <w:rPr>
                <w:rFonts w:ascii="Arial" w:cs="Arial" w:eastAsia="Arial" w:hAnsi="Arial"/>
                <w:color w:val="4A4A4A"/>
                <w:sz w:val="20"/>
                <w:szCs w:val="20"/>
              </w:rPr>
              <w:t xml:space="preserve">The Founding Private Key is used exactly once. If the Founding Private Key is ever compromised or disclosed, a Key Compromise event MUST be declared via a signed notice published at https://ipp.khsovereign.com/security, and a successor key ceremony MUST be conducted. All tokens issued after the compromise date are unaffected — the Genesis Seal in those tokens was signed with the legitimate key.</w:t>
            </w:r>
          </w:p>
        </w:tc>
      </w:tr>
    </w:tbl>
    <w:p>
      <w:pPr>
        <w:spacing w:before="0" w:after="0"/>
      </w:pPr>
      <w:r>
        <w:t xml:space="preserve"/>
      </w:r>
    </w:p>
    <w:p>
      <w:pPr>
        <w:pStyle w:val="Heading2"/>
        <w:spacing w:before="240" w:after="80"/>
      </w:pPr>
      <w:r>
        <w:rPr>
          <w:rFonts w:ascii="Arial" w:cs="Arial" w:eastAsia="Arial" w:hAnsi="Arial"/>
          <w:b/>
          <w:bCs/>
          <w:color w:val="000000"/>
          <w:sz w:val="22"/>
          <w:szCs w:val="22"/>
        </w:rPr>
        <w:t xml:space="preserve">5.4.  Authorship Attribution Requirements</w:t>
      </w:r>
    </w:p>
    <w:p>
      <w:pPr>
        <w:spacing w:before="0" w:after="160"/>
        <w:jc w:val="both"/>
      </w:pPr>
      <w:r>
        <w:rPr>
          <w:rFonts w:ascii="Arial" w:cs="Arial" w:eastAsia="Arial" w:hAnsi="Arial"/>
          <w:color w:val="4A4A4A"/>
          <w:sz w:val="20"/>
          <w:szCs w:val="20"/>
        </w:rPr>
        <w:t xml:space="preserve">Any implementation, derivative protocol, or software product that uses, embeds, or interoperates with Intent Tokens MUST include the following attribution:</w:t>
      </w:r>
    </w:p>
    <w:p>
      <w:pPr>
        <w:spacing w:before="0" w:after="0"/>
      </w:pPr>
      <w:r>
        <w:t xml:space="preserve"/>
      </w:r>
    </w:p>
    <w:p>
      <w:pPr>
        <w:spacing w:before="0" w:after="0" w:line="240"/>
        <w:ind w:left="720"/>
      </w:pPr>
      <w:r>
        <w:rPr>
          <w:rFonts w:ascii="Courier New" w:cs="Courier New" w:eastAsia="Courier New" w:hAnsi="Courier New"/>
          <w:color w:val="000000"/>
          <w:sz w:val="18"/>
          <w:szCs w:val="18"/>
        </w:rPr>
        <w:t xml:space="preserve">Implements the Intent Provenance Protocol (IPP) v0.1,</w:t>
      </w:r>
    </w:p>
    <w:p>
      <w:pPr>
        <w:spacing w:before="0" w:after="0" w:line="240"/>
        <w:ind w:left="720"/>
      </w:pPr>
      <w:r>
        <w:rPr>
          <w:rFonts w:ascii="Courier New" w:cs="Courier New" w:eastAsia="Courier New" w:hAnsi="Courier New"/>
          <w:color w:val="000000"/>
          <w:sz w:val="18"/>
          <w:szCs w:val="18"/>
        </w:rPr>
        <w:t xml:space="preserve">authored by Amanda Haberkamp, KH Sovereign, Inc., 2026.</w:t>
      </w:r>
    </w:p>
    <w:p>
      <w:pPr>
        <w:spacing w:before="0" w:after="0" w:line="240"/>
        <w:ind w:left="720"/>
      </w:pPr>
      <w:r>
        <w:rPr>
          <w:rFonts w:ascii="Courier New" w:cs="Courier New" w:eastAsia="Courier New" w:hAnsi="Courier New"/>
          <w:color w:val="000000"/>
          <w:sz w:val="18"/>
          <w:szCs w:val="18"/>
        </w:rPr>
        <w:t xml:space="preserve">https://ipp.khsovereign.com</w:t>
      </w:r>
    </w:p>
    <w:p>
      <w:pPr>
        <w:spacing w:before="0" w:after="0"/>
      </w:pPr>
      <w:r>
        <w:t xml:space="preserve"/>
      </w:r>
    </w:p>
    <w:p>
      <w:pPr>
        <w:spacing w:before="0" w:after="160"/>
        <w:jc w:val="both"/>
      </w:pPr>
      <w:r>
        <w:rPr>
          <w:rFonts w:ascii="Arial" w:cs="Arial" w:eastAsia="Arial" w:hAnsi="Arial"/>
          <w:color w:val="4A4A4A"/>
          <w:sz w:val="20"/>
          <w:szCs w:val="20"/>
        </w:rPr>
        <w:t xml:space="preserve">Implementations that correctly embed the Genesis Seal in every token they produce satisfy this attribution requirement at the token level. Human-readable attribution in documentation, about pages, or license notices is additionally REQUIRED.</w:t>
      </w:r>
    </w:p>
    <w:p>
      <w:pPr>
        <w:spacing w:before="0" w:after="0"/>
      </w:pPr>
      <w:r>
        <w:t xml:space="preserve"/>
      </w:r>
    </w:p>
    <w:p>
      <w:pPr>
        <w:pStyle w:val="Heading1"/>
        <w:spacing w:before="320" w:after="120"/>
      </w:pPr>
      <w:r>
        <w:rPr>
          <w:rFonts w:ascii="Arial" w:cs="Arial" w:eastAsia="Arial" w:hAnsi="Arial"/>
          <w:b/>
          <w:bCs/>
          <w:color w:val="000000"/>
          <w:sz w:val="26"/>
          <w:szCs w:val="26"/>
        </w:rPr>
        <w:t xml:space="preserve">6.  Cryptographic Mechanisms</w:t>
      </w:r>
    </w:p>
    <w:p>
      <w:pPr>
        <w:pStyle w:val="Heading2"/>
        <w:spacing w:before="240" w:after="80"/>
      </w:pPr>
      <w:r>
        <w:rPr>
          <w:rFonts w:ascii="Arial" w:cs="Arial" w:eastAsia="Arial" w:hAnsi="Arial"/>
          <w:b/>
          <w:bCs/>
          <w:color w:val="000000"/>
          <w:sz w:val="22"/>
          <w:szCs w:val="22"/>
        </w:rPr>
        <w:t xml:space="preserve">6.1.  Signature Algorithm</w:t>
      </w:r>
    </w:p>
    <w:p>
      <w:pPr>
        <w:spacing w:before="0" w:after="160"/>
        <w:jc w:val="both"/>
      </w:pPr>
      <w:r>
        <w:rPr>
          <w:rFonts w:ascii="Arial" w:cs="Arial" w:eastAsia="Arial" w:hAnsi="Arial"/>
          <w:color w:val="4A4A4A"/>
          <w:sz w:val="20"/>
          <w:szCs w:val="20"/>
        </w:rPr>
        <w:t xml:space="preserve">All signatures in this protocol MUST use Ed25519 as defined in RFC 8032. Ed25519 is chosen for its combination of high security (128-bit security level), small key and signature sizes (32-byte keys, 64-byte signatures), fast verification, and resistance to side-channel attacks.</w:t>
      </w:r>
    </w:p>
    <w:p>
      <w:pPr>
        <w:spacing w:before="0" w:after="160"/>
        <w:jc w:val="both"/>
      </w:pPr>
      <w:r>
        <w:rPr>
          <w:rFonts w:ascii="Arial" w:cs="Arial" w:eastAsia="Arial" w:hAnsi="Arial"/>
          <w:color w:val="4A4A4A"/>
          <w:sz w:val="20"/>
          <w:szCs w:val="20"/>
        </w:rPr>
        <w:t xml:space="preserve">Signature values are encoded as Base64URL without padding, prefixed with 'ed25519:'. Example: ed25519:47DEQpj8HBSa-_TImW-5JCeuQeRkm5NMpJWZG3hSuFU</w:t>
      </w:r>
    </w:p>
    <w:p>
      <w:pPr>
        <w:spacing w:before="0" w:after="160"/>
        <w:jc w:val="both"/>
      </w:pPr>
      <w:r>
        <w:rPr>
          <w:rFonts w:ascii="Arial" w:cs="Arial" w:eastAsia="Arial" w:hAnsi="Arial"/>
          <w:color w:val="4A4A4A"/>
          <w:sz w:val="20"/>
          <w:szCs w:val="20"/>
        </w:rPr>
        <w:t xml:space="preserve">The canonical serialization for signing MUST be produced by: (1) removing the token_signature field, (2) sorting all keys lexicographically at every nesting level, (3) serializing to JSON with no extraneous whitespace, and (4) encoding as UTF-8. This ensures deterministic serialization across all conformant implementations.</w:t>
      </w:r>
    </w:p>
    <w:p>
      <w:pPr>
        <w:pStyle w:val="Heading2"/>
        <w:spacing w:before="240" w:after="80"/>
      </w:pPr>
      <w:r>
        <w:rPr>
          <w:rFonts w:ascii="Arial" w:cs="Arial" w:eastAsia="Arial" w:hAnsi="Arial"/>
          <w:b/>
          <w:bCs/>
          <w:color w:val="000000"/>
          <w:sz w:val="22"/>
          <w:szCs w:val="22"/>
        </w:rPr>
        <w:t xml:space="preserve">6.2.  Decentralized Identifiers (DIDs)</w:t>
      </w:r>
    </w:p>
    <w:p>
      <w:pPr>
        <w:spacing w:before="0" w:after="160"/>
        <w:jc w:val="both"/>
      </w:pPr>
      <w:r>
        <w:rPr>
          <w:rFonts w:ascii="Arial" w:cs="Arial" w:eastAsia="Arial" w:hAnsi="Arial"/>
          <w:color w:val="4A4A4A"/>
          <w:sz w:val="20"/>
          <w:szCs w:val="20"/>
        </w:rPr>
        <w:t xml:space="preserve">All Principal and Agent identities MUST be expressed as DIDs conforming to the W3C DID Core specification. This specification recommends the did:key method for its self-sovereign properties — a did:key DID requires no external registry and is fully resolvable from the key material alone.</w:t>
      </w:r>
    </w:p>
    <w:p>
      <w:pPr>
        <w:spacing w:before="0" w:after="160"/>
        <w:jc w:val="both"/>
      </w:pPr>
      <w:r>
        <w:rPr>
          <w:rFonts w:ascii="Arial" w:cs="Arial" w:eastAsia="Arial" w:hAnsi="Arial"/>
          <w:color w:val="4A4A4A"/>
          <w:sz w:val="20"/>
          <w:szCs w:val="20"/>
        </w:rPr>
        <w:t xml:space="preserve">Implementations MAY additionally support did:web, did:ion, or other conformant DID methods provided they satisfy the following requirements: (a) the DID is resolvable without requiring communication with the token issuer; (b) the resolved DID document contains a verificationMethod with the public key material; and (c) the DID is persistent — it does not become unresolvable if a registry is decommissioned.</w:t>
      </w:r>
    </w:p>
    <w:p>
      <w:pPr>
        <w:pStyle w:val="Heading2"/>
        <w:spacing w:before="240" w:after="80"/>
      </w:pPr>
      <w:r>
        <w:rPr>
          <w:rFonts w:ascii="Arial" w:cs="Arial" w:eastAsia="Arial" w:hAnsi="Arial"/>
          <w:b/>
          <w:bCs/>
          <w:color w:val="000000"/>
          <w:sz w:val="22"/>
          <w:szCs w:val="22"/>
        </w:rPr>
        <w:t xml:space="preserve">6.3.  Hash Functions</w:t>
      </w:r>
    </w:p>
    <w:p>
      <w:pPr>
        <w:spacing w:before="0" w:after="160"/>
        <w:jc w:val="both"/>
      </w:pPr>
      <w:r>
        <w:rPr>
          <w:rFonts w:ascii="Arial" w:cs="Arial" w:eastAsia="Arial" w:hAnsi="Arial"/>
          <w:color w:val="4A4A4A"/>
          <w:sz w:val="20"/>
          <w:szCs w:val="20"/>
        </w:rPr>
        <w:t xml:space="preserve">All hash operations in this specification use SHA3-256 (FIPS 202). SHA3-256 is chosen over SHA2-256 for its different internal structure, providing defense-in-depth against any future weaknesses discovered in SHA2-family functions.</w:t>
      </w:r>
    </w:p>
    <w:p>
      <w:pPr>
        <w:spacing w:before="0" w:after="160"/>
        <w:jc w:val="both"/>
      </w:pPr>
      <w:r>
        <w:rPr>
          <w:rFonts w:ascii="Arial" w:cs="Arial" w:eastAsia="Arial" w:hAnsi="Arial"/>
          <w:color w:val="4A4A4A"/>
          <w:sz w:val="20"/>
          <w:szCs w:val="20"/>
        </w:rPr>
        <w:t xml:space="preserve">Hash values are represented as lowercase hexadecimal strings prefixed with 'sha3-256:'.</w:t>
      </w:r>
    </w:p>
    <w:p>
      <w:pPr>
        <w:pStyle w:val="Heading2"/>
        <w:spacing w:before="240" w:after="80"/>
      </w:pPr>
      <w:r>
        <w:rPr>
          <w:rFonts w:ascii="Arial" w:cs="Arial" w:eastAsia="Arial" w:hAnsi="Arial"/>
          <w:b/>
          <w:bCs/>
          <w:color w:val="000000"/>
          <w:sz w:val="22"/>
          <w:szCs w:val="22"/>
        </w:rPr>
        <w:t xml:space="preserve">6.4.  The Narrowing Invariant</w:t>
      </w:r>
    </w:p>
    <w:p>
      <w:pPr>
        <w:spacing w:before="0" w:after="160"/>
        <w:jc w:val="both"/>
      </w:pPr>
      <w:r>
        <w:rPr>
          <w:rFonts w:ascii="Arial" w:cs="Arial" w:eastAsia="Arial" w:hAnsi="Arial"/>
          <w:color w:val="4A4A4A"/>
          <w:sz w:val="20"/>
          <w:szCs w:val="20"/>
        </w:rPr>
        <w:t xml:space="preserve">The Narrowing Invariant is the central enforcement mechanism of the delegation system. It states: for any Derived Token D with Parent Token P, the following MUST hold for every dimension of the token:</w:t>
      </w:r>
    </w:p>
    <w:p>
      <w:pPr>
        <w:spacing w:before="0" w:after="0"/>
      </w:pPr>
      <w:r>
        <w:t xml:space="preserve"/>
      </w:r>
    </w:p>
    <w:p>
      <w:pPr>
        <w:spacing w:before="0" w:after="0" w:line="240"/>
        <w:ind w:left="720"/>
      </w:pPr>
      <w:r>
        <w:rPr>
          <w:rFonts w:ascii="Courier New" w:cs="Courier New" w:eastAsia="Courier New" w:hAnsi="Courier New"/>
          <w:color w:val="000000"/>
          <w:sz w:val="18"/>
          <w:szCs w:val="18"/>
        </w:rPr>
        <w:t xml:space="preserve">D.expires_at          &lt;= P.expires_at</w:t>
      </w:r>
    </w:p>
    <w:p>
      <w:pPr>
        <w:spacing w:before="0" w:after="0" w:line="240"/>
        <w:ind w:left="720"/>
      </w:pPr>
      <w:r>
        <w:rPr>
          <w:rFonts w:ascii="Courier New" w:cs="Courier New" w:eastAsia="Courier New" w:hAnsi="Courier New"/>
          <w:color w:val="000000"/>
          <w:sz w:val="18"/>
          <w:szCs w:val="18"/>
        </w:rPr>
        <w:t xml:space="preserve">D.delegation.depth    &lt;  P.delegation.depth</w:t>
      </w:r>
    </w:p>
    <w:p>
      <w:pPr>
        <w:spacing w:before="0" w:after="0" w:line="240"/>
        <w:ind w:left="720"/>
      </w:pPr>
      <w:r>
        <w:rPr>
          <w:rFonts w:ascii="Courier New" w:cs="Courier New" w:eastAsia="Courier New" w:hAnsi="Courier New"/>
          <w:color w:val="000000"/>
          <w:sz w:val="18"/>
          <w:szCs w:val="18"/>
        </w:rPr>
        <w:t xml:space="preserve">D.intent.domain       is a sub-domain of P.intent.domain</w:t>
      </w:r>
    </w:p>
    <w:p>
      <w:pPr>
        <w:spacing w:before="0" w:after="0" w:line="240"/>
        <w:ind w:left="720"/>
      </w:pPr>
      <w:r>
        <w:rPr>
          <w:rFonts w:ascii="Courier New" w:cs="Courier New" w:eastAsia="Courier New" w:hAnsi="Courier New"/>
          <w:color w:val="000000"/>
          <w:sz w:val="18"/>
          <w:szCs w:val="18"/>
        </w:rPr>
        <w:t xml:space="preserve">D.intent.resource_scope ⊆ P.intent.resource_scope</w:t>
      </w:r>
    </w:p>
    <w:p>
      <w:pPr>
        <w:spacing w:before="0" w:after="0" w:line="240"/>
        <w:ind w:left="720"/>
      </w:pPr>
      <w:r>
        <w:rPr>
          <w:rFonts w:ascii="Courier New" w:cs="Courier New" w:eastAsia="Courier New" w:hAnsi="Courier New"/>
          <w:color w:val="000000"/>
          <w:sz w:val="18"/>
          <w:szCs w:val="18"/>
        </w:rPr>
        <w:t xml:space="preserve">D.intent.quantitative_bounds ⊆ P.intent.quantitative_bounds</w:t>
      </w:r>
    </w:p>
    <w:p>
      <w:pPr>
        <w:spacing w:before="0" w:after="0" w:line="240"/>
        <w:ind w:left="720"/>
      </w:pPr>
      <w:r>
        <w:rPr>
          <w:rFonts w:ascii="Courier New" w:cs="Courier New" w:eastAsia="Courier New" w:hAnsi="Courier New"/>
          <w:color w:val="000000"/>
          <w:sz w:val="18"/>
          <w:szCs w:val="18"/>
        </w:rPr>
        <w:t xml:space="preserve">D.intent.prohibited_actions ⊇ P.intent.prohibited_actions</w:t>
      </w:r>
    </w:p>
    <w:p>
      <w:pPr>
        <w:spacing w:before="0" w:after="0"/>
      </w:pPr>
      <w:r>
        <w:t xml:space="preserve"/>
      </w:r>
    </w:p>
    <w:p>
      <w:pPr>
        <w:spacing w:before="0" w:after="160"/>
        <w:jc w:val="both"/>
      </w:pPr>
      <w:r>
        <w:rPr>
          <w:rFonts w:ascii="Arial" w:cs="Arial" w:eastAsia="Arial" w:hAnsi="Arial"/>
          <w:color w:val="4A4A4A"/>
          <w:sz w:val="20"/>
          <w:szCs w:val="20"/>
        </w:rPr>
        <w:t xml:space="preserve">The narrowing_proof field in the delegation object of a Derived Token contains a signed assertion by the parent agent that the Derived Token satisfies this invariant. Any receiving agent MUST independently verify this assertion before accepting the Derived Token. Verification failure MUST result in token rejection.</w:t>
      </w:r>
    </w:p>
    <w:p>
      <w:pPr>
        <w:spacing w:before="0" w:after="0"/>
      </w:pPr>
      <w:r>
        <w:t xml:space="preserve"/>
      </w:r>
    </w:p>
    <w:p>
      <w:pPr>
        <w:pStyle w:val="Heading1"/>
        <w:spacing w:before="320" w:after="120"/>
      </w:pPr>
      <w:r>
        <w:rPr>
          <w:rFonts w:ascii="Arial" w:cs="Arial" w:eastAsia="Arial" w:hAnsi="Arial"/>
          <w:b/>
          <w:bCs/>
          <w:color w:val="000000"/>
          <w:sz w:val="26"/>
          <w:szCs w:val="26"/>
        </w:rPr>
        <w:t xml:space="preserve">7.  Delegation and Derived Tokens</w:t>
      </w:r>
    </w:p>
    <w:p>
      <w:pPr>
        <w:pStyle w:val="Heading2"/>
        <w:spacing w:before="240" w:after="80"/>
      </w:pPr>
      <w:r>
        <w:rPr>
          <w:rFonts w:ascii="Arial" w:cs="Arial" w:eastAsia="Arial" w:hAnsi="Arial"/>
          <w:b/>
          <w:bCs/>
          <w:color w:val="000000"/>
          <w:sz w:val="22"/>
          <w:szCs w:val="22"/>
        </w:rPr>
        <w:t xml:space="preserve">7.1.  Derivation Rules</w:t>
      </w:r>
    </w:p>
    <w:p>
      <w:pPr>
        <w:spacing w:before="0" w:after="160"/>
        <w:jc w:val="both"/>
      </w:pPr>
      <w:r>
        <w:rPr>
          <w:rFonts w:ascii="Arial" w:cs="Arial" w:eastAsia="Arial" w:hAnsi="Arial"/>
          <w:color w:val="4A4A4A"/>
          <w:sz w:val="20"/>
          <w:szCs w:val="20"/>
        </w:rPr>
        <w:t xml:space="preserve">When an agent derives a child token from a parent, it MUST:</w:t>
      </w:r>
    </w:p>
    <w:p>
      <w:pPr>
        <w:pStyle w:val="ListParagraph"/>
        <w:numPr>
          <w:ilvl w:val="0"/>
          <w:numId w:val="3"/>
        </w:numPr>
        <w:spacing w:before="0" w:after="80"/>
      </w:pPr>
      <w:r>
        <w:rPr>
          <w:rFonts w:ascii="Arial" w:cs="Arial" w:eastAsia="Arial" w:hAnsi="Arial"/>
          <w:color w:val="4A4A4A"/>
          <w:sz w:val="20"/>
          <w:szCs w:val="20"/>
        </w:rPr>
        <w:t xml:space="preserve">Set parent_token_id to the token_id of the parent.</w:t>
      </w:r>
    </w:p>
    <w:p>
      <w:pPr>
        <w:pStyle w:val="ListParagraph"/>
        <w:numPr>
          <w:ilvl w:val="0"/>
          <w:numId w:val="3"/>
        </w:numPr>
        <w:spacing w:before="0" w:after="80"/>
      </w:pPr>
      <w:r>
        <w:rPr>
          <w:rFonts w:ascii="Arial" w:cs="Arial" w:eastAsia="Arial" w:hAnsi="Arial"/>
          <w:color w:val="4A4A4A"/>
          <w:sz w:val="20"/>
          <w:szCs w:val="20"/>
        </w:rPr>
        <w:t xml:space="preserve">Reduce depth_remaining by exactly one.</w:t>
      </w:r>
    </w:p>
    <w:p>
      <w:pPr>
        <w:pStyle w:val="ListParagraph"/>
        <w:numPr>
          <w:ilvl w:val="0"/>
          <w:numId w:val="3"/>
        </w:numPr>
        <w:spacing w:before="0" w:after="80"/>
      </w:pPr>
      <w:r>
        <w:rPr>
          <w:rFonts w:ascii="Arial" w:cs="Arial" w:eastAsia="Arial" w:hAnsi="Arial"/>
          <w:color w:val="4A4A4A"/>
          <w:sz w:val="20"/>
          <w:szCs w:val="20"/>
        </w:rPr>
        <w:t xml:space="preserve">Set the intent scope to a subset of the parent's scope, satisfying the Narrowing Invariant.</w:t>
      </w:r>
    </w:p>
    <w:p>
      <w:pPr>
        <w:pStyle w:val="ListParagraph"/>
        <w:numPr>
          <w:ilvl w:val="0"/>
          <w:numId w:val="3"/>
        </w:numPr>
        <w:spacing w:before="0" w:after="80"/>
      </w:pPr>
      <w:r>
        <w:rPr>
          <w:rFonts w:ascii="Arial" w:cs="Arial" w:eastAsia="Arial" w:hAnsi="Arial"/>
          <w:color w:val="4A4A4A"/>
          <w:sz w:val="20"/>
          <w:szCs w:val="20"/>
        </w:rPr>
        <w:t xml:space="preserve">Set expires_at to be no later than the parent's expires_at.</w:t>
      </w:r>
    </w:p>
    <w:p>
      <w:pPr>
        <w:pStyle w:val="ListParagraph"/>
        <w:numPr>
          <w:ilvl w:val="0"/>
          <w:numId w:val="3"/>
        </w:numPr>
        <w:spacing w:before="0" w:after="80"/>
      </w:pPr>
      <w:r>
        <w:rPr>
          <w:rFonts w:ascii="Arial" w:cs="Arial" w:eastAsia="Arial" w:hAnsi="Arial"/>
          <w:color w:val="4A4A4A"/>
          <w:sz w:val="20"/>
          <w:szCs w:val="20"/>
        </w:rPr>
        <w:t xml:space="preserve">Set the agent_id to a unique identifier for the spawned sub-agent.</w:t>
      </w:r>
    </w:p>
    <w:p>
      <w:pPr>
        <w:pStyle w:val="ListParagraph"/>
        <w:numPr>
          <w:ilvl w:val="0"/>
          <w:numId w:val="3"/>
        </w:numPr>
        <w:spacing w:before="0" w:after="80"/>
      </w:pPr>
      <w:r>
        <w:rPr>
          <w:rFonts w:ascii="Arial" w:cs="Arial" w:eastAsia="Arial" w:hAnsi="Arial"/>
          <w:color w:val="4A4A4A"/>
          <w:sz w:val="20"/>
          <w:szCs w:val="20"/>
        </w:rPr>
        <w:t xml:space="preserve">Compute and embed a valid narrowing_proof.</w:t>
      </w:r>
    </w:p>
    <w:p>
      <w:pPr>
        <w:pStyle w:val="ListParagraph"/>
        <w:numPr>
          <w:ilvl w:val="0"/>
          <w:numId w:val="3"/>
        </w:numPr>
        <w:spacing w:before="0" w:after="80"/>
      </w:pPr>
      <w:r>
        <w:rPr>
          <w:rFonts w:ascii="Arial" w:cs="Arial" w:eastAsia="Arial" w:hAnsi="Arial"/>
          <w:color w:val="4A4A4A"/>
          <w:sz w:val="20"/>
          <w:szCs w:val="20"/>
        </w:rPr>
        <w:t xml:space="preserve">Sign the new token with the parent agent's private key.</w:t>
      </w:r>
    </w:p>
    <w:p>
      <w:pPr>
        <w:pStyle w:val="ListParagraph"/>
        <w:numPr>
          <w:ilvl w:val="0"/>
          <w:numId w:val="3"/>
        </w:numPr>
        <w:spacing w:before="0" w:after="80"/>
      </w:pPr>
      <w:r>
        <w:rPr>
          <w:rFonts w:ascii="Arial" w:cs="Arial" w:eastAsia="Arial" w:hAnsi="Arial"/>
          <w:color w:val="4A4A4A"/>
          <w:sz w:val="20"/>
          <w:szCs w:val="20"/>
        </w:rPr>
        <w:t xml:space="preserve">Link the genesis field identically to the parent — the Genesis Seal is never re-derived; it propagates unchanged.</w:t>
      </w:r>
    </w:p>
    <w:p>
      <w:pPr>
        <w:spacing w:before="0" w:after="0"/>
      </w:pPr>
      <w:r>
        <w:t xml:space="preserve"/>
      </w:r>
    </w:p>
    <w:p>
      <w:pPr>
        <w:pStyle w:val="Heading2"/>
        <w:spacing w:before="240" w:after="80"/>
      </w:pPr>
      <w:r>
        <w:rPr>
          <w:rFonts w:ascii="Arial" w:cs="Arial" w:eastAsia="Arial" w:hAnsi="Arial"/>
          <w:b/>
          <w:bCs/>
          <w:color w:val="000000"/>
          <w:sz w:val="22"/>
          <w:szCs w:val="22"/>
        </w:rPr>
        <w:t xml:space="preserve">7.2.  Delegation Depth</w:t>
      </w:r>
    </w:p>
    <w:p>
      <w:pPr>
        <w:spacing w:before="0" w:after="160"/>
        <w:jc w:val="both"/>
      </w:pPr>
      <w:r>
        <w:rPr>
          <w:rFonts w:ascii="Arial" w:cs="Arial" w:eastAsia="Arial" w:hAnsi="Arial"/>
          <w:color w:val="4A4A4A"/>
          <w:sz w:val="20"/>
          <w:szCs w:val="20"/>
        </w:rPr>
        <w:t xml:space="preserve">The depth_remaining field represents the number of additional sub-agent spawning levels authorized. An agent holding a token with depth_remaining = 0 MAY act under the token but MUST NOT issue Derived Tokens. Attempting to issue a Derived Token from a depth_remaining = 0 token is a protocol violation.</w:t>
      </w:r>
    </w:p>
    <w:p>
      <w:pPr>
        <w:spacing w:before="0" w:after="160"/>
        <w:jc w:val="both"/>
      </w:pPr>
      <w:r>
        <w:rPr>
          <w:rFonts w:ascii="Arial" w:cs="Arial" w:eastAsia="Arial" w:hAnsi="Arial"/>
          <w:color w:val="4A4A4A"/>
          <w:sz w:val="20"/>
          <w:szCs w:val="20"/>
        </w:rPr>
        <w:t xml:space="preserve">The depth_original field records the delegation depth set by the original Principal and is preserved across all derived tokens. This allows auditors to determine how deep in the delegation chain any given token sits.</w:t>
      </w:r>
    </w:p>
    <w:p>
      <w:pPr>
        <w:pStyle w:val="Heading2"/>
        <w:spacing w:before="240" w:after="80"/>
      </w:pPr>
      <w:r>
        <w:rPr>
          <w:rFonts w:ascii="Arial" w:cs="Arial" w:eastAsia="Arial" w:hAnsi="Arial"/>
          <w:b/>
          <w:bCs/>
          <w:color w:val="000000"/>
          <w:sz w:val="22"/>
          <w:szCs w:val="22"/>
        </w:rPr>
        <w:t xml:space="preserve">7.3.  Sub-Agent Spawning</w:t>
      </w:r>
    </w:p>
    <w:p>
      <w:pPr>
        <w:spacing w:before="0" w:after="160"/>
        <w:jc w:val="both"/>
      </w:pPr>
      <w:r>
        <w:rPr>
          <w:rFonts w:ascii="Arial" w:cs="Arial" w:eastAsia="Arial" w:hAnsi="Arial"/>
          <w:color w:val="4A4A4A"/>
          <w:sz w:val="20"/>
          <w:szCs w:val="20"/>
        </w:rPr>
        <w:t xml:space="preserve">An agent spawning a sub-agent MUST provide the Derived Token to the sub-agent as its authorization credential. The sub-agent MUST NOT accept instructions that are inconsistent with its token's intent scope, even if those instructions come from the spawning parent agent. The token is the authority — not the parent agent.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7A6E" w:sz="4"/>
              <w:left w:val="single" w:color="007A6E" w:sz="12"/>
              <w:bottom w:val="single" w:color="CCCCCC" w:sz="2"/>
              <w:right w:val="single" w:color="CCCCCC" w:sz="2"/>
            </w:tcBorders>
            <w:shd w:fill="F4F8F8" w:val="clear"/>
            <w:tcMar>
              <w:top w:type="dxa" w:w="100"/>
              <w:left w:type="dxa" w:w="180"/>
              <w:bottom w:type="dxa" w:w="100"/>
              <w:right w:type="dxa" w:w="180"/>
            </w:tcMar>
          </w:tcPr>
          <w:p>
            <w:pPr>
              <w:spacing w:before="0" w:after="60"/>
            </w:pPr>
            <w:r>
              <w:rPr>
                <w:rFonts w:ascii="Arial" w:cs="Arial" w:eastAsia="Arial" w:hAnsi="Arial"/>
                <w:b/>
                <w:bCs/>
                <w:color w:val="007A6E"/>
                <w:sz w:val="20"/>
                <w:szCs w:val="20"/>
              </w:rPr>
              <w:t xml:space="preserve">CRITICAL SECURITY PROPERTY:  </w:t>
            </w:r>
            <w:r>
              <w:rPr>
                <w:rFonts w:ascii="Arial" w:cs="Arial" w:eastAsia="Arial" w:hAnsi="Arial"/>
                <w:color w:val="4A4A4A"/>
                <w:sz w:val="20"/>
                <w:szCs w:val="20"/>
              </w:rPr>
              <w:t xml:space="preserve">An agent MUST refuse instructions from any source — including its parent agent — that would require it to act outside its token's authorized scope. This ensures that a compromised parent agent cannot instruct a sub-agent to exceed the scope originally authorized by the human Principal.</w:t>
            </w:r>
          </w:p>
        </w:tc>
      </w:tr>
    </w:tbl>
    <w:p>
      <w:pPr>
        <w:spacing w:before="0" w:after="0"/>
      </w:pPr>
      <w:r>
        <w:t xml:space="preserve"/>
      </w:r>
    </w:p>
    <w:p>
      <w:pPr>
        <w:pStyle w:val="Heading1"/>
        <w:spacing w:before="320" w:after="120"/>
      </w:pPr>
      <w:r>
        <w:rPr>
          <w:rFonts w:ascii="Arial" w:cs="Arial" w:eastAsia="Arial" w:hAnsi="Arial"/>
          <w:b/>
          <w:bCs/>
          <w:color w:val="000000"/>
          <w:sz w:val="26"/>
          <w:szCs w:val="26"/>
        </w:rPr>
        <w:t xml:space="preserve">8.  Revocation</w:t>
      </w:r>
    </w:p>
    <w:p>
      <w:pPr>
        <w:pStyle w:val="Heading2"/>
        <w:spacing w:before="240" w:after="80"/>
      </w:pPr>
      <w:r>
        <w:rPr>
          <w:rFonts w:ascii="Arial" w:cs="Arial" w:eastAsia="Arial" w:hAnsi="Arial"/>
          <w:b/>
          <w:bCs/>
          <w:color w:val="000000"/>
          <w:sz w:val="22"/>
          <w:szCs w:val="22"/>
        </w:rPr>
        <w:t xml:space="preserve">8.1.  Revocation Registry</w:t>
      </w:r>
    </w:p>
    <w:p>
      <w:pPr>
        <w:spacing w:before="0" w:after="160"/>
        <w:jc w:val="both"/>
      </w:pPr>
      <w:r>
        <w:rPr>
          <w:rFonts w:ascii="Arial" w:cs="Arial" w:eastAsia="Arial" w:hAnsi="Arial"/>
          <w:color w:val="4A4A4A"/>
          <w:sz w:val="20"/>
          <w:szCs w:val="20"/>
        </w:rPr>
        <w:t xml:space="preserve">The Revocation Registry is a distributed service that accepts token revocation notices from authorized principals and returns revocation status for token IDs. The registry endpoint is specified in the revocation field of every token.</w:t>
      </w:r>
    </w:p>
    <w:p>
      <w:pPr>
        <w:spacing w:before="0" w:after="160"/>
        <w:jc w:val="both"/>
      </w:pPr>
      <w:r>
        <w:rPr>
          <w:rFonts w:ascii="Arial" w:cs="Arial" w:eastAsia="Arial" w:hAnsi="Arial"/>
          <w:color w:val="4A4A4A"/>
          <w:sz w:val="20"/>
          <w:szCs w:val="20"/>
        </w:rPr>
        <w:t xml:space="preserve">Revocation is keyed on token_id_hash — the SHA3-256 hash of the token_id — rather than the token_id itself, to prevent the registry from constructing a map of all active tokens in the ecosystem. This preserves privacy while maintaining revocability.</w:t>
      </w:r>
    </w:p>
    <w:p>
      <w:pPr>
        <w:pStyle w:val="Heading2"/>
        <w:spacing w:before="240" w:after="80"/>
      </w:pPr>
      <w:r>
        <w:rPr>
          <w:rFonts w:ascii="Arial" w:cs="Arial" w:eastAsia="Arial" w:hAnsi="Arial"/>
          <w:b/>
          <w:bCs/>
          <w:color w:val="000000"/>
          <w:sz w:val="22"/>
          <w:szCs w:val="22"/>
        </w:rPr>
        <w:t xml:space="preserve">8.2.  Polling Requirements</w:t>
      </w:r>
    </w:p>
    <w:p>
      <w:pPr>
        <w:spacing w:before="0" w:after="160"/>
        <w:jc w:val="both"/>
      </w:pPr>
      <w:r>
        <w:rPr>
          <w:rFonts w:ascii="Arial" w:cs="Arial" w:eastAsia="Arial" w:hAnsi="Arial"/>
          <w:color w:val="4A4A4A"/>
          <w:sz w:val="20"/>
          <w:szCs w:val="20"/>
        </w:rPr>
        <w:t xml:space="preserve">Agents MUST poll the revocation registry at the interval specified by check_interval_ms before taking any action. The RECOMMENDED default interval is 5000 milliseconds. For high-stakes actions (financial transactions above defined thresholds, data deletion, external communications), agents SHOULD check revocation immediately before the action regardless of the polling interval.</w:t>
      </w:r>
    </w:p>
    <w:p>
      <w:pPr>
        <w:spacing w:before="0" w:after="160"/>
        <w:jc w:val="both"/>
      </w:pPr>
      <w:r>
        <w:rPr>
          <w:rFonts w:ascii="Arial" w:cs="Arial" w:eastAsia="Arial" w:hAnsi="Arial"/>
          <w:color w:val="4A4A4A"/>
          <w:sz w:val="20"/>
          <w:szCs w:val="20"/>
        </w:rPr>
        <w:t xml:space="preserve">If the revocation registry is unreachable, agents MUST NOT proceed with actions unless the token contains an offline_grace_period_ms field and the offline duration is within that grace period. Agents MUST NOT cache a 'not revoked' status beyond the polling interval.</w:t>
      </w:r>
    </w:p>
    <w:p>
      <w:pPr>
        <w:pStyle w:val="Heading2"/>
        <w:spacing w:before="240" w:after="80"/>
      </w:pPr>
      <w:r>
        <w:rPr>
          <w:rFonts w:ascii="Arial" w:cs="Arial" w:eastAsia="Arial" w:hAnsi="Arial"/>
          <w:b/>
          <w:bCs/>
          <w:color w:val="000000"/>
          <w:sz w:val="22"/>
          <w:szCs w:val="22"/>
        </w:rPr>
        <w:t xml:space="preserve">8.3.  Mid-Chain Revocation</w:t>
      </w:r>
    </w:p>
    <w:p>
      <w:pPr>
        <w:spacing w:before="0" w:after="160"/>
        <w:jc w:val="both"/>
      </w:pPr>
      <w:r>
        <w:rPr>
          <w:rFonts w:ascii="Arial" w:cs="Arial" w:eastAsia="Arial" w:hAnsi="Arial"/>
          <w:color w:val="4A4A4A"/>
          <w:sz w:val="20"/>
          <w:szCs w:val="20"/>
        </w:rPr>
        <w:t xml:space="preserve">Revocation of a parent token MUST propagate to all derived tokens. The registry MUST maintain the full ancestry tree of token derivation so that when a root or intermediate token is revoked, all descendant tokens are simultaneously marked as revoked. Agents that have cached a non-revoked status for a descendant token MUST invalidate that cache on the next polling cycle.</w:t>
      </w:r>
    </w:p>
    <w:p>
      <w:pPr>
        <w:spacing w:before="0" w:after="0"/>
      </w:pPr>
      <w:r>
        <w:t xml:space="preserve"/>
      </w:r>
    </w:p>
    <w:p>
      <w:pPr>
        <w:pStyle w:val="Heading1"/>
        <w:spacing w:before="320" w:after="120"/>
      </w:pPr>
      <w:r>
        <w:rPr>
          <w:rFonts w:ascii="Arial" w:cs="Arial" w:eastAsia="Arial" w:hAnsi="Arial"/>
          <w:b/>
          <w:bCs/>
          <w:color w:val="000000"/>
          <w:sz w:val="26"/>
          <w:szCs w:val="26"/>
        </w:rPr>
        <w:t xml:space="preserve">9.  Provenance Chain</w:t>
      </w:r>
    </w:p>
    <w:p>
      <w:pPr>
        <w:pStyle w:val="Heading2"/>
        <w:spacing w:before="240" w:after="80"/>
      </w:pPr>
      <w:r>
        <w:rPr>
          <w:rFonts w:ascii="Arial" w:cs="Arial" w:eastAsia="Arial" w:hAnsi="Arial"/>
          <w:b/>
          <w:bCs/>
          <w:color w:val="000000"/>
          <w:sz w:val="22"/>
          <w:szCs w:val="22"/>
        </w:rPr>
        <w:t xml:space="preserve">9.1.  Append-Only Structure</w:t>
      </w:r>
    </w:p>
    <w:p>
      <w:pPr>
        <w:spacing w:before="0" w:after="160"/>
        <w:jc w:val="both"/>
      </w:pPr>
      <w:r>
        <w:rPr>
          <w:rFonts w:ascii="Arial" w:cs="Arial" w:eastAsia="Arial" w:hAnsi="Arial"/>
          <w:color w:val="4A4A4A"/>
          <w:sz w:val="20"/>
          <w:szCs w:val="20"/>
        </w:rPr>
        <w:t xml:space="preserve">The provenance_chain is an append-only array. Agents MUST append a record to the chain before taking any action under the token. Records MUST NOT be modified or removed once appended. Each record is signed by the acting agent, creating a cryptographically linked sequence of accountability records.</w:t>
      </w:r>
    </w:p>
    <w:p>
      <w:pPr>
        <w:pStyle w:val="Heading2"/>
        <w:spacing w:before="240" w:after="80"/>
      </w:pPr>
      <w:r>
        <w:rPr>
          <w:rFonts w:ascii="Arial" w:cs="Arial" w:eastAsia="Arial" w:hAnsi="Arial"/>
          <w:b/>
          <w:bCs/>
          <w:color w:val="000000"/>
          <w:sz w:val="22"/>
          <w:szCs w:val="22"/>
        </w:rPr>
        <w:t xml:space="preserve">9.2.  Provenance Record Format</w:t>
      </w:r>
    </w:p>
    <w:p>
      <w:pPr>
        <w:spacing w:before="0" w:after="0"/>
      </w:pPr>
      <w:r>
        <w:t xml:space="preserve"/>
      </w:r>
    </w:p>
    <w:p>
      <w:pPr>
        <w:spacing w:before="0" w:after="0" w:line="240"/>
        <w:ind w:left="720"/>
      </w:pPr>
      <w:r>
        <w:rPr>
          <w:rFonts w:ascii="Courier New" w:cs="Courier New" w:eastAsia="Courier New" w:hAnsi="Courier New"/>
          <w:color w:val="000000"/>
          <w:sz w:val="18"/>
          <w:szCs w:val="18"/>
        </w:rPr>
        <w:t xml:space="preserve">{</w:t>
      </w:r>
    </w:p>
    <w:p>
      <w:pPr>
        <w:spacing w:before="0" w:after="0" w:line="240"/>
        <w:ind w:left="720"/>
      </w:pPr>
      <w:r>
        <w:rPr>
          <w:rFonts w:ascii="Courier New" w:cs="Courier New" w:eastAsia="Courier New" w:hAnsi="Courier New"/>
          <w:color w:val="000000"/>
          <w:sz w:val="18"/>
          <w:szCs w:val="18"/>
        </w:rPr>
        <w:t xml:space="preserve">  "record_id":     "ipp:pr:uuid4",</w:t>
      </w:r>
    </w:p>
    <w:p>
      <w:pPr>
        <w:spacing w:before="0" w:after="0" w:line="240"/>
        <w:ind w:left="720"/>
      </w:pPr>
      <w:r>
        <w:rPr>
          <w:rFonts w:ascii="Courier New" w:cs="Courier New" w:eastAsia="Courier New" w:hAnsi="Courier New"/>
          <w:color w:val="000000"/>
          <w:sz w:val="18"/>
          <w:szCs w:val="18"/>
        </w:rPr>
        <w:t xml:space="preserve">  "token_id":      "ipp:tok:parent-token-id",</w:t>
      </w:r>
    </w:p>
    <w:p>
      <w:pPr>
        <w:spacing w:before="0" w:after="0" w:line="240"/>
        <w:ind w:left="720"/>
      </w:pPr>
      <w:r>
        <w:rPr>
          <w:rFonts w:ascii="Courier New" w:cs="Courier New" w:eastAsia="Courier New" w:hAnsi="Courier New"/>
          <w:color w:val="000000"/>
          <w:sz w:val="18"/>
          <w:szCs w:val="18"/>
        </w:rPr>
        <w:t xml:space="preserve">  "agent_id":      "ipp:agent:uuid4",</w:t>
      </w:r>
    </w:p>
    <w:p>
      <w:pPr>
        <w:spacing w:before="0" w:after="0" w:line="240"/>
        <w:ind w:left="720"/>
      </w:pPr>
      <w:r>
        <w:rPr>
          <w:rFonts w:ascii="Courier New" w:cs="Courier New" w:eastAsia="Courier New" w:hAnsi="Courier New"/>
          <w:color w:val="000000"/>
          <w:sz w:val="18"/>
          <w:szCs w:val="18"/>
        </w:rPr>
        <w:t xml:space="preserve">  "timestamp":     "ISO8601_UTC",</w:t>
      </w:r>
    </w:p>
    <w:p>
      <w:pPr>
        <w:spacing w:before="0" w:after="0" w:line="240"/>
        <w:ind w:left="720"/>
      </w:pPr>
      <w:r>
        <w:rPr>
          <w:rFonts w:ascii="Courier New" w:cs="Courier New" w:eastAsia="Courier New" w:hAnsi="Courier New"/>
          <w:color w:val="000000"/>
          <w:sz w:val="18"/>
          <w:szCs w:val="18"/>
        </w:rPr>
        <w:t xml:space="preserve">  "action_type":   "financial.treasury.transfer | data.read | ...",</w:t>
      </w:r>
    </w:p>
    <w:p>
      <w:pPr>
        <w:spacing w:before="0" w:after="0" w:line="240"/>
        <w:ind w:left="720"/>
      </w:pPr>
      <w:r>
        <w:rPr>
          <w:rFonts w:ascii="Courier New" w:cs="Courier New" w:eastAsia="Courier New" w:hAnsi="Courier New"/>
          <w:color w:val="000000"/>
          <w:sz w:val="18"/>
          <w:szCs w:val="18"/>
        </w:rPr>
        <w:t xml:space="preserve">  "action_summary":"Human-readable description of the action taken",</w:t>
      </w:r>
    </w:p>
    <w:p>
      <w:pPr>
        <w:spacing w:before="0" w:after="0" w:line="240"/>
        <w:ind w:left="720"/>
      </w:pPr>
      <w:r>
        <w:rPr>
          <w:rFonts w:ascii="Courier New" w:cs="Courier New" w:eastAsia="Courier New" w:hAnsi="Courier New"/>
          <w:color w:val="000000"/>
          <w:sz w:val="18"/>
          <w:szCs w:val="18"/>
        </w:rPr>
        <w:t xml:space="preserve">  "resource_id":   "Identifier of the resource acted upon",</w:t>
      </w:r>
    </w:p>
    <w:p>
      <w:pPr>
        <w:spacing w:before="0" w:after="0" w:line="240"/>
        <w:ind w:left="720"/>
      </w:pPr>
      <w:r>
        <w:rPr>
          <w:rFonts w:ascii="Courier New" w:cs="Courier New" w:eastAsia="Courier New" w:hAnsi="Courier New"/>
          <w:color w:val="000000"/>
          <w:sz w:val="18"/>
          <w:szCs w:val="18"/>
        </w:rPr>
        <w:t xml:space="preserve">  "outcome":       "success | failure | partial",</w:t>
      </w:r>
    </w:p>
    <w:p>
      <w:pPr>
        <w:spacing w:before="0" w:after="0" w:line="240"/>
        <w:ind w:left="720"/>
      </w:pPr>
      <w:r>
        <w:rPr>
          <w:rFonts w:ascii="Courier New" w:cs="Courier New" w:eastAsia="Courier New" w:hAnsi="Courier New"/>
          <w:color w:val="000000"/>
          <w:sz w:val="18"/>
          <w:szCs w:val="18"/>
        </w:rPr>
        <w:t xml:space="preserve">  "within_bounds": true,</w:t>
      </w:r>
    </w:p>
    <w:p>
      <w:pPr>
        <w:spacing w:before="0" w:after="0" w:line="240"/>
        <w:ind w:left="720"/>
      </w:pPr>
      <w:r>
        <w:rPr>
          <w:rFonts w:ascii="Courier New" w:cs="Courier New" w:eastAsia="Courier New" w:hAnsi="Courier New"/>
          <w:color w:val="000000"/>
          <w:sz w:val="18"/>
          <w:szCs w:val="18"/>
        </w:rPr>
        <w:t xml:space="preserve">  "agent_sig":     "ed25519:BASE64URL"</w:t>
      </w:r>
    </w:p>
    <w:p>
      <w:pPr>
        <w:spacing w:before="0" w:after="0" w:line="240"/>
        <w:ind w:left="720"/>
      </w:pPr>
      <w:r>
        <w:rPr>
          <w:rFonts w:ascii="Courier New" w:cs="Courier New" w:eastAsia="Courier New" w:hAnsi="Courier New"/>
          <w:color w:val="000000"/>
          <w:sz w:val="18"/>
          <w:szCs w:val="18"/>
        </w:rPr>
        <w:t xml:space="preserve">}</w:t>
      </w:r>
    </w:p>
    <w:p>
      <w:pPr>
        <w:spacing w:before="0" w:after="0"/>
      </w:pPr>
      <w:r>
        <w:t xml:space="preserve"/>
      </w:r>
    </w:p>
    <w:p>
      <w:pPr>
        <w:spacing w:before="0" w:after="160"/>
        <w:jc w:val="both"/>
      </w:pPr>
      <w:r>
        <w:rPr>
          <w:rFonts w:ascii="Arial" w:cs="Arial" w:eastAsia="Arial" w:hAnsi="Arial"/>
          <w:color w:val="4A4A4A"/>
          <w:sz w:val="20"/>
          <w:szCs w:val="20"/>
        </w:rPr>
        <w:t xml:space="preserve">The within_bounds field is a signed attestation by the agent that the action fell within the token's authorized scope. This does not replace independent verification — it provides a convenient audit field. Any action with within_bounds = false MUST have been blocked; an action that was not blocked but carries within_bounds = false indicates a protocol implementation error.</w:t>
      </w:r>
    </w:p>
    <w:p>
      <w:pPr>
        <w:spacing w:before="0" w:after="0"/>
      </w:pPr>
      <w:r>
        <w:t xml:space="preserve"/>
      </w:r>
    </w:p>
    <w:p>
      <w:pPr>
        <w:pStyle w:val="Heading1"/>
        <w:spacing w:before="320" w:after="120"/>
      </w:pPr>
      <w:r>
        <w:rPr>
          <w:rFonts w:ascii="Arial" w:cs="Arial" w:eastAsia="Arial" w:hAnsi="Arial"/>
          <w:b/>
          <w:bCs/>
          <w:color w:val="000000"/>
          <w:sz w:val="26"/>
          <w:szCs w:val="26"/>
        </w:rPr>
        <w:t xml:space="preserve">10.  Interoperability</w:t>
      </w:r>
    </w:p>
    <w:p>
      <w:pPr>
        <w:pStyle w:val="Heading2"/>
        <w:spacing w:before="240" w:after="80"/>
      </w:pPr>
      <w:r>
        <w:rPr>
          <w:rFonts w:ascii="Arial" w:cs="Arial" w:eastAsia="Arial" w:hAnsi="Arial"/>
          <w:b/>
          <w:bCs/>
          <w:color w:val="000000"/>
          <w:sz w:val="22"/>
          <w:szCs w:val="22"/>
        </w:rPr>
        <w:t xml:space="preserve">10.1.  Framework Integration</w:t>
      </w:r>
    </w:p>
    <w:p>
      <w:pPr>
        <w:spacing w:before="0" w:after="160"/>
        <w:jc w:val="both"/>
      </w:pPr>
      <w:r>
        <w:rPr>
          <w:rFonts w:ascii="Arial" w:cs="Arial" w:eastAsia="Arial" w:hAnsi="Arial"/>
          <w:color w:val="4A4A4A"/>
          <w:sz w:val="20"/>
          <w:szCs w:val="20"/>
        </w:rPr>
        <w:t xml:space="preserve">The IPP SDK MUST provide integration adapters for the following AI orchestration frameworks at minimum: LangChain (Python and JavaScript), AutoGen (Microsoft), CrewAI, Microsoft Semantic Kernel, and Google Vertex AI Agent Builder. Additional framework adapters are RECOMMENDED and will be maintained in the IPP SDK repository.</w:t>
      </w:r>
    </w:p>
    <w:p>
      <w:pPr>
        <w:spacing w:before="0" w:after="160"/>
        <w:jc w:val="both"/>
      </w:pPr>
      <w:r>
        <w:rPr>
          <w:rFonts w:ascii="Arial" w:cs="Arial" w:eastAsia="Arial" w:hAnsi="Arial"/>
          <w:color w:val="4A4A4A"/>
          <w:sz w:val="20"/>
          <w:szCs w:val="20"/>
        </w:rPr>
        <w:t xml:space="preserve">Integration MUST NOT require rewriting existing agent logic. The SDK MUST provide a wrapper pattern (e.g., a decorator in Python, a higher-order function in JavaScript) that adds IPP governance to existing agents without modifying their internal structure.</w:t>
      </w:r>
    </w:p>
    <w:p>
      <w:pPr>
        <w:pStyle w:val="Heading2"/>
        <w:spacing w:before="240" w:after="80"/>
      </w:pPr>
      <w:r>
        <w:rPr>
          <w:rFonts w:ascii="Arial" w:cs="Arial" w:eastAsia="Arial" w:hAnsi="Arial"/>
          <w:b/>
          <w:bCs/>
          <w:color w:val="000000"/>
          <w:sz w:val="22"/>
          <w:szCs w:val="22"/>
        </w:rPr>
        <w:t xml:space="preserve">10.2.  Cross-Organization Trust</w:t>
      </w:r>
    </w:p>
    <w:p>
      <w:pPr>
        <w:spacing w:before="0" w:after="160"/>
        <w:jc w:val="both"/>
      </w:pPr>
      <w:r>
        <w:rPr>
          <w:rFonts w:ascii="Arial" w:cs="Arial" w:eastAsia="Arial" w:hAnsi="Arial"/>
          <w:color w:val="4A4A4A"/>
          <w:sz w:val="20"/>
          <w:szCs w:val="20"/>
        </w:rPr>
        <w:t xml:space="preserve">When an agent from Organization A must interact with an agent from Organization B, the inter-organization trust handshake proceeds as follows:</w:t>
      </w:r>
    </w:p>
    <w:p>
      <w:pPr>
        <w:pStyle w:val="ListParagraph"/>
        <w:numPr>
          <w:ilvl w:val="0"/>
          <w:numId w:val="3"/>
        </w:numPr>
        <w:spacing w:before="0" w:after="80"/>
      </w:pPr>
      <w:r>
        <w:rPr>
          <w:rFonts w:ascii="Arial" w:cs="Arial" w:eastAsia="Arial" w:hAnsi="Arial"/>
          <w:color w:val="4A4A4A"/>
          <w:sz w:val="20"/>
          <w:szCs w:val="20"/>
        </w:rPr>
        <w:t xml:space="preserve">Organization A's agent presents its Derived Token to Organization B's agent.</w:t>
      </w:r>
    </w:p>
    <w:p>
      <w:pPr>
        <w:pStyle w:val="ListParagraph"/>
        <w:numPr>
          <w:ilvl w:val="0"/>
          <w:numId w:val="3"/>
        </w:numPr>
        <w:spacing w:before="0" w:after="80"/>
      </w:pPr>
      <w:r>
        <w:rPr>
          <w:rFonts w:ascii="Arial" w:cs="Arial" w:eastAsia="Arial" w:hAnsi="Arial"/>
          <w:color w:val="4A4A4A"/>
          <w:sz w:val="20"/>
          <w:szCs w:val="20"/>
        </w:rPr>
        <w:t xml:space="preserve">Organization B's agent verifies the Genesis Seal (Section 5), validates the token signature chain back to a Principal DID, verifies the token has not expired, and checks revocation status.</w:t>
      </w:r>
    </w:p>
    <w:p>
      <w:pPr>
        <w:pStyle w:val="ListParagraph"/>
        <w:numPr>
          <w:ilvl w:val="0"/>
          <w:numId w:val="3"/>
        </w:numPr>
        <w:spacing w:before="0" w:after="80"/>
      </w:pPr>
      <w:r>
        <w:rPr>
          <w:rFonts w:ascii="Arial" w:cs="Arial" w:eastAsia="Arial" w:hAnsi="Arial"/>
          <w:color w:val="4A4A4A"/>
          <w:sz w:val="20"/>
          <w:szCs w:val="20"/>
        </w:rPr>
        <w:t xml:space="preserve">Organization B's agent verifies that the requested interaction falls within the scope defined in the presented token.</w:t>
      </w:r>
    </w:p>
    <w:p>
      <w:pPr>
        <w:pStyle w:val="ListParagraph"/>
        <w:numPr>
          <w:ilvl w:val="0"/>
          <w:numId w:val="3"/>
        </w:numPr>
        <w:spacing w:before="0" w:after="80"/>
      </w:pPr>
      <w:r>
        <w:rPr>
          <w:rFonts w:ascii="Arial" w:cs="Arial" w:eastAsia="Arial" w:hAnsi="Arial"/>
          <w:color w:val="4A4A4A"/>
          <w:sz w:val="20"/>
          <w:szCs w:val="20"/>
        </w:rPr>
        <w:t xml:space="preserve">If all checks pass, Organization B's agent may respond and optionally issue its own Derived Token for any downstream actions on its side.</w:t>
      </w:r>
    </w:p>
    <w:p>
      <w:pPr>
        <w:pStyle w:val="ListParagraph"/>
        <w:numPr>
          <w:ilvl w:val="0"/>
          <w:numId w:val="3"/>
        </w:numPr>
        <w:spacing w:before="0" w:after="80"/>
      </w:pPr>
      <w:r>
        <w:rPr>
          <w:rFonts w:ascii="Arial" w:cs="Arial" w:eastAsia="Arial" w:hAnsi="Arial"/>
          <w:color w:val="4A4A4A"/>
          <w:sz w:val="20"/>
          <w:szCs w:val="20"/>
        </w:rPr>
        <w:t xml:space="preserve">Both agents append provenance records to their respective tokens for the interaction.</w:t>
      </w:r>
    </w:p>
    <w:p>
      <w:pPr>
        <w:spacing w:before="0" w:after="0"/>
      </w:pPr>
      <w:r>
        <w:t xml:space="preserve"/>
      </w:r>
    </w:p>
    <w:p>
      <w:pPr>
        <w:pStyle w:val="Heading2"/>
        <w:spacing w:before="240" w:after="80"/>
      </w:pPr>
      <w:r>
        <w:rPr>
          <w:rFonts w:ascii="Arial" w:cs="Arial" w:eastAsia="Arial" w:hAnsi="Arial"/>
          <w:b/>
          <w:bCs/>
          <w:color w:val="000000"/>
          <w:sz w:val="22"/>
          <w:szCs w:val="22"/>
        </w:rPr>
        <w:t xml:space="preserve">10.3.  Domain Taxonomy</w:t>
      </w:r>
    </w:p>
    <w:p>
      <w:pPr>
        <w:spacing w:before="0" w:after="160"/>
        <w:jc w:val="both"/>
      </w:pPr>
      <w:r>
        <w:rPr>
          <w:rFonts w:ascii="Arial" w:cs="Arial" w:eastAsia="Arial" w:hAnsi="Arial"/>
          <w:color w:val="4A4A4A"/>
          <w:sz w:val="20"/>
          <w:szCs w:val="20"/>
        </w:rPr>
        <w:t xml:space="preserve">The IPP Domain Taxonomy is a hierarchical vocabulary of intent domains maintained at https://ipp.khsovereign.com/taxonomy. It is governed as an open standard with community contribution via pull request to the IPP specification repository. KH Sovereign, Inc. serves as the taxonomy steward and has final authority over additions to the standard namespace.</w:t>
      </w:r>
    </w:p>
    <w:p>
      <w:pPr>
        <w:spacing w:before="0" w:after="160"/>
        <w:jc w:val="both"/>
      </w:pPr>
      <w:r>
        <w:rPr>
          <w:rFonts w:ascii="Arial" w:cs="Arial" w:eastAsia="Arial" w:hAnsi="Arial"/>
          <w:color w:val="4A4A4A"/>
          <w:sz w:val="20"/>
          <w:szCs w:val="20"/>
        </w:rPr>
        <w:t xml:space="preserve">Current top-level domains include:</w:t>
      </w:r>
    </w:p>
    <w:p>
      <w:pPr>
        <w:spacing w:before="0" w:after="0"/>
      </w:pPr>
      <w:r>
        <w:t xml:space="preserve"/>
      </w:r>
    </w:p>
    <w:p>
      <w:pPr>
        <w:spacing w:before="0" w:after="0" w:line="240"/>
        <w:ind w:left="720"/>
      </w:pPr>
      <w:r>
        <w:rPr>
          <w:rFonts w:ascii="Courier New" w:cs="Courier New" w:eastAsia="Courier New" w:hAnsi="Courier New"/>
          <w:color w:val="000000"/>
          <w:sz w:val="18"/>
          <w:szCs w:val="18"/>
        </w:rPr>
        <w:t xml:space="preserve">financial.*          - Financial operations (treasury, payments, trading)</w:t>
      </w:r>
    </w:p>
    <w:p>
      <w:pPr>
        <w:spacing w:before="0" w:after="0" w:line="240"/>
        <w:ind w:left="720"/>
      </w:pPr>
      <w:r>
        <w:rPr>
          <w:rFonts w:ascii="Courier New" w:cs="Courier New" w:eastAsia="Courier New" w:hAnsi="Courier New"/>
          <w:color w:val="000000"/>
          <w:sz w:val="18"/>
          <w:szCs w:val="18"/>
        </w:rPr>
        <w:t xml:space="preserve">healthcare.*         - Healthcare data and clinical operations</w:t>
      </w:r>
    </w:p>
    <w:p>
      <w:pPr>
        <w:spacing w:before="0" w:after="0" w:line="240"/>
        <w:ind w:left="720"/>
      </w:pPr>
      <w:r>
        <w:rPr>
          <w:rFonts w:ascii="Courier New" w:cs="Courier New" w:eastAsia="Courier New" w:hAnsi="Courier New"/>
          <w:color w:val="000000"/>
          <w:sz w:val="18"/>
          <w:szCs w:val="18"/>
        </w:rPr>
        <w:t xml:space="preserve">infrastructure.*     - Cloud and system infrastructure operations</w:t>
      </w:r>
    </w:p>
    <w:p>
      <w:pPr>
        <w:spacing w:before="0" w:after="0" w:line="240"/>
        <w:ind w:left="720"/>
      </w:pPr>
      <w:r>
        <w:rPr>
          <w:rFonts w:ascii="Courier New" w:cs="Courier New" w:eastAsia="Courier New" w:hAnsi="Courier New"/>
          <w:color w:val="000000"/>
          <w:sz w:val="18"/>
          <w:szCs w:val="18"/>
        </w:rPr>
        <w:t xml:space="preserve">analytics.*          - Data analysis and reporting</w:t>
      </w:r>
    </w:p>
    <w:p>
      <w:pPr>
        <w:spacing w:before="0" w:after="0" w:line="240"/>
        <w:ind w:left="720"/>
      </w:pPr>
      <w:r>
        <w:rPr>
          <w:rFonts w:ascii="Courier New" w:cs="Courier New" w:eastAsia="Courier New" w:hAnsi="Courier New"/>
          <w:color w:val="000000"/>
          <w:sz w:val="18"/>
          <w:szCs w:val="18"/>
        </w:rPr>
        <w:t xml:space="preserve">communications.*     - Email, messaging, and external communications</w:t>
      </w:r>
    </w:p>
    <w:p>
      <w:pPr>
        <w:spacing w:before="0" w:after="0" w:line="240"/>
        <w:ind w:left="720"/>
      </w:pPr>
      <w:r>
        <w:rPr>
          <w:rFonts w:ascii="Courier New" w:cs="Courier New" w:eastAsia="Courier New" w:hAnsi="Courier New"/>
          <w:color w:val="000000"/>
          <w:sz w:val="18"/>
          <w:szCs w:val="18"/>
        </w:rPr>
        <w:t xml:space="preserve">hr.*                 - Human resources and personnel operations</w:t>
      </w:r>
    </w:p>
    <w:p>
      <w:pPr>
        <w:spacing w:before="0" w:after="0" w:line="240"/>
        <w:ind w:left="720"/>
      </w:pPr>
      <w:r>
        <w:rPr>
          <w:rFonts w:ascii="Courier New" w:cs="Courier New" w:eastAsia="Courier New" w:hAnsi="Courier New"/>
          <w:color w:val="000000"/>
          <w:sz w:val="18"/>
          <w:szCs w:val="18"/>
        </w:rPr>
        <w:t xml:space="preserve">legal.*              - Legal document and compliance operations</w:t>
      </w:r>
    </w:p>
    <w:p>
      <w:pPr>
        <w:spacing w:before="0" w:after="0" w:line="240"/>
        <w:ind w:left="720"/>
      </w:pPr>
      <w:r>
        <w:rPr>
          <w:rFonts w:ascii="Courier New" w:cs="Courier New" w:eastAsia="Courier New" w:hAnsi="Courier New"/>
          <w:color w:val="000000"/>
          <w:sz w:val="18"/>
          <w:szCs w:val="18"/>
        </w:rPr>
        <w:t xml:space="preserve">security.*           - Security monitoring and response operations</w:t>
      </w:r>
    </w:p>
    <w:p>
      <w:pPr>
        <w:spacing w:before="0" w:after="0" w:line="240"/>
        <w:ind w:left="720"/>
      </w:pPr>
      <w:r>
        <w:rPr>
          <w:rFonts w:ascii="Courier New" w:cs="Courier New" w:eastAsia="Courier New" w:hAnsi="Courier New"/>
          <w:color w:val="000000"/>
          <w:sz w:val="18"/>
          <w:szCs w:val="18"/>
        </w:rPr>
        <w:t xml:space="preserve">x.*                  - Private/experimental namespace (not standardized)</w:t>
      </w:r>
    </w:p>
    <w:p>
      <w:pPr>
        <w:spacing w:before="0" w:after="0"/>
      </w:pPr>
      <w:r>
        <w:t xml:space="preserve"/>
      </w:r>
    </w:p>
    <w:p>
      <w:pPr>
        <w:pStyle w:val="Heading1"/>
        <w:spacing w:before="320" w:after="120"/>
      </w:pPr>
      <w:r>
        <w:rPr>
          <w:rFonts w:ascii="Arial" w:cs="Arial" w:eastAsia="Arial" w:hAnsi="Arial"/>
          <w:b/>
          <w:bCs/>
          <w:color w:val="000000"/>
          <w:sz w:val="26"/>
          <w:szCs w:val="26"/>
        </w:rPr>
        <w:t xml:space="preserve">11.  Security Considerations</w:t>
      </w:r>
    </w:p>
    <w:p>
      <w:pPr>
        <w:spacing w:before="0" w:after="160"/>
        <w:jc w:val="both"/>
      </w:pPr>
      <w:r>
        <w:rPr>
          <w:rFonts w:ascii="Arial" w:cs="Arial" w:eastAsia="Arial" w:hAnsi="Arial"/>
          <w:color w:val="4A4A4A"/>
          <w:sz w:val="20"/>
          <w:szCs w:val="20"/>
        </w:rPr>
        <w:t xml:space="preserve">Implementers MUST be aware of the following security considerations:</w:t>
      </w:r>
    </w:p>
    <w:p>
      <w:pPr>
        <w:spacing w:before="180" w:after="60"/>
      </w:pPr>
      <w:r>
        <w:rPr>
          <w:rFonts w:ascii="Arial" w:cs="Arial" w:eastAsia="Arial" w:hAnsi="Arial"/>
          <w:b/>
          <w:bCs/>
          <w:color w:val="007A6E"/>
          <w:sz w:val="20"/>
          <w:szCs w:val="20"/>
        </w:rPr>
        <w:t xml:space="preserve">Private Key Compromise</w:t>
      </w:r>
    </w:p>
    <w:p>
      <w:pPr>
        <w:spacing w:before="0" w:after="160"/>
        <w:jc w:val="both"/>
      </w:pPr>
      <w:r>
        <w:rPr>
          <w:rFonts w:ascii="Arial" w:cs="Arial" w:eastAsia="Arial" w:hAnsi="Arial"/>
          <w:color w:val="4A4A4A"/>
          <w:sz w:val="20"/>
          <w:szCs w:val="20"/>
        </w:rPr>
        <w:t xml:space="preserve">If a Principal's private key is compromised, an attacker can issue Intent Tokens on behalf of that Principal. Revocation of all tokens issued under the compromised key MUST be performed immediately. Key compromise does not affect the Genesis Seal or the founding key.</w:t>
      </w:r>
    </w:p>
    <w:p>
      <w:pPr>
        <w:spacing w:before="180" w:after="60"/>
      </w:pPr>
      <w:r>
        <w:rPr>
          <w:rFonts w:ascii="Arial" w:cs="Arial" w:eastAsia="Arial" w:hAnsi="Arial"/>
          <w:b/>
          <w:bCs/>
          <w:color w:val="007A6E"/>
          <w:sz w:val="20"/>
          <w:szCs w:val="20"/>
        </w:rPr>
        <w:t xml:space="preserve">Replay Attacks</w:t>
      </w:r>
    </w:p>
    <w:p>
      <w:pPr>
        <w:spacing w:before="0" w:after="160"/>
        <w:jc w:val="both"/>
      </w:pPr>
      <w:r>
        <w:rPr>
          <w:rFonts w:ascii="Arial" w:cs="Arial" w:eastAsia="Arial" w:hAnsi="Arial"/>
          <w:color w:val="4A4A4A"/>
          <w:sz w:val="20"/>
          <w:szCs w:val="20"/>
        </w:rPr>
        <w:t xml:space="preserve">Intent Tokens are time-bounded by the expires_at field. Implementations MUST reject expired tokens. The token_id SHOULD be checked against a short-term cache of recently used token IDs to prevent replay of valid, non-expired tokens.</w:t>
      </w:r>
    </w:p>
    <w:p>
      <w:pPr>
        <w:spacing w:before="180" w:after="60"/>
      </w:pPr>
      <w:r>
        <w:rPr>
          <w:rFonts w:ascii="Arial" w:cs="Arial" w:eastAsia="Arial" w:hAnsi="Arial"/>
          <w:b/>
          <w:bCs/>
          <w:color w:val="007A6E"/>
          <w:sz w:val="20"/>
          <w:szCs w:val="20"/>
        </w:rPr>
        <w:t xml:space="preserve">Scope Creep</w:t>
      </w:r>
    </w:p>
    <w:p>
      <w:pPr>
        <w:spacing w:before="0" w:after="160"/>
        <w:jc w:val="both"/>
      </w:pPr>
      <w:r>
        <w:rPr>
          <w:rFonts w:ascii="Arial" w:cs="Arial" w:eastAsia="Arial" w:hAnsi="Arial"/>
          <w:color w:val="4A4A4A"/>
          <w:sz w:val="20"/>
          <w:szCs w:val="20"/>
        </w:rPr>
        <w:t xml:space="preserve">The Narrowing Invariant prevents scope expansion in derived tokens. However, implementations MUST verify the invariant independently — they MUST NOT trust the narrowing_proof field without cryptographic verification.</w:t>
      </w:r>
    </w:p>
    <w:p>
      <w:pPr>
        <w:spacing w:before="180" w:after="60"/>
      </w:pPr>
      <w:r>
        <w:rPr>
          <w:rFonts w:ascii="Arial" w:cs="Arial" w:eastAsia="Arial" w:hAnsi="Arial"/>
          <w:b/>
          <w:bCs/>
          <w:color w:val="007A6E"/>
          <w:sz w:val="20"/>
          <w:szCs w:val="20"/>
        </w:rPr>
        <w:t xml:space="preserve">Registry Availability</w:t>
      </w:r>
    </w:p>
    <w:p>
      <w:pPr>
        <w:spacing w:before="0" w:after="160"/>
        <w:jc w:val="both"/>
      </w:pPr>
      <w:r>
        <w:rPr>
          <w:rFonts w:ascii="Arial" w:cs="Arial" w:eastAsia="Arial" w:hAnsi="Arial"/>
          <w:color w:val="4A4A4A"/>
          <w:sz w:val="20"/>
          <w:szCs w:val="20"/>
        </w:rPr>
        <w:t xml:space="preserve">The Revocation Registry is a critical dependency. Implementations MUST design for registry unavailability and MUST fail safe (refuse to act) when the registry is unreachable and no offline grace period applies.</w:t>
      </w:r>
    </w:p>
    <w:p>
      <w:pPr>
        <w:spacing w:before="0" w:after="0"/>
      </w:pPr>
      <w:r>
        <w:t xml:space="preserve"/>
      </w:r>
    </w:p>
    <w:p>
      <w:pPr>
        <w:pStyle w:val="Heading1"/>
        <w:spacing w:before="320" w:after="120"/>
      </w:pPr>
      <w:r>
        <w:rPr>
          <w:rFonts w:ascii="Arial" w:cs="Arial" w:eastAsia="Arial" w:hAnsi="Arial"/>
          <w:b/>
          <w:bCs/>
          <w:color w:val="000000"/>
          <w:sz w:val="26"/>
          <w:szCs w:val="26"/>
        </w:rPr>
        <w:t xml:space="preserve">12.  Privacy Considerations</w:t>
      </w:r>
    </w:p>
    <w:p>
      <w:pPr>
        <w:spacing w:before="0" w:after="160"/>
        <w:jc w:val="both"/>
      </w:pPr>
      <w:r>
        <w:rPr>
          <w:rFonts w:ascii="Arial" w:cs="Arial" w:eastAsia="Arial" w:hAnsi="Arial"/>
          <w:color w:val="4A4A4A"/>
          <w:sz w:val="20"/>
          <w:szCs w:val="20"/>
        </w:rPr>
        <w:t xml:space="preserve">Intent Tokens contain sensitive information about organizational operations, including the natural_language description of intent and resource scope identifiers. Implementations MUST transmit tokens only over encrypted channels (TLS 1.3 minimum). The provenance chain SHOULD be stored in access-controlled infrastructure with audit logging of all access events.</w:t>
      </w:r>
    </w:p>
    <w:p>
      <w:pPr>
        <w:spacing w:before="0" w:after="160"/>
        <w:jc w:val="both"/>
      </w:pPr>
      <w:r>
        <w:rPr>
          <w:rFonts w:ascii="Arial" w:cs="Arial" w:eastAsia="Arial" w:hAnsi="Arial"/>
          <w:color w:val="4A4A4A"/>
          <w:sz w:val="20"/>
          <w:szCs w:val="20"/>
        </w:rPr>
        <w:t xml:space="preserve">The Revocation Registry uses token_id_hash rather than token_id to prevent the registry operator from building a map of active tokens. Implementations MUST NOT send the full token to the revocation registry — only the token_id_hash.</w:t>
      </w:r>
    </w:p>
    <w:p>
      <w:pPr>
        <w:spacing w:before="0" w:after="0"/>
      </w:pPr>
      <w:r>
        <w:t xml:space="preserve"/>
      </w:r>
    </w:p>
    <w:p>
      <w:pPr>
        <w:pStyle w:val="Heading1"/>
        <w:spacing w:before="320" w:after="120"/>
      </w:pPr>
      <w:r>
        <w:rPr>
          <w:rFonts w:ascii="Arial" w:cs="Arial" w:eastAsia="Arial" w:hAnsi="Arial"/>
          <w:b/>
          <w:bCs/>
          <w:color w:val="000000"/>
          <w:sz w:val="26"/>
          <w:szCs w:val="26"/>
        </w:rPr>
        <w:t xml:space="preserve">13.  IANA Considerations</w:t>
      </w:r>
    </w:p>
    <w:p>
      <w:pPr>
        <w:spacing w:before="0" w:after="160"/>
        <w:jc w:val="both"/>
      </w:pPr>
      <w:r>
        <w:rPr>
          <w:rFonts w:ascii="Arial" w:cs="Arial" w:eastAsia="Arial" w:hAnsi="Arial"/>
          <w:color w:val="4A4A4A"/>
          <w:sz w:val="20"/>
          <w:szCs w:val="20"/>
        </w:rPr>
        <w:t xml:space="preserve">This document requests registration of the following URI scheme with IANA: ipp: for use as the prefix for Intent Token identifiers (ipp:tok:*), Agent identifiers (ipp:agent:*), and Provenance Record identifiers (ipp:pr:*). This document also requests registration of the media type application/ipp+json for serialized Intent Token payloads.</w:t>
      </w:r>
    </w:p>
    <w:p>
      <w:pPr>
        <w:spacing w:before="0" w:after="0"/>
      </w:pPr>
      <w:r>
        <w:t xml:space="preserve"/>
      </w:r>
    </w:p>
    <w:p>
      <w:pPr>
        <w:pStyle w:val="Heading1"/>
        <w:spacing w:before="320" w:after="120"/>
      </w:pPr>
      <w:r>
        <w:rPr>
          <w:rFonts w:ascii="Arial" w:cs="Arial" w:eastAsia="Arial" w:hAnsi="Arial"/>
          <w:b/>
          <w:bCs/>
          <w:color w:val="000000"/>
          <w:sz w:val="26"/>
          <w:szCs w:val="26"/>
        </w:rPr>
        <w:t xml:space="preserve">14.  References</w:t>
      </w:r>
    </w:p>
    <w:p>
      <w:pPr>
        <w:pStyle w:val="Heading2"/>
        <w:spacing w:before="240" w:after="80"/>
      </w:pPr>
      <w:r>
        <w:rPr>
          <w:rFonts w:ascii="Arial" w:cs="Arial" w:eastAsia="Arial" w:hAnsi="Arial"/>
          <w:b/>
          <w:bCs/>
          <w:color w:val="000000"/>
          <w:sz w:val="22"/>
          <w:szCs w:val="22"/>
        </w:rPr>
        <w:t xml:space="preserve">14.1.  Normative References</w:t>
      </w:r>
    </w:p>
    <w:p>
      <w:pPr>
        <w:spacing w:before="0" w:after="80"/>
        <w:ind w:left="720" w:hanging="720"/>
      </w:pPr>
      <w:r>
        <w:rPr>
          <w:rFonts w:ascii="Courier New" w:cs="Courier New" w:eastAsia="Courier New" w:hAnsi="Courier New"/>
          <w:b/>
          <w:bCs/>
          <w:color w:val="007A6E"/>
          <w:sz w:val="18"/>
          <w:szCs w:val="18"/>
        </w:rPr>
        <w:t xml:space="preserve">[RFC2119]  </w:t>
      </w:r>
      <w:r>
        <w:rPr>
          <w:rFonts w:ascii="Arial" w:cs="Arial" w:eastAsia="Arial" w:hAnsi="Arial"/>
          <w:color w:val="4A4A4A"/>
          <w:sz w:val="19"/>
          <w:szCs w:val="19"/>
        </w:rPr>
        <w:t xml:space="preserve">Bradner, S., 'Key words for use in RFCs to Indicate Requirement Levels', BCP 14, RFC 2119, March 1997.</w:t>
      </w:r>
    </w:p>
    <w:p>
      <w:pPr>
        <w:spacing w:before="0" w:after="80"/>
        <w:ind w:left="720" w:hanging="720"/>
      </w:pPr>
      <w:r>
        <w:rPr>
          <w:rFonts w:ascii="Courier New" w:cs="Courier New" w:eastAsia="Courier New" w:hAnsi="Courier New"/>
          <w:b/>
          <w:bCs/>
          <w:color w:val="007A6E"/>
          <w:sz w:val="18"/>
          <w:szCs w:val="18"/>
        </w:rPr>
        <w:t xml:space="preserve">[RFC8032]  </w:t>
      </w:r>
      <w:r>
        <w:rPr>
          <w:rFonts w:ascii="Arial" w:cs="Arial" w:eastAsia="Arial" w:hAnsi="Arial"/>
          <w:color w:val="4A4A4A"/>
          <w:sz w:val="19"/>
          <w:szCs w:val="19"/>
        </w:rPr>
        <w:t xml:space="preserve">Josefsson, S. and I. Liusvaara, 'Edwards-Curve Digital Signature Algorithm (EdDSA)', RFC 8032, January 2017.</w:t>
      </w:r>
    </w:p>
    <w:p>
      <w:pPr>
        <w:spacing w:before="0" w:after="80"/>
        <w:ind w:left="720" w:hanging="720"/>
      </w:pPr>
      <w:r>
        <w:rPr>
          <w:rFonts w:ascii="Courier New" w:cs="Courier New" w:eastAsia="Courier New" w:hAnsi="Courier New"/>
          <w:b/>
          <w:bCs/>
          <w:color w:val="007A6E"/>
          <w:sz w:val="18"/>
          <w:szCs w:val="18"/>
        </w:rPr>
        <w:t xml:space="preserve">[RFC8174]  </w:t>
      </w:r>
      <w:r>
        <w:rPr>
          <w:rFonts w:ascii="Arial" w:cs="Arial" w:eastAsia="Arial" w:hAnsi="Arial"/>
          <w:color w:val="4A4A4A"/>
          <w:sz w:val="19"/>
          <w:szCs w:val="19"/>
        </w:rPr>
        <w:t xml:space="preserve">Leiba, B., 'Ambiguity of Uppercase vs Lowercase in RFC 2119 Key Words', BCP 14, RFC 8174, May 2017.</w:t>
      </w:r>
    </w:p>
    <w:p>
      <w:pPr>
        <w:spacing w:before="0" w:after="80"/>
        <w:ind w:left="720" w:hanging="720"/>
      </w:pPr>
      <w:r>
        <w:rPr>
          <w:rFonts w:ascii="Courier New" w:cs="Courier New" w:eastAsia="Courier New" w:hAnsi="Courier New"/>
          <w:b/>
          <w:bCs/>
          <w:color w:val="007A6E"/>
          <w:sz w:val="18"/>
          <w:szCs w:val="18"/>
        </w:rPr>
        <w:t xml:space="preserve">[RFC3161]  </w:t>
      </w:r>
      <w:r>
        <w:rPr>
          <w:rFonts w:ascii="Arial" w:cs="Arial" w:eastAsia="Arial" w:hAnsi="Arial"/>
          <w:color w:val="4A4A4A"/>
          <w:sz w:val="19"/>
          <w:szCs w:val="19"/>
        </w:rPr>
        <w:t xml:space="preserve">Adams, C., et al., 'Internet X.509 Public Key Infrastructure Time-Stamp Protocol (TSP)', RFC 3161, August 2001.</w:t>
      </w:r>
    </w:p>
    <w:p>
      <w:pPr>
        <w:spacing w:before="0" w:after="80"/>
        <w:ind w:left="720" w:hanging="720"/>
      </w:pPr>
      <w:r>
        <w:rPr>
          <w:rFonts w:ascii="Courier New" w:cs="Courier New" w:eastAsia="Courier New" w:hAnsi="Courier New"/>
          <w:b/>
          <w:bCs/>
          <w:color w:val="007A6E"/>
          <w:sz w:val="18"/>
          <w:szCs w:val="18"/>
        </w:rPr>
        <w:t xml:space="preserve">[W3C-DID]  </w:t>
      </w:r>
      <w:r>
        <w:rPr>
          <w:rFonts w:ascii="Arial" w:cs="Arial" w:eastAsia="Arial" w:hAnsi="Arial"/>
          <w:color w:val="4A4A4A"/>
          <w:sz w:val="19"/>
          <w:szCs w:val="19"/>
        </w:rPr>
        <w:t xml:space="preserve">Sporny, M., et al., 'Decentralized Identifiers (DIDs) v1.0', W3C Recommendation, July 2022.</w:t>
      </w:r>
    </w:p>
    <w:p>
      <w:pPr>
        <w:spacing w:before="0" w:after="80"/>
        <w:ind w:left="720" w:hanging="720"/>
      </w:pPr>
      <w:r>
        <w:rPr>
          <w:rFonts w:ascii="Courier New" w:cs="Courier New" w:eastAsia="Courier New" w:hAnsi="Courier New"/>
          <w:b/>
          <w:bCs/>
          <w:color w:val="007A6E"/>
          <w:sz w:val="18"/>
          <w:szCs w:val="18"/>
        </w:rPr>
        <w:t xml:space="preserve">[FIPS202]  </w:t>
      </w:r>
      <w:r>
        <w:rPr>
          <w:rFonts w:ascii="Arial" w:cs="Arial" w:eastAsia="Arial" w:hAnsi="Arial"/>
          <w:color w:val="4A4A4A"/>
          <w:sz w:val="19"/>
          <w:szCs w:val="19"/>
        </w:rPr>
        <w:t xml:space="preserve">NIST, 'SHA-3 Standard: Permutation-Based Hash and Extendable-Output Functions', FIPS PUB 202, August 2015.</w:t>
      </w:r>
    </w:p>
    <w:p>
      <w:pPr>
        <w:spacing w:before="0" w:after="0"/>
      </w:pPr>
      <w:r>
        <w:t xml:space="preserve"/>
      </w:r>
    </w:p>
    <w:p>
      <w:pPr>
        <w:pStyle w:val="Heading2"/>
        <w:spacing w:before="240" w:after="80"/>
      </w:pPr>
      <w:r>
        <w:rPr>
          <w:rFonts w:ascii="Arial" w:cs="Arial" w:eastAsia="Arial" w:hAnsi="Arial"/>
          <w:b/>
          <w:bCs/>
          <w:color w:val="000000"/>
          <w:sz w:val="22"/>
          <w:szCs w:val="22"/>
        </w:rPr>
        <w:t xml:space="preserve">14.2.  Informative References</w:t>
      </w:r>
    </w:p>
    <w:p>
      <w:pPr>
        <w:spacing w:before="0" w:after="80"/>
        <w:ind w:left="720" w:hanging="720"/>
      </w:pPr>
      <w:r>
        <w:rPr>
          <w:rFonts w:ascii="Courier New" w:cs="Courier New" w:eastAsia="Courier New" w:hAnsi="Courier New"/>
          <w:b/>
          <w:bCs/>
          <w:color w:val="4A4A4A"/>
          <w:sz w:val="18"/>
          <w:szCs w:val="18"/>
        </w:rPr>
        <w:t xml:space="preserve">[RFC8446]  </w:t>
      </w:r>
      <w:r>
        <w:rPr>
          <w:rFonts w:ascii="Arial" w:cs="Arial" w:eastAsia="Arial" w:hAnsi="Arial"/>
          <w:color w:val="4A4A4A"/>
          <w:sz w:val="19"/>
          <w:szCs w:val="19"/>
        </w:rPr>
        <w:t xml:space="preserve">Rescorla, E., 'The Transport Layer Security (TLS) Protocol Version 1.3', RFC 8446, August 2018.</w:t>
      </w:r>
    </w:p>
    <w:p>
      <w:pPr>
        <w:spacing w:before="0" w:after="80"/>
        <w:ind w:left="720" w:hanging="720"/>
      </w:pPr>
      <w:r>
        <w:rPr>
          <w:rFonts w:ascii="Courier New" w:cs="Courier New" w:eastAsia="Courier New" w:hAnsi="Courier New"/>
          <w:b/>
          <w:bCs/>
          <w:color w:val="4A4A4A"/>
          <w:sz w:val="18"/>
          <w:szCs w:val="18"/>
        </w:rPr>
        <w:t xml:space="preserve">[RFC6749]  </w:t>
      </w:r>
      <w:r>
        <w:rPr>
          <w:rFonts w:ascii="Arial" w:cs="Arial" w:eastAsia="Arial" w:hAnsi="Arial"/>
          <w:color w:val="4A4A4A"/>
          <w:sz w:val="19"/>
          <w:szCs w:val="19"/>
        </w:rPr>
        <w:t xml:space="preserve">Hardt, D., 'The OAuth 2.0 Authorization Framework', RFC 6749, October 2012.</w:t>
      </w:r>
    </w:p>
    <w:p>
      <w:pPr>
        <w:spacing w:before="0" w:after="80"/>
        <w:ind w:left="720" w:hanging="720"/>
      </w:pPr>
      <w:r>
        <w:rPr>
          <w:rFonts w:ascii="Courier New" w:cs="Courier New" w:eastAsia="Courier New" w:hAnsi="Courier New"/>
          <w:b/>
          <w:bCs/>
          <w:color w:val="4A4A4A"/>
          <w:sz w:val="18"/>
          <w:szCs w:val="18"/>
        </w:rPr>
        <w:t xml:space="preserve">[CC-BY-4]  </w:t>
      </w:r>
      <w:r>
        <w:rPr>
          <w:rFonts w:ascii="Arial" w:cs="Arial" w:eastAsia="Arial" w:hAnsi="Arial"/>
          <w:color w:val="4A4A4A"/>
          <w:sz w:val="19"/>
          <w:szCs w:val="19"/>
        </w:rPr>
        <w:t xml:space="preserve">Creative Commons, 'Attribution 4.0 International (CC BY 4.0)', https://creativecommons.org/licenses/by/4.0/</w:t>
      </w:r>
    </w:p>
    <w:p>
      <w:pPr>
        <w:spacing w:before="0" w:after="0"/>
      </w:pPr>
      <w:r>
        <w:t xml:space="preserve"/>
      </w:r>
    </w:p>
    <w:p>
      <w:pPr>
        <w:pStyle w:val="Heading1"/>
        <w:spacing w:before="320" w:after="120"/>
      </w:pPr>
      <w:r>
        <w:rPr>
          <w:rFonts w:ascii="Arial" w:cs="Arial" w:eastAsia="Arial" w:hAnsi="Arial"/>
          <w:b/>
          <w:bCs/>
          <w:color w:val="000000"/>
          <w:sz w:val="26"/>
          <w:szCs w:val="26"/>
        </w:rPr>
        <w:t xml:space="preserve">15.  Author's Address</w:t>
      </w:r>
    </w:p>
    <w:p>
      <w:pPr>
        <w:spacing w:before="0" w:after="80"/>
      </w:pPr>
      <w:r>
        <w:rPr>
          <w:rFonts w:ascii="Arial" w:cs="Arial" w:eastAsia="Arial" w:hAnsi="Arial"/>
          <w:b/>
          <w:bCs/>
          <w:color w:val="000000"/>
          <w:sz w:val="22"/>
          <w:szCs w:val="22"/>
        </w:rPr>
        <w:t xml:space="preserve">Amanda Haberkamp</w:t>
      </w:r>
    </w:p>
    <w:p>
      <w:pPr>
        <w:spacing w:before="0" w:after="60"/>
      </w:pPr>
      <w:r>
        <w:rPr>
          <w:rFonts w:ascii="Arial" w:cs="Arial" w:eastAsia="Arial" w:hAnsi="Arial"/>
          <w:color w:val="4A4A4A"/>
          <w:sz w:val="20"/>
          <w:szCs w:val="20"/>
        </w:rPr>
        <w:t xml:space="preserve">Founder &amp; CEO</w:t>
      </w:r>
    </w:p>
    <w:p>
      <w:pPr>
        <w:spacing w:before="0" w:after="60"/>
      </w:pPr>
      <w:r>
        <w:rPr>
          <w:rFonts w:ascii="Arial" w:cs="Arial" w:eastAsia="Arial" w:hAnsi="Arial"/>
          <w:color w:val="4A4A4A"/>
          <w:sz w:val="20"/>
          <w:szCs w:val="20"/>
        </w:rPr>
        <w:t xml:space="preserve">KH Sovereign, Inc.</w:t>
      </w:r>
    </w:p>
    <w:p>
      <w:pPr>
        <w:spacing w:before="0" w:after="60"/>
      </w:pPr>
      <w:r>
        <w:rPr>
          <w:rFonts w:ascii="Arial" w:cs="Arial" w:eastAsia="Arial" w:hAnsi="Arial"/>
          <w:color w:val="4A4A4A"/>
          <w:sz w:val="20"/>
          <w:szCs w:val="20"/>
        </w:rPr>
        <w:t xml:space="preserve">Chicago, Illinois, United States</w:t>
      </w:r>
    </w:p>
    <w:p>
      <w:pPr>
        <w:spacing w:before="0" w:after="60"/>
      </w:pPr>
      <w:r>
        <w:rPr>
          <w:rFonts w:ascii="Courier New" w:cs="Courier New" w:eastAsia="Courier New" w:hAnsi="Courier New"/>
          <w:color w:val="007A6E"/>
          <w:sz w:val="18"/>
          <w:szCs w:val="18"/>
        </w:rPr>
        <w:t xml:space="preserve">Email: amanda@khsovereign.com</w:t>
      </w:r>
    </w:p>
    <w:p>
      <w:pPr>
        <w:spacing w:before="0" w:after="60"/>
      </w:pPr>
      <w:r>
        <w:rPr>
          <w:rFonts w:ascii="Courier New" w:cs="Courier New" w:eastAsia="Courier New" w:hAnsi="Courier New"/>
          <w:color w:val="007A6E"/>
          <w:sz w:val="18"/>
          <w:szCs w:val="18"/>
        </w:rPr>
        <w:t xml:space="preserve">URI:   https://ipp.khsovereign.com</w:t>
      </w:r>
    </w:p>
    <w:p>
      <w:pPr>
        <w:spacing w:before="0" w:after="0"/>
      </w:pPr>
      <w:r>
        <w:t xml:space="preserve"/>
      </w:r>
    </w:p>
    <w:p>
      <w:pPr>
        <w:spacing w:before="0" w:after="0"/>
      </w:pPr>
      <w:r>
        <w:t xml:space="preserve"/>
      </w:r>
    </w:p>
    <w:p>
      <w:pPr>
        <w:pBdr>
          <w:bottom w:val="single" w:color="CCCCCC" w:sz="2"/>
        </w:pBdr>
        <w:spacing w:before="40" w:after="40"/>
      </w:pPr>
    </w:p>
    <w:p>
      <w:pPr>
        <w:spacing w:before="80" w:after="0"/>
        <w:jc w:val="center"/>
      </w:pPr>
      <w:r>
        <w:rPr>
          <w:rFonts w:ascii="Courier New" w:cs="Courier New" w:eastAsia="Courier New" w:hAnsi="Courier New"/>
          <w:color w:val="4A4A4A"/>
          <w:sz w:val="16"/>
          <w:szCs w:val="16"/>
        </w:rPr>
        <w:t xml:space="preserve">Haberkamp                    Standards Track                    [Page 1]</w:t>
      </w:r>
    </w:p>
    <w:p>
      <w:pPr>
        <w:spacing w:before="0" w:after="0"/>
        <w:jc w:val="center"/>
      </w:pPr>
      <w:r>
        <w:rPr>
          <w:rFonts w:ascii="Courier New" w:cs="Courier New" w:eastAsia="Courier New" w:hAnsi="Courier New"/>
          <w:color w:val="4A4A4A"/>
          <w:sz w:val="16"/>
          <w:szCs w:val="16"/>
        </w:rPr>
        <w:t xml:space="preserve">draft-haberkamp-ipp-00        Intent Provenance Protocol        September 2026</w:t>
      </w:r>
    </w:p>
    <w:sectPr>
      <w:headerReference w:type="default" r:id="rId6"/>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center" w:pos="4320"/>
        <w:tab w:val="right" w:pos="8640"/>
      </w:tabs>
      <w:spacing w:before="40" w:after="0"/>
    </w:pPr>
    <w:r>
      <w:rPr>
        <w:rFonts w:ascii="Courier New" w:cs="Courier New" w:eastAsia="Courier New" w:hAnsi="Courier New"/>
        <w:color w:val="4A4A4A"/>
        <w:sz w:val="16"/>
        <w:szCs w:val="16"/>
      </w:rPr>
      <w:t xml:space="preserve">Haberkamp</w:t>
    </w:r>
    <w:r>
      <w:rPr>
        <w:rFonts w:ascii="Courier New" w:cs="Courier New" w:eastAsia="Courier New" w:hAnsi="Courier New"/>
        <w:color w:val="4A4A4A"/>
        <w:sz w:val="16"/>
        <w:szCs w:val="16"/>
      </w:rPr>
      <w:t xml:space="preserve">	Standards Track	</w:t>
    </w:r>
    <w:r>
      <w:rPr>
        <w:rFonts w:ascii="Courier New" w:cs="Courier New" w:eastAsia="Courier New" w:hAnsi="Courier New"/>
        <w:color w:val="4A4A4A"/>
        <w:sz w:val="16"/>
        <w:szCs w:val="16"/>
      </w:rPr>
      <w:t xml:space="preserve">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6E" w:sz="4"/>
      </w:pBdr>
      <w:tabs>
        <w:tab w:val="right" w:pos="8640"/>
      </w:tabs>
      <w:spacing w:before="0" w:after="40"/>
    </w:pPr>
    <w:r>
      <w:rPr>
        <w:rFonts w:ascii="Courier New" w:cs="Courier New" w:eastAsia="Courier New" w:hAnsi="Courier New"/>
        <w:color w:val="4A4A4A"/>
        <w:sz w:val="16"/>
        <w:szCs w:val="16"/>
      </w:rPr>
      <w:t xml:space="preserve">draft-haberkamp-ipp-00</w:t>
    </w:r>
    <w:r>
      <w:rPr>
        <w:rFonts w:ascii="Courier New" w:cs="Courier New" w:eastAsia="Courier New" w:hAnsi="Courier New"/>
        <w:color w:val="4A4A4A"/>
        <w:sz w:val="16"/>
        <w:szCs w:val="16"/>
      </w:rPr>
      <w:t xml:space="preserve">	Intent Provenance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20"/>
      <w:outlineLvl w:val="0"/>
    </w:pPr>
    <w:rPr>
      <w:rFonts w:ascii="Arial" w:cs="Arial" w:eastAsia="Arial" w:hAnsi="Arial"/>
      <w:b/>
      <w:bCs/>
      <w:color w:val="000000"/>
      <w:sz w:val="26"/>
      <w:szCs w:val="26"/>
    </w:rPr>
  </w:style>
  <w:style w:type="paragraph" w:styleId="Heading2">
    <w:name w:val="Heading 2"/>
    <w:basedOn w:val="Normal"/>
    <w:next w:val="Normal"/>
    <w:pPr>
      <w:spacing w:before="240" w:after="8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2026-03-14T01:43:20.412Z</dcterms:created>
  <dcterms:modified xsi:type="dcterms:W3CDTF">2026-03-14T01:43:20.413Z</dcterms:modified>
</cp:coreProperties>
</file>

<file path=docProps/custom.xml><?xml version="1.0" encoding="utf-8"?>
<Properties xmlns="http://schemas.openxmlformats.org/officeDocument/2006/custom-properties" xmlns:vt="http://schemas.openxmlformats.org/officeDocument/2006/docPropsVTypes"/>
</file>