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Phase 1 (Aug-Sept 2020)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Overall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Rebrand: increase digital presence, premium positioning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More social media posts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Launch website (powered by Shopify)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New menu with increase pricing and more bougie names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Delivery + Curbside pick up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Can order directly online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Encourage contactless payment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Begin training for omakase chefs 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Finance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Revenue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Curbside pick up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Delivery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Expenses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Any fixed costs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Labor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New website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New menu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Training omakase chefs 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HR 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Phase 2 (Sept 2020- Fall 2021)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Overall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Maintain delivery and curbside pick up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Launch Omakase service 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Phase 3 (Fall 2021 and beyond)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Overall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Maintain delivery, curbside pickup, omakase service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Start reopening (rolling process)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First month 5 tables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Increment of 2 more tables every month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New restaurant menu (similar to the take out)- more expensive and bougie names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Garamond" w:cs="Garamond" w:eastAsia="Garamond" w:hAnsi="Garamond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