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방향 1: Calibration 보정</w:t>
      </w:r>
    </w:p>
    <w:bookmarkStart w:id="20" w:name="방향-1-calibration확률-보정-결과-보고서"/>
    <w:p>
      <w:pPr>
        <w:pStyle w:val="Heading1"/>
      </w:pPr>
      <w:r>
        <w:t xml:space="preserve">방향 1: Calibration(확률 보정) 결과 보고서</w:t>
      </w:r>
    </w:p>
    <w:bookmarkStart w:id="9" w:name="한-줄-요약"/>
    <w:p>
      <w:pPr>
        <w:pStyle w:val="Heading3"/>
      </w:pPr>
      <w:r>
        <w:t xml:space="preserve">한 줄 요약</w:t>
      </w:r>
    </w:p>
    <w:p>
      <w:pPr>
        <w:pStyle w:val="FirstParagraph"/>
      </w:pPr>
      <w:r>
        <w:t xml:space="preserve">모델이 "30%로 이길 것 같다"고 말했을 때, 실제로 30%가 맞도록 확률값을 교정하는 작업입니다.</w:t>
      </w:r>
    </w:p>
    <w:p>
      <w:pPr>
        <w:pStyle w:val="Compact"/>
        <w:numPr>
          <w:ilvl w:val="0"/>
          <w:numId w:val="1001"/>
        </w:numPr>
      </w:pPr>
      <w:r>
        <w:t xml:space="preserve">문제:</w:t>
      </w:r>
      <w:r>
        <w:t xml:space="preserve"> </w:t>
      </w:r>
      <w:r>
        <w:t xml:space="preserve">기존 모델의 predict_proba 출력값이 실제 승률과 동떨어져 있었음 (Cal_MAE = 0.30)</w:t>
      </w:r>
    </w:p>
    <w:p>
      <w:pPr>
        <w:pStyle w:val="Compact"/>
        <w:numPr>
          <w:ilvl w:val="0"/>
          <w:numId w:val="1001"/>
        </w:numPr>
      </w:pPr>
      <w:r>
        <w:t xml:space="preserve">해결:</w:t>
      </w:r>
      <w:r>
        <w:t xml:space="preserve"> </w:t>
      </w:r>
      <w:r>
        <w:t xml:space="preserve">Platt Scaling 적용 후 Cal_MAE =</w:t>
      </w:r>
      <w:r>
        <w:t xml:space="preserve"> </w:t>
      </w:r>
      <w:r>
        <w:rPr>
          <w:b/>
          <w:bCs/>
        </w:rPr>
        <w:t xml:space="preserve">0.01</w:t>
      </w:r>
      <w:r>
        <w:t xml:space="preserve">로 개선 (완벽에 가까운 보정)</w:t>
      </w:r>
    </w:p>
    <w:p>
      <w:pPr>
        <w:pStyle w:val="Compact"/>
        <w:numPr>
          <w:ilvl w:val="0"/>
          <w:numId w:val="1001"/>
        </w:numPr>
      </w:pPr>
      <w:r>
        <w:t xml:space="preserve">한계:</w:t>
      </w:r>
      <w:r>
        <w:t xml:space="preserve"> </w:t>
      </w:r>
      <w:r>
        <w:t xml:space="preserve">"순위를 맞추는 능력"(AUC)은 변하지 않음. 보정은 확률값의 크기만 교정함</w:t>
      </w:r>
    </w:p>
    <w:bookmarkEnd w:id="9"/>
    <w:bookmarkStart w:id="10" w:name="성능-비교표"/>
    <w:p>
      <w:pPr>
        <w:pStyle w:val="Heading2"/>
      </w:pPr>
      <w:r>
        <w:t xml:space="preserve">1. 성능 비교표</w:t>
      </w:r>
    </w:p>
    <w:p>
      <w:pPr>
        <w:pStyle w:val="FirstParagraph"/>
      </w:pPr>
      <w:r>
        <w:rPr>
          <w:b/>
          <w:bCs/>
        </w:rPr>
        <w:t xml:space="preserve">지표 설명: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ROC-AUC</w:t>
      </w:r>
      <w:r>
        <w:t xml:space="preserve"> </w:t>
      </w:r>
      <w:r>
        <w:t xml:space="preserve">= 이길 말과 질 말을 구분하는 능력 (1에 가까울수록 좋음)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Cal_MAE</w:t>
      </w:r>
      <w:r>
        <w:t xml:space="preserve"> </w:t>
      </w:r>
      <w:r>
        <w:t xml:space="preserve">= 예측 확률과 실제 승률의 차이 (0에 가까울수록 좋음).</w:t>
      </w:r>
      <w:r>
        <w:t xml:space="preserve"> </w:t>
      </w:r>
      <w:r>
        <w:rPr>
          <w:u w:val="single"/>
        </w:rPr>
        <w:t xml:space="preserve">이번 실험의 핵심 지표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시장 확률</w:t>
      </w:r>
      <w:r>
        <w:t xml:space="preserve"> </w:t>
      </w:r>
      <w:r>
        <w:t xml:space="preserve">= 배당률을 확률로 환산한 값 (비교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F1_Macro</w:t>
            </w:r>
          </w:p>
        </w:tc>
        <w:tc>
          <w:tcPr/>
          <w:p>
            <w:pPr>
              <w:pStyle w:val="Compact"/>
            </w:pPr>
            <w:r>
              <w:t xml:space="preserve">ROC_AUC</w:t>
            </w:r>
          </w:p>
        </w:tc>
        <w:tc>
          <w:tcPr/>
          <w:p>
            <w:pPr>
              <w:pStyle w:val="Compact"/>
            </w:pPr>
            <w:r>
              <w:t xml:space="preserve">Cal_MAE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Raw (before cal)</w:t>
            </w:r>
          </w:p>
        </w:tc>
        <w:tc>
          <w:tcPr/>
          <w:p>
            <w:pPr>
              <w:pStyle w:val="Compact"/>
            </w:pPr>
            <w:r>
              <w:t xml:space="preserve">0.7214</w:t>
            </w:r>
          </w:p>
        </w:tc>
        <w:tc>
          <w:tcPr/>
          <w:p>
            <w:pPr>
              <w:pStyle w:val="Compact"/>
            </w:pPr>
            <w:r>
              <w:t xml:space="preserve">0.1971</w:t>
            </w:r>
          </w:p>
        </w:tc>
        <w:tc>
          <w:tcPr/>
          <w:p>
            <w:pPr>
              <w:pStyle w:val="Compact"/>
            </w:pPr>
            <w:r>
              <w:t xml:space="preserve">0.6251</w:t>
            </w:r>
          </w:p>
        </w:tc>
        <w:tc>
          <w:tcPr/>
          <w:p>
            <w:pPr>
              <w:pStyle w:val="Compact"/>
            </w:pPr>
            <w:r>
              <w:t xml:space="preserve">0.5629</w:t>
            </w:r>
          </w:p>
        </w:tc>
        <w:tc>
          <w:tcPr/>
          <w:p>
            <w:pPr>
              <w:pStyle w:val="Compact"/>
            </w:pPr>
            <w:r>
              <w:t xml:space="preserve">0.7495</w:t>
            </w:r>
          </w:p>
        </w:tc>
        <w:tc>
          <w:tcPr/>
          <w:p>
            <w:pPr>
              <w:pStyle w:val="Compact"/>
            </w:pPr>
            <w:r>
              <w:t xml:space="preserve">0.3004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Platt Scaling</w:t>
            </w:r>
          </w:p>
        </w:tc>
        <w:tc>
          <w:tcPr/>
          <w:p>
            <w:pPr>
              <w:pStyle w:val="Compact"/>
            </w:pPr>
            <w:r>
              <w:t xml:space="preserve">0.9046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0.4750</w:t>
            </w:r>
          </w:p>
        </w:tc>
        <w:tc>
          <w:tcPr/>
          <w:p>
            <w:pPr>
              <w:pStyle w:val="Compact"/>
            </w:pPr>
            <w:r>
              <w:t xml:space="preserve">0.7495</w:t>
            </w:r>
          </w:p>
        </w:tc>
        <w:tc>
          <w:tcPr/>
          <w:p>
            <w:pPr>
              <w:pStyle w:val="Compact"/>
            </w:pPr>
            <w:r>
              <w:t xml:space="preserve">0.0121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Isotonic</w:t>
            </w:r>
          </w:p>
        </w:tc>
        <w:tc>
          <w:tcPr/>
          <w:p>
            <w:pPr>
              <w:pStyle w:val="Compact"/>
            </w:pPr>
            <w:r>
              <w:t xml:space="preserve">0.9045</w:t>
            </w:r>
          </w:p>
        </w:tc>
        <w:tc>
          <w:tcPr/>
          <w:p>
            <w:pPr>
              <w:pStyle w:val="Compact"/>
            </w:pPr>
            <w:r>
              <w:t xml:space="preserve">0.4000</w:t>
            </w:r>
          </w:p>
        </w:tc>
        <w:tc>
          <w:tcPr/>
          <w:p>
            <w:pPr>
              <w:pStyle w:val="Compact"/>
            </w:pPr>
            <w:r>
              <w:t xml:space="preserve">0.0019</w:t>
            </w:r>
          </w:p>
        </w:tc>
        <w:tc>
          <w:tcPr/>
          <w:p>
            <w:pPr>
              <w:pStyle w:val="Compact"/>
            </w:pPr>
            <w:r>
              <w:t xml:space="preserve">0.4768</w:t>
            </w:r>
          </w:p>
        </w:tc>
        <w:tc>
          <w:tcPr/>
          <w:p>
            <w:pPr>
              <w:pStyle w:val="Compact"/>
            </w:pPr>
            <w:r>
              <w:t xml:space="preserve">0.7478</w:t>
            </w:r>
          </w:p>
        </w:tc>
        <w:tc>
          <w:tcPr/>
          <w:p>
            <w:pPr>
              <w:pStyle w:val="Compact"/>
            </w:pPr>
            <w:r>
              <w:t xml:space="preserve">0.0298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Odds</w:t>
            </w:r>
          </w:p>
        </w:tc>
        <w:tc>
          <w:tcPr/>
          <w:p>
            <w:pPr>
              <w:pStyle w:val="Compact"/>
            </w:pPr>
            <w:r>
              <w:t xml:space="preserve">0.9066</w:t>
            </w:r>
          </w:p>
        </w:tc>
        <w:tc>
          <w:tcPr/>
          <w:p>
            <w:pPr>
              <w:pStyle w:val="Compact"/>
            </w:pPr>
            <w:r>
              <w:t xml:space="preserve">0.5696</w:t>
            </w:r>
          </w:p>
        </w:tc>
        <w:tc>
          <w:tcPr/>
          <w:p>
            <w:pPr>
              <w:pStyle w:val="Compact"/>
            </w:pPr>
            <w:r>
              <w:t xml:space="preserve">0.0870</w:t>
            </w:r>
          </w:p>
        </w:tc>
        <w:tc>
          <w:tcPr/>
          <w:p>
            <w:pPr>
              <w:pStyle w:val="Compact"/>
            </w:pPr>
            <w:r>
              <w:t xml:space="preserve">0.5507</w:t>
            </w:r>
          </w:p>
        </w:tc>
        <w:tc>
          <w:tcPr/>
          <w:p>
            <w:pPr>
              <w:pStyle w:val="Compact"/>
            </w:pPr>
            <w:r>
              <w:t xml:space="preserve">0.8168</w:t>
            </w:r>
          </w:p>
        </w:tc>
        <w:tc>
          <w:tcPr/>
          <w:p>
            <w:pPr>
              <w:pStyle w:val="Compact"/>
            </w:pPr>
            <w:r>
              <w:t xml:space="preserve">0.1203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결과 해석:</w:t>
      </w:r>
      <w:r>
        <w:br/>
      </w:r>
      <w:r>
        <w:t xml:space="preserve">• Platt Scaling 후 Cal_MAE가 0.30 → 0.01로</w:t>
      </w:r>
      <w:r>
        <w:t xml:space="preserve"> </w:t>
      </w:r>
      <w:r>
        <w:rPr>
          <w:b/>
          <w:bCs/>
        </w:rPr>
        <w:t xml:space="preserve">25배 개선</w:t>
      </w:r>
      <w:r>
        <w:t xml:space="preserve">됨</w:t>
      </w:r>
      <w:r>
        <w:br/>
      </w:r>
      <w:r>
        <w:t xml:space="preserve">• 즉, "모델이 10%라고 예측하면 실제로 약 10%가 이긴다" = 확률 해석이 가능해짐</w:t>
      </w:r>
      <w:r>
        <w:br/>
      </w:r>
      <w:r>
        <w:t xml:space="preserve">• 시장 확률(Cal_MAE=0.12)보다도 보정된 모델(0.01)이 "확률 정확도"는 더 높음</w:t>
      </w:r>
      <w:r>
        <w:br/>
      </w:r>
      <w:r>
        <w:t xml:space="preserve">• 단, AUC(판별력)는 시장(0.82) &gt; 모델(0.75)으로 여전히 시장이 우위</w:t>
      </w:r>
    </w:p>
    <w:bookmarkEnd w:id="10"/>
    <w:bookmarkStart w:id="14" w:name="calibration-curve-보정-곡선"/>
    <w:p>
      <w:pPr>
        <w:pStyle w:val="Heading2"/>
      </w:pPr>
      <w:r>
        <w:t xml:space="preserve">2. Calibration Curve (보정 곡선)</w:t>
      </w:r>
    </w:p>
    <w:p>
      <w:pPr>
        <w:pStyle w:val="FirstParagraph"/>
      </w:pPr>
      <w:r>
        <w:drawing>
          <wp:inline>
            <wp:extent cx="5334000" cy="5329498"/>
            <wp:effectExtent b="0" l="0" r="0" t="0"/>
            <wp:docPr descr="Calibration Curve" title="" id="12" name="Picture"/>
            <a:graphic>
              <a:graphicData uri="http://schemas.openxmlformats.org/drawingml/2006/picture">
                <pic:pic>
                  <pic:nvPicPr>
                    <pic:cNvPr descr=".media/v1_report/9da0414b455e8cee3eb99d11145a9ccfb05b3c0c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9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그래프 보는 법:</w:t>
      </w:r>
      <w:r>
        <w:br/>
      </w:r>
      <w:r>
        <w:t xml:space="preserve">• X축 = 모델이 예측한 확률, Y축 = 실제로 이긴 비율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대각선(점선)</w:t>
      </w:r>
      <w:r>
        <w:t xml:space="preserve"> </w:t>
      </w:r>
      <w:r>
        <w:t xml:space="preserve">= 완벽한 보정 (예측 20% → 실제 20%)</w:t>
      </w:r>
      <w:r>
        <w:br/>
      </w:r>
      <w:r>
        <w:t xml:space="preserve">• 대각선에 가까울수록 좋은 것</w:t>
      </w:r>
      <w:r>
        <w:br/>
      </w:r>
      <w:r>
        <w:t xml:space="preserve">• 보정 전(파란) = 대각선에서 크게 벗어남 → 보정 후(주황) = 대각선에 거의 붙음</w:t>
      </w:r>
    </w:p>
    <w:bookmarkEnd w:id="14"/>
    <w:bookmarkStart w:id="18" w:name="확률-분포-비교"/>
    <w:p>
      <w:pPr>
        <w:pStyle w:val="Heading2"/>
      </w:pPr>
      <w:r>
        <w:t xml:space="preserve">3. 확률 분포 비교</w:t>
      </w:r>
    </w:p>
    <w:p>
      <w:pPr>
        <w:pStyle w:val="FirstParagraph"/>
      </w:pPr>
      <w:r>
        <w:drawing>
          <wp:inline>
            <wp:extent cx="5334000" cy="4413623"/>
            <wp:effectExtent b="0" l="0" r="0" t="0"/>
            <wp:docPr descr="Probability Distribution" title="" id="16" name="Picture"/>
            <a:graphic>
              <a:graphicData uri="http://schemas.openxmlformats.org/drawingml/2006/picture">
                <pic:pic>
                  <pic:nvPicPr>
                    <pic:cNvPr descr=".media/v1_report/fd99ceecd3d77b12f1ddfbc0271517992462b59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3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그래프 보는 법:</w:t>
      </w:r>
      <w:r>
        <w:br/>
      </w:r>
      <w:r>
        <w:t xml:space="preserve">• 각 히스토그램은 모델이 출력한 확률값의 분포</w:t>
      </w:r>
      <w:r>
        <w:br/>
      </w:r>
      <w:r>
        <w:t xml:space="preserve">• 빨간 점선 = 실제 승률 (약 9.5%)</w:t>
      </w:r>
      <w:r>
        <w:br/>
      </w:r>
      <w:r>
        <w:t xml:space="preserve">• 보정 전: 0.2~0.6으로 넓게 퍼져있음 (비현실적)</w:t>
      </w:r>
      <w:r>
        <w:br/>
      </w:r>
      <w:r>
        <w:t xml:space="preserve">• 보정 후: 실제 승률(0.095) 근처에 집중 (현실적)</w:t>
      </w:r>
    </w:p>
    <w:bookmarkEnd w:id="18"/>
    <w:bookmarkStart w:id="19" w:name="결론"/>
    <w:p>
      <w:pPr>
        <w:pStyle w:val="Heading2"/>
      </w:pPr>
      <w:r>
        <w:t xml:space="preserve">4. 결론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Calibration 보정은 필수입니다.</w:t>
      </w:r>
      <w:r>
        <w:t xml:space="preserve"> </w:t>
      </w:r>
      <w:r>
        <w:t xml:space="preserve">RandomForest의 기본 predict_proba는 "확률"이라 부르기 어려운 수준입니다.</w:t>
      </w:r>
    </w:p>
    <w:p>
      <w:pPr>
        <w:pStyle w:val="Compact"/>
        <w:numPr>
          <w:ilvl w:val="0"/>
          <w:numId w:val="1002"/>
        </w:numPr>
      </w:pPr>
      <w:r>
        <w:t xml:space="preserve">Platt Scaling 2줄로 확률 품질을 극적으로 개선할 수 있습니다.</w:t>
      </w:r>
    </w:p>
    <w:p>
      <w:pPr>
        <w:pStyle w:val="Compact"/>
        <w:numPr>
          <w:ilvl w:val="0"/>
          <w:numId w:val="1002"/>
        </w:numPr>
      </w:pPr>
      <w:r>
        <w:t xml:space="preserve">보정 후에도 시장의 "판별력"은 넘지 못하지만, 모델 확률을 신뢰할 수 있게 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실무 적용:</w:t>
      </w:r>
      <w:r>
        <w:t xml:space="preserve"> </w:t>
      </w:r>
      <w:r>
        <w:t xml:space="preserve">모델 확률을 "기대 승률"로 해석하고 싶다면 반드시 보정을 거쳐야 합니다.</w:t>
      </w:r>
    </w:p>
    <w:p>
      <w:pPr>
        <w:pStyle w:val="FirstParagraph"/>
      </w:pPr>
      <w:r>
        <w:t xml:space="preserve">KHUDA 3조 · 방향 1 Calibration 보고서 · 2026-08-15 14:04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방향 1: Calibration 보정</dc:title>
  <dc:creator/>
  <dc:language>ko</dc:language>
  <cp:keywords/>
  <dcterms:created xsi:type="dcterms:W3CDTF">2026-08-22T11:08:57Z</dcterms:created>
  <dcterms:modified xsi:type="dcterms:W3CDTF">2026-08-22T11:08:57Z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