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color w:val="1F3864"/>
          <w:sz w:val="34"/>
          <w:szCs w:val="34"/>
        </w:rPr>
        <w:t xml:space="preserve">경주마 승률 예측 모델 및 배당률 비교 분석</w:t>
      </w:r>
    </w:p>
    <w:p>
      <w:pPr>
        <w:spacing w:after="40"/>
        <w:jc w:val="center"/>
      </w:pPr>
      <w:r>
        <w:rPr>
          <w:rFonts w:ascii="맑은 고딕" w:cs="맑은 고딕" w:eastAsia="맑은 고딕" w:hAnsi="맑은 고딕"/>
          <w:b/>
          <w:bCs/>
          <w:color w:val="555555"/>
          <w:sz w:val="22"/>
          <w:szCs w:val="22"/>
        </w:rPr>
        <w:t xml:space="preserve">결과 보고서</w:t>
      </w:r>
    </w:p>
    <w:p>
      <w:pPr>
        <w:spacing w:after="400"/>
        <w:jc w:val="center"/>
      </w:pPr>
      <w:r>
        <w:rPr>
          <w:rFonts w:ascii="맑은 고딕" w:cs="맑은 고딕" w:eastAsia="맑은 고딕" w:hAnsi="맑은 고딕"/>
          <w:color w:val="888888"/>
          <w:sz w:val="18"/>
          <w:szCs w:val="18"/>
        </w:rPr>
        <w:t xml:space="preserve">KHUDA · [조 번호] · [팀원 이름] · 2026. 08.</w:t>
      </w:r>
    </w:p>
    <w:p>
      <w:pPr>
        <w:pStyle w:val="Heading1"/>
        <w:spacing w:after="160" w:before="360"/>
      </w:pPr>
      <w:r>
        <w:rPr>
          <w:rFonts w:ascii="맑은 고딕" w:cs="맑은 고딕" w:eastAsia="맑은 고딕" w:hAnsi="맑은 고딕"/>
          <w:b/>
          <w:bCs/>
          <w:color w:val="1F3864"/>
          <w:sz w:val="27"/>
          <w:szCs w:val="27"/>
        </w:rPr>
        <w:t xml:space="preserve">1. 프로젝트 개요</w:t>
      </w:r>
    </w:p>
    <w:p>
      <w:pPr>
        <w:spacing w:after="160" w:line="300"/>
      </w:pPr>
      <w:r>
        <w:rPr>
          <w:rFonts w:ascii="맑은 고딕" w:cs="맑은 고딕" w:eastAsia="맑은 고딕" w:hAnsi="맑은 고딕"/>
          <w:b w:val="false"/>
          <w:bCs w:val="false"/>
          <w:i w:val="false"/>
          <w:iCs w:val="false"/>
          <w:sz w:val="21"/>
          <w:szCs w:val="21"/>
        </w:rPr>
        <w:t xml:space="preserve">경마는 배당률이라는 형태로 대중의 예측이 실시간으로 집계되는 몇 안 되는 스포츠 도메인이다. 본 프로젝트는 말·기수·조교사·경주 당일 환경 정보를 바탕으로 경주마의 1착 확률을 예측하는 모델을 구축하고, 이 예측 확률을 배당률에서 환산한 시장의 암묵적 확률과 비교함으로써 데이터 기반 모델이 시장의 집단 판단을 뛰어넘을 수 있는지, 그리고 뛰어넘지 못한다면 그 이유는 무엇인지를 검증하는 것을 목표로 했다.</w:t>
      </w:r>
    </w:p>
    <w:p>
      <w:pPr>
        <w:spacing w:after="160" w:line="300"/>
      </w:pPr>
      <w:r>
        <w:rPr>
          <w:rFonts w:ascii="맑은 고딕" w:cs="맑은 고딕" w:eastAsia="맑은 고딕" w:hAnsi="맑은 고딕"/>
          <w:b w:val="false"/>
          <w:bCs w:val="false"/>
          <w:i w:val="false"/>
          <w:iCs w:val="false"/>
          <w:sz w:val="21"/>
          <w:szCs w:val="21"/>
        </w:rPr>
        <w:t xml:space="preserve">분석은 서울 경마장에서 2023년 8월부터 2026년 8월까지 시행된 32,888건의 출전 기록을 대상으로 했으며, 예측 대상은 각 출전마의 1착 여부(양성 비율 약 9.5%)이다. 데이터는 시점 순서에 따라 학습·검증·테스트 세 구간으로 분할하여, 미래 시점의 정보가 학습 과정에 유입되지 않도록 설계했다.</w:t>
      </w:r>
    </w:p>
    <w:p>
      <w:pPr>
        <w:pStyle w:val="Heading1"/>
        <w:spacing w:after="160" w:before="360"/>
      </w:pPr>
      <w:r>
        <w:rPr>
          <w:rFonts w:ascii="맑은 고딕" w:cs="맑은 고딕" w:eastAsia="맑은 고딕" w:hAnsi="맑은 고딕"/>
          <w:b/>
          <w:bCs/>
          <w:color w:val="1F3864"/>
          <w:sz w:val="27"/>
          <w:szCs w:val="27"/>
        </w:rPr>
        <w:t xml:space="preserve">2. 기본 모델 구축 및 성능 비교</w:t>
      </w:r>
    </w:p>
    <w:p>
      <w:pPr>
        <w:spacing w:after="160" w:line="300"/>
      </w:pPr>
      <w:r>
        <w:rPr>
          <w:rFonts w:ascii="맑은 고딕" w:cs="맑은 고딕" w:eastAsia="맑은 고딕" w:hAnsi="맑은 고딕"/>
          <w:b w:val="false"/>
          <w:bCs w:val="false"/>
          <w:i w:val="false"/>
          <w:iCs w:val="false"/>
          <w:sz w:val="21"/>
          <w:szCs w:val="21"/>
        </w:rPr>
        <w:t xml:space="preserve">로지스틱 회귀, 랜덤포레스트, XGBoost 세 모델을 동일한 테스트 세트에서 평가했다. 배당률 및 배당률에서 파생된 값은 모델 입력에서 전부 제외하여, 모델이 시장 정보에 의존하지 않고 독립적으로 예측하도록 설계했다.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gridCol w:w="1320"/>
        <w:gridCol w:w="1320"/>
        <w:gridCol w:w="1320"/>
      </w:tblGrid>
      <w:tr>
        <w:trPr>
          <w:tblHeader/>
        </w:trPr>
        <w:tc>
          <w:tcPr>
            <w:tcW w:type="dxa" w:w="24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모델</w:t>
            </w:r>
          </w:p>
        </w:tc>
        <w:tc>
          <w:tcPr>
            <w:tcW w:type="dxa" w:w="132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Accuracy</w:t>
            </w:r>
          </w:p>
        </w:tc>
        <w:tc>
          <w:tcPr>
            <w:tcW w:type="dxa" w:w="132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132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Recall</w:t>
            </w:r>
          </w:p>
        </w:tc>
        <w:tc>
          <w:tcPr>
            <w:tcW w:type="dxa" w:w="132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F1(Macro)</w:t>
            </w:r>
          </w:p>
        </w:tc>
        <w:tc>
          <w:tcPr>
            <w:tcW w:type="dxa" w:w="132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ROC-AUC</w:t>
            </w:r>
          </w:p>
        </w:tc>
      </w:tr>
      <w:tr>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로지스틱 회귀</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0.3062</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0.0952</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0.7372</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0.2867</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0.5262</w:t>
            </w:r>
          </w:p>
        </w:tc>
      </w:tr>
      <w:tr>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랜덤포레스트</w:t>
            </w:r>
          </w:p>
        </w:tc>
        <w:tc>
          <w:tcPr>
            <w:tcW w:type="dxa" w:w="132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0.7214</w:t>
            </w:r>
          </w:p>
        </w:tc>
        <w:tc>
          <w:tcPr>
            <w:tcW w:type="dxa" w:w="132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0.1971</w:t>
            </w:r>
          </w:p>
        </w:tc>
        <w:tc>
          <w:tcPr>
            <w:tcW w:type="dxa" w:w="132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0.6251</w:t>
            </w:r>
          </w:p>
        </w:tc>
        <w:tc>
          <w:tcPr>
            <w:tcW w:type="dxa" w:w="132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0.5629</w:t>
            </w:r>
          </w:p>
        </w:tc>
        <w:tc>
          <w:tcPr>
            <w:tcW w:type="dxa" w:w="132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0.7495</w:t>
            </w:r>
          </w:p>
        </w:tc>
      </w:tr>
      <w:tr>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XGBoost</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0.8903</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0.2075</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0.0531</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0.5131</w:t>
            </w:r>
          </w:p>
        </w:tc>
        <w:tc>
          <w:tcPr>
            <w:tcW w:type="dxa" w:w="132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0.6846</w:t>
            </w:r>
          </w:p>
        </w:tc>
      </w:tr>
    </w:tbl>
    <w:p>
      <w:pPr>
        <w:spacing w:after="200" w:before="60"/>
      </w:pPr>
      <w:r>
        <w:rPr>
          <w:rFonts w:ascii="맑은 고딕" w:cs="맑은 고딕" w:eastAsia="맑은 고딕" w:hAnsi="맑은 고딕"/>
          <w:i/>
          <w:iCs/>
          <w:color w:val="666666"/>
          <w:sz w:val="18"/>
          <w:szCs w:val="18"/>
        </w:rPr>
        <w:t xml:space="preserve">표 1. 모델별 성능 비교 (테스트 세트 기준)</w:t>
      </w:r>
    </w:p>
    <w:p>
      <w:pPr>
        <w:spacing w:after="160" w:line="300"/>
      </w:pPr>
      <w:r>
        <w:rPr>
          <w:rFonts w:ascii="맑은 고딕" w:cs="맑은 고딕" w:eastAsia="맑은 고딕" w:hAnsi="맑은 고딕"/>
          <w:b w:val="false"/>
          <w:bCs w:val="false"/>
          <w:i w:val="false"/>
          <w:iCs w:val="false"/>
          <w:sz w:val="21"/>
          <w:szCs w:val="21"/>
        </w:rPr>
        <w:t xml:space="preserve">세 모델 중 랜덤포레스트가 ROC-AUC 0.7495로 가장 높은 판별력을 보여 최종 모델로 선정했다. 로지스틱 회귀는 재현율은 높았으나 정밀도가 극히 낮아 실제 활용 가치가 떨어졌고, XGBoost는 전체 정확도는 높았지만 소수 클래스인 1착을 거의 잡아내지 못하는 한계를 보였다. 이는 세 모델 모두에서 확인된 클래스 불균형 문제(경주당 1착은 한 마리뿐이라는 구조적 특성)가 예측 성능에 상당한 영향을 미쳤음을 보여준다.</w:t>
      </w:r>
    </w:p>
    <w:p>
      <w:pPr>
        <w:pStyle w:val="Heading2"/>
        <w:spacing w:after="120" w:before="260"/>
      </w:pPr>
      <w:r>
        <w:rPr>
          <w:rFonts w:ascii="맑은 고딕" w:cs="맑은 고딕" w:eastAsia="맑은 고딕" w:hAnsi="맑은 고딕"/>
          <w:b/>
          <w:bCs/>
          <w:color w:val="1F3864"/>
          <w:sz w:val="23"/>
          <w:szCs w:val="23"/>
        </w:rPr>
        <w:t xml:space="preserve">2.1 임계값(Threshold) 튜닝</w:t>
      </w:r>
    </w:p>
    <w:p>
      <w:pPr>
        <w:spacing w:after="160" w:line="300"/>
      </w:pPr>
      <w:r>
        <w:rPr>
          <w:rFonts w:ascii="맑은 고딕" w:cs="맑은 고딕" w:eastAsia="맑은 고딕" w:hAnsi="맑은 고딕"/>
          <w:b w:val="false"/>
          <w:bCs w:val="false"/>
          <w:i w:val="false"/>
          <w:iCs w:val="false"/>
          <w:sz w:val="21"/>
          <w:szCs w:val="21"/>
        </w:rPr>
        <w:t xml:space="preserve">랜덤포레스트의 예측 확률에 대해 기본값인 0.5 대신 여러 임계값 후보를 검증 세트에서 탐색했다.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Threshold</w:t>
            </w:r>
          </w:p>
        </w:tc>
        <w:tc>
          <w:tcPr>
            <w:tcW w:type="dxa" w:w="24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24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Recall</w:t>
            </w:r>
          </w:p>
        </w:tc>
        <w:tc>
          <w:tcPr>
            <w:tcW w:type="dxa" w:w="24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F1(Macro)</w:t>
            </w:r>
          </w:p>
        </w:tc>
      </w:tr>
      <w:tr>
        <w:tc>
          <w:tcPr>
            <w:tcW w:type="dxa" w:w="18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0.05</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0.0973</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0.9991</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0.0904</w:t>
            </w:r>
          </w:p>
        </w:tc>
      </w:tr>
      <w:tr>
        <w:tc>
          <w:tcPr>
            <w:tcW w:type="dxa" w:w="18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0.15</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0.1050</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0.9764</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0.1888</w:t>
            </w:r>
          </w:p>
        </w:tc>
      </w:tr>
      <w:tr>
        <w:tc>
          <w:tcPr>
            <w:tcW w:type="dxa" w:w="18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0.25</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0.1231</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0.9235</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0.3331</w:t>
            </w:r>
          </w:p>
        </w:tc>
      </w:tr>
      <w:tr>
        <w:tc>
          <w:tcPr>
            <w:tcW w:type="dxa" w:w="18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0.35</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0.1504</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0.8338</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0.4536</w:t>
            </w:r>
          </w:p>
        </w:tc>
      </w:tr>
      <w:tr>
        <w:tc>
          <w:tcPr>
            <w:tcW w:type="dxa" w:w="18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0.45</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0.1871</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0.6884</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0.5432</w:t>
            </w:r>
          </w:p>
        </w:tc>
      </w:tr>
      <w:tr>
        <w:tc>
          <w:tcPr>
            <w:tcW w:type="dxa" w:w="18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0.50</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0.2087</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0.5940</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0.5750</w:t>
            </w:r>
          </w:p>
        </w:tc>
      </w:tr>
    </w:tbl>
    <w:p>
      <w:pPr>
        <w:spacing w:after="200" w:before="60"/>
      </w:pPr>
      <w:r>
        <w:rPr>
          <w:rFonts w:ascii="맑은 고딕" w:cs="맑은 고딕" w:eastAsia="맑은 고딕" w:hAnsi="맑은 고딕"/>
          <w:i/>
          <w:iCs/>
          <w:color w:val="666666"/>
          <w:sz w:val="18"/>
          <w:szCs w:val="18"/>
        </w:rPr>
        <w:t xml:space="preserve">표 2. 임계값별 성능 (일부 구간 발췌)</w:t>
      </w:r>
    </w:p>
    <w:p>
      <w:pPr>
        <w:spacing w:after="160" w:line="300"/>
      </w:pPr>
      <w:r>
        <w:rPr>
          <w:rFonts w:ascii="맑은 고딕" w:cs="맑은 고딕" w:eastAsia="맑은 고딕" w:hAnsi="맑은 고딕"/>
          <w:b w:val="false"/>
          <w:bCs w:val="false"/>
          <w:i w:val="false"/>
          <w:iCs w:val="false"/>
          <w:sz w:val="21"/>
          <w:szCs w:val="21"/>
        </w:rPr>
        <w:t xml:space="preserve">탐색 결과 F1(Macro) 기준으로는 기본값인 0.5가 가장 높은 성능을 보였다. 임계값을 낮출수록 재현율은 크게 개선되지만 정밀도가 급격히 하락하는 뚜렷한 상충 관계가 확인되어, 이후 분석에서는 기본 임계값을 그대로 사용했다.</w:t>
      </w:r>
    </w:p>
    <w:p>
      <w:pPr>
        <w:pStyle w:val="Heading2"/>
        <w:spacing w:after="120" w:before="260"/>
      </w:pPr>
      <w:r>
        <w:rPr>
          <w:rFonts w:ascii="맑은 고딕" w:cs="맑은 고딕" w:eastAsia="맑은 고딕" w:hAnsi="맑은 고딕"/>
          <w:b/>
          <w:bCs/>
          <w:color w:val="1F3864"/>
          <w:sz w:val="23"/>
          <w:szCs w:val="23"/>
        </w:rPr>
        <w:t xml:space="preserve">2.2 변수 중요도 분석</w:t>
      </w:r>
    </w:p>
    <w:p>
      <w:pPr>
        <w:spacing w:after="160" w:line="300"/>
      </w:pPr>
      <w:r>
        <w:rPr>
          <w:rFonts w:ascii="맑은 고딕" w:cs="맑은 고딕" w:eastAsia="맑은 고딕" w:hAnsi="맑은 고딕"/>
          <w:b w:val="false"/>
          <w:bCs w:val="false"/>
          <w:i w:val="false"/>
          <w:iCs w:val="false"/>
          <w:sz w:val="21"/>
          <w:szCs w:val="21"/>
        </w:rPr>
        <w:t xml:space="preserve">모델 예측 확률과 시장 확률(배당률 환산값)의 차이, 즉 괴리가 상위 20%에 해당하는 출전 기록만 따로 모아 이 그룹의 변수 분포를 전체 데이터와 비교했다. 그 결과 직전 경주 성적, 말의 연령, 기수와 조교사의 최근 승률, 최근 14일간 훈련 횟수 등이 전체 평균과 가장 크게 벌어지는 변수로 나타났다. 이는 모델과 시장이 크게 엇갈리는 출전마일수록 최근 폼과 관련된 정보에서 유독 차이가 크다는 것을 시사한다.</w:t>
      </w:r>
    </w:p>
    <w:p>
      <w:pPr>
        <w:pStyle w:val="Heading2"/>
        <w:spacing w:after="120" w:before="260"/>
      </w:pPr>
      <w:r>
        <w:rPr>
          <w:rFonts w:ascii="맑은 고딕" w:cs="맑은 고딕" w:eastAsia="맑은 고딕" w:hAnsi="맑은 고딕"/>
          <w:b/>
          <w:bCs/>
          <w:color w:val="1F3864"/>
          <w:sz w:val="23"/>
          <w:szCs w:val="23"/>
        </w:rPr>
        <w:t xml:space="preserve">2.3 군집화 분석</w:t>
      </w:r>
    </w:p>
    <w:p>
      <w:pPr>
        <w:spacing w:after="160" w:line="300"/>
      </w:pPr>
      <w:r>
        <w:rPr>
          <w:rFonts w:ascii="맑은 고딕" w:cs="맑은 고딕" w:eastAsia="맑은 고딕" w:hAnsi="맑은 고딕"/>
          <w:b w:val="false"/>
          <w:bCs w:val="false"/>
          <w:i w:val="false"/>
          <w:iCs w:val="false"/>
          <w:sz w:val="21"/>
          <w:szCs w:val="21"/>
        </w:rPr>
        <w:t xml:space="preserve">괴리 상위 20% 그룹을 K-means로 군집화한 결과, 실루엣 계수 기준 최적 군집 수는 2개였다. 두 군집 중 소수 군집(71건)은 국내 1~2등급의 고액 상금 경주에 출전한 말들로 구성되어 있었고, 다수 군집(2,099건)은 일반 등급 경주의 말들이었다. 즉 모델과 시장의 판단이 크게 갈리는 경주는 상금 규모, 다시 말해 경주의 등급에 의해 상당 부분 구분된다는 결과가 나왔다.</w:t>
      </w:r>
    </w:p>
    <w:p>
      <w:pPr>
        <w:pStyle w:val="Heading2"/>
        <w:spacing w:after="120" w:before="260"/>
      </w:pPr>
      <w:r>
        <w:rPr>
          <w:rFonts w:ascii="맑은 고딕" w:cs="맑은 고딕" w:eastAsia="맑은 고딕" w:hAnsi="맑은 고딕"/>
          <w:b/>
          <w:bCs/>
          <w:color w:val="1F3864"/>
          <w:sz w:val="23"/>
          <w:szCs w:val="23"/>
        </w:rPr>
        <w:t xml:space="preserve">2.4 괴리 구간별 실제 승률 비교 — 핵심 검증</w:t>
      </w:r>
    </w:p>
    <w:p>
      <w:pPr>
        <w:spacing w:after="160" w:line="300"/>
      </w:pPr>
      <w:r>
        <w:rPr>
          <w:rFonts w:ascii="맑은 고딕" w:cs="맑은 고딕" w:eastAsia="맑은 고딕" w:hAnsi="맑은 고딕"/>
          <w:b w:val="false"/>
          <w:bCs w:val="false"/>
          <w:i w:val="false"/>
          <w:iCs w:val="false"/>
          <w:sz w:val="21"/>
          <w:szCs w:val="21"/>
        </w:rPr>
        <w:t xml:space="preserve">모델 확률과 시장 확률의 차이(괴리)를 10분위로 나누고, 각 구간에서 실제 승률이 둘 중 어느 쪽에 더 가까운지 집계했다. 이는 모델과 시장 중 어느 쪽의 판단이 실제 결과에 더 부합하는지를 가리는, 본 프로젝트에서 가장 중요한 검증 단계다.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괴리 구간</w:t>
            </w:r>
          </w:p>
        </w:tc>
        <w:tc>
          <w:tcPr>
            <w:tcW w:type="dxa" w:w="22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모델 평균 확률</w:t>
            </w:r>
          </w:p>
        </w:tc>
        <w:tc>
          <w:tcPr>
            <w:tcW w:type="dxa" w:w="22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시장 평균 확률</w:t>
            </w:r>
          </w:p>
        </w:tc>
        <w:tc>
          <w:tcPr>
            <w:tcW w:type="dxa" w:w="22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실제 승률</w:t>
            </w:r>
          </w:p>
        </w:tc>
      </w:tr>
      <w:tr>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1 (가장 낮음)</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0.1862</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0.1058</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0.0995</w:t>
            </w:r>
          </w:p>
        </w:tc>
      </w:tr>
      <w:tr>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0.2767</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0.0820</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0.0737</w:t>
            </w:r>
          </w:p>
        </w:tc>
      </w:tr>
      <w:tr>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5</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0.3693</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0.0946</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0.0968</w:t>
            </w:r>
          </w:p>
        </w:tc>
      </w:tr>
      <w:tr>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7</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0.4536</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0.0996</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0.0912</w:t>
            </w:r>
          </w:p>
        </w:tc>
      </w:tr>
      <w:tr>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9</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0.5514</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0.1048</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0.1088</w:t>
            </w:r>
          </w:p>
        </w:tc>
      </w:tr>
      <w:tr>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10 (가장 높음)</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0.6185</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0.0948</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0.0986</w:t>
            </w:r>
          </w:p>
        </w:tc>
      </w:tr>
    </w:tbl>
    <w:p>
      <w:pPr>
        <w:spacing w:after="200" w:before="60"/>
      </w:pPr>
      <w:r>
        <w:rPr>
          <w:rFonts w:ascii="맑은 고딕" w:cs="맑은 고딕" w:eastAsia="맑은 고딕" w:hAnsi="맑은 고딕"/>
          <w:i/>
          <w:iCs/>
          <w:color w:val="666666"/>
          <w:sz w:val="18"/>
          <w:szCs w:val="18"/>
        </w:rPr>
        <w:t xml:space="preserve">표 3. 괴리 10분위별 모델 확률 · 시장 확률 · 실제 승률 비교 (일부 구간 발췌)</w:t>
      </w:r>
    </w:p>
    <w:p>
      <w:pPr>
        <w:spacing w:after="160" w:line="300"/>
      </w:pPr>
      <w:r>
        <w:rPr>
          <w:rFonts w:ascii="맑은 고딕" w:cs="맑은 고딕" w:eastAsia="맑은 고딕" w:hAnsi="맑은 고딕"/>
          <w:b w:val="false"/>
          <w:bCs w:val="false"/>
          <w:i w:val="false"/>
          <w:iCs w:val="false"/>
          <w:sz w:val="21"/>
          <w:szCs w:val="21"/>
        </w:rPr>
        <w:t xml:space="preserve">모든 구간에서 실제 승률은 모델 확률보다 시장 확률에 훨씬 가깝게 나타났다. 모델의 예측 확률은 0.19~0.62 범위로 넓게 퍼져 있었던 반면, 시장 확률과 실제 승률은 모두 0.05~0.11 범위에 안정적으로 머물렀다. 이는 모델이 전반적으로 확률을 과대추정하고 있으며, 확률의 보정(calibration)이 필요함을 명확히 보여준다.</w:t>
      </w:r>
    </w:p>
    <w:p>
      <w:pPr>
        <w:pStyle w:val="Heading2"/>
        <w:spacing w:after="120" w:before="260"/>
      </w:pPr>
      <w:r>
        <w:rPr>
          <w:rFonts w:ascii="맑은 고딕" w:cs="맑은 고딕" w:eastAsia="맑은 고딕" w:hAnsi="맑은 고딕"/>
          <w:b/>
          <w:bCs/>
          <w:color w:val="1F3864"/>
          <w:sz w:val="23"/>
          <w:szCs w:val="23"/>
        </w:rPr>
        <w:t xml:space="preserve">2.5 시장 편향(Favorite-Longshot Bias) 검증</w:t>
      </w:r>
    </w:p>
    <w:p>
      <w:pPr>
        <w:spacing w:after="160" w:line="300"/>
      </w:pPr>
      <w:r>
        <w:rPr>
          <w:rFonts w:ascii="맑은 고딕" w:cs="맑은 고딕" w:eastAsia="맑은 고딕" w:hAnsi="맑은 고딕"/>
          <w:b w:val="false"/>
          <w:bCs w:val="false"/>
          <w:i w:val="false"/>
          <w:iCs w:val="false"/>
          <w:sz w:val="21"/>
          <w:szCs w:val="21"/>
        </w:rPr>
        <w:t xml:space="preserve">해외 경마 시장에서는 인기마(배당률이 낮은 말)의 실제 승률이 시장 확률보다 높고, 비인기마는 반대로 낮게 나오는 경향이 잘 알려져 있다. 이 현상이 국내 서울 경마에서도 재현되는지 배당 구간별로 확인했다.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배당 구간</w:t>
            </w:r>
          </w:p>
        </w:tc>
        <w:tc>
          <w:tcPr>
            <w:tcW w:type="dxa" w:w="22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실제 승률</w:t>
            </w:r>
          </w:p>
        </w:tc>
        <w:tc>
          <w:tcPr>
            <w:tcW w:type="dxa" w:w="22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시장 확률</w:t>
            </w:r>
          </w:p>
        </w:tc>
        <w:tc>
          <w:tcPr>
            <w:tcW w:type="dxa" w:w="24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편향(bias)</w:t>
            </w:r>
          </w:p>
        </w:tc>
      </w:tr>
      <w:tr>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1배대 미만</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0.4970</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0.5089</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-0.0119</w:t>
            </w:r>
          </w:p>
        </w:tc>
      </w:tr>
      <w:tr>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2~3배</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0.3327</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0.3307</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+0.0021</w:t>
            </w:r>
          </w:p>
        </w:tc>
      </w:tr>
      <w:tr>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3~5배</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0.2202</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0.2077</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+0.0125</w:t>
            </w:r>
          </w:p>
        </w:tc>
      </w:tr>
      <w:tr>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5~10배</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0.1217</w:t>
            </w:r>
          </w:p>
        </w:tc>
        <w:tc>
          <w:tcPr>
            <w:tcW w:type="dxa" w:w="2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0.1142</w:t>
            </w:r>
          </w:p>
        </w:tc>
        <w:tc>
          <w:tcPr>
            <w:tcW w:type="dxa" w:w="24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+0.0075</w:t>
            </w:r>
          </w:p>
        </w:tc>
      </w:tr>
      <w:tr>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10배 이상</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0.0282</w:t>
            </w:r>
          </w:p>
        </w:tc>
        <w:tc>
          <w:tcPr>
            <w:tcW w:type="dxa" w:w="2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0.0319</w:t>
            </w:r>
          </w:p>
        </w:tc>
        <w:tc>
          <w:tcPr>
            <w:tcW w:type="dxa" w:w="24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-0.0037</w:t>
            </w:r>
          </w:p>
        </w:tc>
      </w:tr>
    </w:tbl>
    <w:p>
      <w:pPr>
        <w:spacing w:after="200" w:before="60"/>
      </w:pPr>
      <w:r>
        <w:rPr>
          <w:rFonts w:ascii="맑은 고딕" w:cs="맑은 고딕" w:eastAsia="맑은 고딕" w:hAnsi="맑은 고딕"/>
          <w:i/>
          <w:iCs/>
          <w:color w:val="666666"/>
          <w:sz w:val="18"/>
          <w:szCs w:val="18"/>
        </w:rPr>
        <w:t xml:space="preserve">표 4. 배당 구간별 실제 승률과 시장 확률 비교</w:t>
      </w:r>
    </w:p>
    <w:p>
      <w:pPr>
        <w:spacing w:after="160" w:line="300"/>
      </w:pPr>
      <w:r>
        <w:rPr>
          <w:rFonts w:ascii="맑은 고딕" w:cs="맑은 고딕" w:eastAsia="맑은 고딕" w:hAnsi="맑은 고딕"/>
          <w:b w:val="false"/>
          <w:bCs w:val="false"/>
          <w:i w:val="false"/>
          <w:iCs w:val="false"/>
          <w:sz w:val="21"/>
          <w:szCs w:val="21"/>
        </w:rPr>
        <w:t xml:space="preserve">분석 결과 인기마 구간의 편향은 -0.012, 비인기마 구간의 편향은 -0.004로 모두 크지 않았으며, 오히려 중간 구간(3~10배)에서는 시장이 살짝 과소평가하는 양의 편향이 관찰됐다. 종합하면 서울 경마 시장에서는 해외에서 흔히 보고되는 인기마-비인기마 편향이 뚜렷하게 나타나지 않았으며, 이는 시장이 상당히 효율적으로 가격을 형성하고 있다는 근거로 해석할 수 있다.</w:t>
      </w:r>
    </w:p>
    <w:p>
      <w:pPr>
        <w:pStyle w:val="Heading1"/>
        <w:spacing w:after="160" w:before="360"/>
      </w:pPr>
      <w:r>
        <w:rPr>
          <w:rFonts w:ascii="맑은 고딕" w:cs="맑은 고딕" w:eastAsia="맑은 고딕" w:hAnsi="맑은 고딕"/>
          <w:b/>
          <w:bCs/>
          <w:color w:val="1F3864"/>
          <w:sz w:val="27"/>
          <w:szCs w:val="27"/>
        </w:rPr>
        <w:t xml:space="preserve">3. 추가 실험 1 — 확률 보정(Calibration)</w:t>
      </w:r>
    </w:p>
    <w:p>
      <w:pPr>
        <w:spacing w:after="160" w:line="300"/>
      </w:pPr>
      <w:r>
        <w:rPr>
          <w:rFonts w:ascii="맑은 고딕" w:cs="맑은 고딕" w:eastAsia="맑은 고딕" w:hAnsi="맑은 고딕"/>
          <w:b w:val="false"/>
          <w:bCs w:val="false"/>
          <w:i w:val="false"/>
          <w:iCs w:val="false"/>
          <w:sz w:val="21"/>
          <w:szCs w:val="21"/>
        </w:rPr>
        <w:t xml:space="preserve">기본 모델 분석에서 모델의 예측 확률이 실제 승률보다 전반적으로 부풀려져 있다는 문제가 확인되었다. 이에 따라 모델이 내놓는 확률값 자체를 실제 승률에 맞게 교정하는 실험을 진행했다. 이는 모델의 순위를 매기는 능력(누가 더 유력한지 가려내는 능력)이 아니라, 모델이 말하는 확률의 크기 자체가 믿을 만한지를 개선하는 작업이다.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구분</w:t>
            </w:r>
          </w:p>
        </w:tc>
        <w:tc>
          <w:tcPr>
            <w:tcW w:type="dxa" w:w="30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ROC-AUC</w:t>
            </w:r>
          </w:p>
        </w:tc>
        <w:tc>
          <w:tcPr>
            <w:tcW w:type="dxa" w:w="30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확률 오차(Cal_MAE)</w:t>
            </w:r>
          </w:p>
        </w:tc>
      </w:tr>
      <w:tr>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보정 전 (Raw)</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0.7495</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0.3004</w:t>
            </w:r>
          </w:p>
        </w:tc>
      </w:tr>
      <w:tr>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Platt Scaling 적용</w:t>
            </w:r>
          </w:p>
        </w:tc>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0.7495</w:t>
            </w:r>
          </w:p>
        </w:tc>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0.0121</w:t>
            </w:r>
          </w:p>
        </w:tc>
      </w:tr>
      <w:tr>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Isotonic Regression 적용</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0.7478</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0.0298</w:t>
            </w:r>
          </w:p>
        </w:tc>
      </w:tr>
      <w:tr>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시장 확률(배당률)</w:t>
            </w:r>
          </w:p>
        </w:tc>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0.8168</w:t>
            </w:r>
          </w:p>
        </w:tc>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0.1203</w:t>
            </w:r>
          </w:p>
        </w:tc>
      </w:tr>
    </w:tbl>
    <w:p>
      <w:pPr>
        <w:spacing w:after="200" w:before="60"/>
      </w:pPr>
      <w:r>
        <w:rPr>
          <w:rFonts w:ascii="맑은 고딕" w:cs="맑은 고딕" w:eastAsia="맑은 고딕" w:hAnsi="맑은 고딕"/>
          <w:i/>
          <w:iCs/>
          <w:color w:val="666666"/>
          <w:sz w:val="18"/>
          <w:szCs w:val="18"/>
        </w:rPr>
        <w:t xml:space="preserve">표 5. 확률 보정 전후 비교</w:t>
      </w:r>
    </w:p>
    <w:p>
      <w:pPr>
        <w:spacing w:after="160" w:line="300"/>
      </w:pPr>
      <w:r>
        <w:rPr>
          <w:rFonts w:ascii="맑은 고딕" w:cs="맑은 고딕" w:eastAsia="맑은 고딕" w:hAnsi="맑은 고딕"/>
          <w:b w:val="false"/>
          <w:bCs w:val="false"/>
          <w:i w:val="false"/>
          <w:iCs w:val="false"/>
          <w:sz w:val="21"/>
          <w:szCs w:val="21"/>
        </w:rPr>
        <w:t xml:space="preserve">Platt Scaling을 적용한 결과 확률 오차가 0.30에서 0.01 수준으로 25배가량 개선되어, 모델이 10%의 승률을 예측하면 실제로도 약 10%가 이기는 수준까지 확률의 신뢰도를 끌어올릴 수 있었다. 다만 이 보정은 확률값의 크기만 교정할 뿐 순위를 가려내는 능력(ROC-AUC)에는 영향을 주지 않았으며, 판별력 자체는 여전히 시장(0.82)이 모델(0.75)보다 우위에 있었다. 따라서 모델이 제시하는 확률을 '기대 승률'로 해석하고자 한다면 보정 과정을 반드시 거쳐야 한다는 점이 이번 실험의 결론이다.</w:t>
      </w:r>
    </w:p>
    <w:p>
      <w:pPr>
        <w:pStyle w:val="Heading1"/>
        <w:spacing w:after="160" w:before="360"/>
      </w:pPr>
      <w:r>
        <w:rPr>
          <w:rFonts w:ascii="맑은 고딕" w:cs="맑은 고딕" w:eastAsia="맑은 고딕" w:hAnsi="맑은 고딕"/>
          <w:b/>
          <w:bCs/>
          <w:color w:val="1F3864"/>
          <w:sz w:val="27"/>
          <w:szCs w:val="27"/>
        </w:rPr>
        <w:t xml:space="preserve">4. 추가 실험 2 — 모델과 시장의 결합</w:t>
      </w:r>
    </w:p>
    <w:p>
      <w:pPr>
        <w:spacing w:after="160" w:line="300"/>
      </w:pPr>
      <w:r>
        <w:rPr>
          <w:rFonts w:ascii="맑은 고딕" w:cs="맑은 고딕" w:eastAsia="맑은 고딕" w:hAnsi="맑은 고딕"/>
          <w:b w:val="false"/>
          <w:bCs w:val="false"/>
          <w:i w:val="false"/>
          <w:iCs w:val="false"/>
          <w:sz w:val="21"/>
          <w:szCs w:val="21"/>
        </w:rPr>
        <w:t xml:space="preserve">1차 모델의 예측 확률과 시장 확률을 함께 활용하면 각각의 장점을 살려 더 나은 성능을 낼 수 있을 것이라는 가설을 검증했다. 1차 모델의 예측 확률, 시장 확률, 그리고 둘의 차이(괴리)를 포함한 8개 변수로 2단계 모델을 다시 학습시켰다.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모델</w:t>
            </w:r>
          </w:p>
        </w:tc>
        <w:tc>
          <w:tcPr>
            <w:tcW w:type="dxa" w:w="30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ROC-AUC</w:t>
            </w:r>
          </w:p>
        </w:tc>
        <w:tc>
          <w:tcPr>
            <w:tcW w:type="dxa" w:w="30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확률 오차(Cal_MAE)</w:t>
            </w:r>
          </w:p>
        </w:tc>
      </w:tr>
      <w:tr>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2단계 로지스틱 회귀</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0.7081</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0.3586</w:t>
            </w:r>
          </w:p>
        </w:tc>
      </w:tr>
      <w:tr>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2단계 랜덤포레스트</w:t>
            </w:r>
          </w:p>
        </w:tc>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0.7173</w:t>
            </w:r>
          </w:p>
        </w:tc>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0.3546</w:t>
            </w:r>
          </w:p>
        </w:tc>
      </w:tr>
      <w:tr>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2단계 XGBoost</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0.7043</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0.3522</w:t>
            </w:r>
          </w:p>
        </w:tc>
      </w:tr>
      <w:tr>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1단계 랜덤포레스트(참고)</w:t>
            </w:r>
          </w:p>
        </w:tc>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0.7495</w:t>
            </w:r>
          </w:p>
        </w:tc>
        <w:tc>
          <w:tcPr>
            <w:tcW w:type="dxa" w:w="30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0.3004</w:t>
            </w:r>
          </w:p>
        </w:tc>
      </w:tr>
      <w:tr>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시장 확률 단독(참고)</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0.8168</w:t>
            </w:r>
          </w:p>
        </w:tc>
        <w:tc>
          <w:tcPr>
            <w:tcW w:type="dxa" w:w="30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0.1203</w:t>
            </w:r>
          </w:p>
        </w:tc>
      </w:tr>
    </w:tbl>
    <w:p>
      <w:pPr>
        <w:spacing w:after="200" w:before="60"/>
      </w:pPr>
      <w:r>
        <w:rPr>
          <w:rFonts w:ascii="맑은 고딕" w:cs="맑은 고딕" w:eastAsia="맑은 고딕" w:hAnsi="맑은 고딕"/>
          <w:i/>
          <w:iCs/>
          <w:color w:val="666666"/>
          <w:sz w:val="18"/>
          <w:szCs w:val="18"/>
        </w:rPr>
        <w:t xml:space="preserve">표 6. 2단계 모델 성능 비교</w:t>
      </w:r>
    </w:p>
    <w:p>
      <w:pPr>
        <w:spacing w:after="160" w:line="300"/>
      </w:pPr>
      <w:r>
        <w:rPr>
          <w:rFonts w:ascii="맑은 고딕" w:cs="맑은 고딕" w:eastAsia="맑은 고딕" w:hAnsi="맑은 고딕"/>
          <w:b w:val="false"/>
          <w:bCs w:val="false"/>
          <w:i w:val="false"/>
          <w:iCs w:val="false"/>
          <w:sz w:val="21"/>
          <w:szCs w:val="21"/>
        </w:rPr>
        <w:t xml:space="preserve">결과는 예상과 달리 2단계 모델의 최고 성능(ROC-AUC 0.717)이 1단계 모델(0.750)보다도 낮게 나타났으며, 시장 확률 단독(0.817)에는 여전히 크게 미치지 못했다. 2단계 모델의 변수 중요도를 살펴본 결과 시장 확률이 압도적인 비중을 차지했고, 1단계 모델의 예측 확률이 기여하는 정도는 미미했다. 이는 모델이 활용하는 과거 성적·훈련 정보를 베팅에 참여하는 대중 역시 이미 알고 베팅에 반영하고 있어, 모델이 추가로 제공할 수 있는 새로운 정보가 많지 않았기 때문으로 해석된다. 단순히 두 확률을 결합하는 방식으로는 시장을 넘어서기 어렵다는 것이 이번 실험의 결론이며, 이는 시장이 아직 반영하지 못한 정보나 시장이 상대적으로 비효율적인 구간을 찾는 접근이 필요하다는 다음 실험의 출발점이 되었다.</w:t>
      </w:r>
    </w:p>
    <w:p>
      <w:pPr>
        <w:pStyle w:val="Heading1"/>
        <w:spacing w:after="160" w:before="360"/>
      </w:pPr>
      <w:r>
        <w:rPr>
          <w:rFonts w:ascii="맑은 고딕" w:cs="맑은 고딕" w:eastAsia="맑은 고딕" w:hAnsi="맑은 고딕"/>
          <w:b/>
          <w:bCs/>
          <w:color w:val="1F3864"/>
          <w:sz w:val="27"/>
          <w:szCs w:val="27"/>
        </w:rPr>
        <w:t xml:space="preserve">5. 추가 실험 3 — 이변(복병) 예측 모델</w:t>
      </w:r>
    </w:p>
    <w:p>
      <w:pPr>
        <w:spacing w:after="160" w:line="300"/>
      </w:pPr>
      <w:r>
        <w:rPr>
          <w:rFonts w:ascii="맑은 고딕" w:cs="맑은 고딕" w:eastAsia="맑은 고딕" w:hAnsi="맑은 고딕"/>
          <w:b w:val="false"/>
          <w:bCs w:val="false"/>
          <w:i w:val="false"/>
          <w:iCs w:val="false"/>
          <w:sz w:val="21"/>
          <w:szCs w:val="21"/>
        </w:rPr>
        <w:t xml:space="preserve">앞선 두 실험을 통해 '누가 1착 할지'를 직접 맞히는 접근으로는 시장을 넘어서기 어렵다는 점이 분명해졌다. 이에 따라 목표를 전환하여, 인기 하위 50%에 해당하는 비인기마이면서 실제로 1착을 차지한 경우를 '이변'으로 정의하고, 시장이 상대적으로 놓칠 가능성이 있는 이변을 예측하는 모델을 별도로 구축했다.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모델</w:t>
            </w:r>
          </w:p>
        </w:tc>
        <w:tc>
          <w:tcPr>
            <w:tcW w:type="dxa" w:w="13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Accuracy</w:t>
            </w:r>
          </w:p>
        </w:tc>
        <w:tc>
          <w:tcPr>
            <w:tcW w:type="dxa" w:w="13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13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Recall</w:t>
            </w:r>
          </w:p>
        </w:tc>
        <w:tc>
          <w:tcPr>
            <w:tcW w:type="dxa" w:w="13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F1(Macro)</w:t>
            </w:r>
          </w:p>
        </w:tc>
        <w:tc>
          <w:tcPr>
            <w:tcW w:type="dxa" w:w="13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ROC-AUC</w:t>
            </w:r>
          </w:p>
        </w:tc>
      </w:tr>
      <w:tr>
        <w:tc>
          <w:tcPr>
            <w:tcW w:type="dxa" w:w="26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랜덤포레스트 (이변예측)</w:t>
            </w:r>
          </w:p>
        </w:tc>
        <w:tc>
          <w:tcPr>
            <w:tcW w:type="dxa" w:w="13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0.6556</w:t>
            </w:r>
          </w:p>
        </w:tc>
        <w:tc>
          <w:tcPr>
            <w:tcW w:type="dxa" w:w="13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0.1935</w:t>
            </w:r>
          </w:p>
        </w:tc>
        <w:tc>
          <w:tcPr>
            <w:tcW w:type="dxa" w:w="13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0.5099</w:t>
            </w:r>
          </w:p>
        </w:tc>
        <w:tc>
          <w:tcPr>
            <w:tcW w:type="dxa" w:w="13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0.5271</w:t>
            </w:r>
          </w:p>
        </w:tc>
        <w:tc>
          <w:tcPr>
            <w:tcW w:type="dxa" w:w="13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0.6422</w:t>
            </w:r>
          </w:p>
        </w:tc>
      </w:tr>
      <w:tr>
        <w:tc>
          <w:tcPr>
            <w:tcW w:type="dxa" w:w="26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XGBoost (이변예측)</w:t>
            </w:r>
          </w:p>
        </w:tc>
        <w:tc>
          <w:tcPr>
            <w:tcW w:type="dxa" w:w="13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0.8454</w:t>
            </w:r>
          </w:p>
        </w:tc>
        <w:tc>
          <w:tcPr>
            <w:tcW w:type="dxa" w:w="13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0.2381</w:t>
            </w:r>
          </w:p>
        </w:tc>
        <w:tc>
          <w:tcPr>
            <w:tcW w:type="dxa" w:w="13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0.0793</w:t>
            </w:r>
          </w:p>
        </w:tc>
        <w:tc>
          <w:tcPr>
            <w:tcW w:type="dxa" w:w="13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0.5171</w:t>
            </w:r>
          </w:p>
        </w:tc>
        <w:tc>
          <w:tcPr>
            <w:tcW w:type="dxa" w:w="13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0.5821</w:t>
            </w:r>
          </w:p>
        </w:tc>
      </w:tr>
    </w:tbl>
    <w:p>
      <w:pPr>
        <w:spacing w:after="200" w:before="60"/>
      </w:pPr>
      <w:r>
        <w:rPr>
          <w:rFonts w:ascii="맑은 고딕" w:cs="맑은 고딕" w:eastAsia="맑은 고딕" w:hAnsi="맑은 고딕"/>
          <w:i/>
          <w:iCs/>
          <w:color w:val="666666"/>
          <w:sz w:val="18"/>
          <w:szCs w:val="18"/>
        </w:rPr>
        <w:t xml:space="preserve">표 7. 이변 예측 모델 성능</w:t>
      </w:r>
    </w:p>
    <w:p>
      <w:pPr>
        <w:spacing w:after="160" w:line="300"/>
      </w:pPr>
      <w:r>
        <w:rPr>
          <w:rFonts w:ascii="맑은 고딕" w:cs="맑은 고딕" w:eastAsia="맑은 고딕" w:hAnsi="맑은 고딕"/>
          <w:b w:val="false"/>
          <w:bCs w:val="false"/>
          <w:i w:val="false"/>
          <w:iCs w:val="false"/>
          <w:sz w:val="21"/>
          <w:szCs w:val="21"/>
        </w:rPr>
        <w:t xml:space="preserve">이변은 전체의 13.2%만 해당하는 희귀 사건인 만큼 ROC-AUC 0.64는 절대적으로 높은 수치는 아니지만, 완전히 무작위로 추측하는 경우(0.5)보다는 뚜렷하게 나은 판별력이다. 다만 이 실험에서 실질적으로 중요한 것은 전체 판별력보다, 모델이 높은 점수를 준 말들에서 실제 이변 적중률이 얼마나 높아지는가였다.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rPr>
          <w:tblHeader/>
        </w:trPr>
        <w:tc>
          <w:tcPr>
            <w:tcW w:type="dxa" w:w="32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예측 점수 구간</w:t>
            </w:r>
          </w:p>
        </w:tc>
        <w:tc>
          <w:tcPr>
            <w:tcW w:type="dxa" w:w="28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이변 적중률</w:t>
            </w:r>
          </w:p>
        </w:tc>
        <w:tc>
          <w:tcPr>
            <w:tcW w:type="dxa" w:w="2800"/>
            <w:tcBorders>
              <w:top w:val="single" w:color="999999" w:sz="3"/>
              <w:left w:val="single" w:color="999999" w:sz="3"/>
              <w:bottom w:val="single" w:color="999999" w:sz="3"/>
              <w:right w:val="single" w:color="999999" w:sz="3"/>
            </w:tcBorders>
            <w:shd w:fill="1F3864"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평균 배당률</w:t>
            </w:r>
          </w:p>
        </w:tc>
      </w:tr>
      <w:tr>
        <w:tc>
          <w:tcPr>
            <w:tcW w:type="dxa" w:w="3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 (최하위)</w:t>
            </w:r>
          </w:p>
        </w:tc>
        <w:tc>
          <w:tcPr>
            <w:tcW w:type="dxa" w:w="28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0.0365</w:t>
            </w:r>
          </w:p>
        </w:tc>
        <w:tc>
          <w:tcPr>
            <w:tcW w:type="dxa" w:w="28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71.50배</w:t>
            </w:r>
          </w:p>
        </w:tc>
      </w:tr>
      <w:tr>
        <w:tc>
          <w:tcPr>
            <w:tcW w:type="dxa" w:w="3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28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0.0904</w:t>
            </w:r>
          </w:p>
        </w:tc>
        <w:tc>
          <w:tcPr>
            <w:tcW w:type="dxa" w:w="28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45.23배</w:t>
            </w:r>
          </w:p>
        </w:tc>
      </w:tr>
      <w:tr>
        <w:tc>
          <w:tcPr>
            <w:tcW w:type="dxa" w:w="32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6</w:t>
            </w:r>
          </w:p>
        </w:tc>
        <w:tc>
          <w:tcPr>
            <w:tcW w:type="dxa" w:w="28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0.1809</w:t>
            </w:r>
          </w:p>
        </w:tc>
        <w:tc>
          <w:tcPr>
            <w:tcW w:type="dxa" w:w="2800"/>
            <w:tcBorders>
              <w:top w:val="single" w:color="999999" w:sz="3"/>
              <w:left w:val="single" w:color="999999" w:sz="3"/>
              <w:bottom w:val="single" w:color="999999" w:sz="3"/>
              <w:right w:val="single" w:color="999999" w:sz="3"/>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35.73배</w:t>
            </w:r>
          </w:p>
        </w:tc>
      </w:tr>
      <w:tr>
        <w:tc>
          <w:tcPr>
            <w:tcW w:type="dxa" w:w="32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9 (최상위)</w:t>
            </w:r>
          </w:p>
        </w:tc>
        <w:tc>
          <w:tcPr>
            <w:tcW w:type="dxa" w:w="28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0.2383</w:t>
            </w:r>
          </w:p>
        </w:tc>
        <w:tc>
          <w:tcPr>
            <w:tcW w:type="dxa" w:w="2800"/>
            <w:tcBorders>
              <w:top w:val="single" w:color="999999" w:sz="3"/>
              <w:left w:val="single" w:color="999999" w:sz="3"/>
              <w:bottom w:val="single" w:color="999999" w:sz="3"/>
              <w:right w:val="single" w:color="999999" w:sz="3"/>
            </w:tcBorders>
            <w:shd w:fill="EEF3FB" w:color="auto" w:val="clear"/>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000000"/>
                <w:sz w:val="18"/>
                <w:szCs w:val="18"/>
              </w:rPr>
              <w:t xml:space="preserve">24.52배</w:t>
            </w:r>
          </w:p>
        </w:tc>
      </w:tr>
    </w:tbl>
    <w:p>
      <w:pPr>
        <w:spacing w:after="200" w:before="60"/>
      </w:pPr>
      <w:r>
        <w:rPr>
          <w:rFonts w:ascii="맑은 고딕" w:cs="맑은 고딕" w:eastAsia="맑은 고딕" w:hAnsi="맑은 고딕"/>
          <w:i/>
          <w:iCs/>
          <w:color w:val="666666"/>
          <w:sz w:val="18"/>
          <w:szCs w:val="18"/>
        </w:rPr>
        <w:t xml:space="preserve">표 8. 예측 점수 구간별 이변 적중률 (일부 구간 발췌)</w:t>
      </w:r>
    </w:p>
    <w:p>
      <w:pPr>
        <w:spacing w:after="160" w:line="300"/>
      </w:pPr>
      <w:r>
        <w:rPr>
          <w:rFonts w:ascii="맑은 고딕" w:cs="맑은 고딕" w:eastAsia="맑은 고딕" w:hAnsi="맑은 고딕"/>
          <w:b w:val="false"/>
          <w:bCs w:val="false"/>
          <w:i w:val="false"/>
          <w:iCs w:val="false"/>
          <w:sz w:val="21"/>
          <w:szCs w:val="21"/>
        </w:rPr>
        <w:t xml:space="preserve">모델이 가장 높은 점수를 부여한 상위 10% 그룹의 실제 이변 적중률은 23.8%로, 전체 평균 이변 비율 13.2% 대비 약 1.8배 높았다. 이 그룹의 평균 배당률이 24.5배였다는 점을 고려하면, 단순 기대값 계산상 100원을 투자했을 때 평균 583원이 회수되는 셈이다. 물론 실제 베팅에서는 변동성이 크므로 이 수치를 그대로 수익으로 해석할 수는 없으나, 무작위로 비인기마를 고르는 경우보다 유의미하게 나은 선택이 가능하다는 것을 보여준다.</w:t>
      </w:r>
    </w:p>
    <w:p>
      <w:pPr>
        <w:spacing w:after="160" w:line="300"/>
      </w:pPr>
      <w:r>
        <w:rPr>
          <w:rFonts w:ascii="맑은 고딕" w:cs="맑은 고딕" w:eastAsia="맑은 고딕" w:hAnsi="맑은 고딕"/>
          <w:b w:val="false"/>
          <w:bCs w:val="false"/>
          <w:i w:val="false"/>
          <w:iCs w:val="false"/>
          <w:sz w:val="21"/>
          <w:szCs w:val="21"/>
        </w:rPr>
        <w:t xml:space="preserve">변수 중요도를 살펴보면 이변은 특정 패턴에서 발생하는 경향이 있었다. 직전 경주에서 하위권에 머물렀던 말이 이번 경주에서 갑자기 상위권으로 도약하는 경우, 최근 14일간 훈련 횟수가 급증해 컨디션 회복 신호로 해석될 수 있는 경우, 그리고 입상률이 높은 기수가 비인기마에 탑승하는 경우에 이변이 상대적으로 자주 발생했다. 이는 대중이 '직전 성적이 나빴던 말은 이번에도 부진할 것'이라는 단순한 추론에 의존하는 반면, 모델은 기수 교체나 훈련량 변화 같은 세부 신호까지 반영해 판단한다는 것을 시사한다.</w:t>
      </w:r>
    </w:p>
    <w:p>
      <w:pPr>
        <w:pStyle w:val="Heading1"/>
        <w:spacing w:after="160" w:before="360"/>
      </w:pPr>
      <w:r>
        <w:rPr>
          <w:rFonts w:ascii="맑은 고딕" w:cs="맑은 고딕" w:eastAsia="맑은 고딕" w:hAnsi="맑은 고딕"/>
          <w:b/>
          <w:bCs/>
          <w:color w:val="1F3864"/>
          <w:sz w:val="27"/>
          <w:szCs w:val="27"/>
        </w:rPr>
        <w:t xml:space="preserve">6. 종합 결론</w:t>
      </w:r>
    </w:p>
    <w:p>
      <w:pPr>
        <w:spacing w:after="160" w:line="300"/>
      </w:pPr>
      <w:r>
        <w:rPr>
          <w:rFonts w:ascii="맑은 고딕" w:cs="맑은 고딕" w:eastAsia="맑은 고딕" w:hAnsi="맑은 고딕"/>
          <w:b w:val="false"/>
          <w:bCs w:val="false"/>
          <w:i w:val="false"/>
          <w:iCs w:val="false"/>
          <w:sz w:val="21"/>
          <w:szCs w:val="21"/>
        </w:rPr>
        <w:t xml:space="preserve">본 프로젝트는 '경주마의 1착 여부를 직접 예측하는 모델이 배당률이라는 시장의 집단 판단을 능가할 수 있는가'라는 질문에서 출발했다. 결론부터 말하면, 직접적인 승부 예측에서는 모델이 시장을 넘어서지 못했다. 랜덤포레스트 모델의 판별력(ROC-AUC 0.75)은 시장 확률의 판별력(0.82)에 미치지 못했으며, 모델과 시장의 예측을 단순 결합하는 방식으로도 이 격차를 좁히지 못했다. 서울 경마 시장에서는 해외에서 보고되는 인기마-비인기마 편향 역시 뚜렷하게 나타나지 않아, 시장이 상당히 효율적으로 가격을 형성하고 있다는 근거가 확인되었다.</w:t>
      </w:r>
    </w:p>
    <w:p>
      <w:pPr>
        <w:spacing w:after="160" w:line="300"/>
      </w:pPr>
      <w:r>
        <w:rPr>
          <w:rFonts w:ascii="맑은 고딕" w:cs="맑은 고딕" w:eastAsia="맑은 고딕" w:hAnsi="맑은 고딕"/>
          <w:b w:val="false"/>
          <w:bCs w:val="false"/>
          <w:i w:val="false"/>
          <w:iCs w:val="false"/>
          <w:sz w:val="21"/>
          <w:szCs w:val="21"/>
        </w:rPr>
        <w:t xml:space="preserve">다만 이 과정에서 두 가지 실질적인 성과를 확인했다. 첫째, 모델이 산출하는 확률값 자체는 보정을 거치면 신뢰할 수 있는 수준으로 개선할 수 있다는 것이다. 둘째, 목표를 '승부 예측'에서 '시장이 놓치는 이변 탐지'로 전환했을 때는 모델이 실질적인 정보 이점을 제공할 수 있다는 것이다. 모델이 높은 점수를 준 비인기마 그룹은 전체 평균보다 1.8배 높은 이변 적중률을 보였으며, 이는 대중이 놓치기 쉬운 최근 폼 변화, 기수 교체, 훈련량 증가 같은 신호를 모델이 포착했기 때문으로 해석된다.</w:t>
      </w:r>
    </w:p>
    <w:p>
      <w:pPr>
        <w:spacing w:after="160" w:line="300"/>
      </w:pPr>
      <w:r>
        <w:rPr>
          <w:rFonts w:ascii="맑은 고딕" w:cs="맑은 고딕" w:eastAsia="맑은 고딕" w:hAnsi="맑은 고딕"/>
          <w:b w:val="false"/>
          <w:bCs w:val="false"/>
          <w:i w:val="false"/>
          <w:iCs w:val="false"/>
          <w:sz w:val="21"/>
          <w:szCs w:val="21"/>
        </w:rPr>
        <w:t xml:space="preserve">종합하면, 데이터 기반 모델은 시장 전체를 상대로 승부를 겨루는 방식보다는 시장이 상대적으로 비효율적인 좁은 영역, 즉 대중이 쉽게 간과하는 비인기마 구간에서 더 실질적인 가치를 지닌다는 것이 본 프로젝트의 핵심 결론이다.</w:t>
      </w:r>
    </w:p>
    <w:p>
      <w:pPr>
        <w:pStyle w:val="Heading1"/>
        <w:spacing w:after="160" w:before="360"/>
      </w:pPr>
      <w:r>
        <w:rPr>
          <w:rFonts w:ascii="맑은 고딕" w:cs="맑은 고딕" w:eastAsia="맑은 고딕" w:hAnsi="맑은 고딕"/>
          <w:b/>
          <w:bCs/>
          <w:color w:val="1F3864"/>
          <w:sz w:val="27"/>
          <w:szCs w:val="27"/>
        </w:rPr>
        <w:t xml:space="preserve">7. 한계 및 향후 과제</w:t>
      </w:r>
    </w:p>
    <w:p>
      <w:pPr>
        <w:spacing w:after="160" w:line="300"/>
      </w:pPr>
      <w:r>
        <w:rPr>
          <w:rFonts w:ascii="맑은 고딕" w:cs="맑은 고딕" w:eastAsia="맑은 고딕" w:hAnsi="맑은 고딕"/>
          <w:b w:val="false"/>
          <w:bCs w:val="false"/>
          <w:i w:val="false"/>
          <w:iCs w:val="false"/>
          <w:sz w:val="21"/>
          <w:szCs w:val="21"/>
        </w:rPr>
        <w:t xml:space="preserve">본 분석은 서울 경마장의 약 3년치 데이터로 한정되어 있어 다른 경마장이나 더 긴 기간으로 일반화하기에는 한계가 있다. 또한 말의 부상이나 컨디션과 같이 데이터로 관측되지 않는 요인은 반영하지 못했다. 이변 예측 모델 역시 ROC-AUC 자체는 높지 않아 특정 경주의 결과를 확신 있게 예측하기보다는 확률적으로 유리한 후보를 걸러내는 보조 도구 수준으로 이해할 필요가 있다.</w:t>
      </w:r>
    </w:p>
    <w:p>
      <w:pPr>
        <w:spacing w:after="160" w:line="300"/>
      </w:pPr>
      <w:r>
        <w:rPr>
          <w:rFonts w:ascii="맑은 고딕" w:cs="맑은 고딕" w:eastAsia="맑은 고딕" w:hAnsi="맑은 고딕"/>
          <w:b w:val="false"/>
          <w:bCs w:val="false"/>
          <w:i w:val="false"/>
          <w:iCs w:val="false"/>
          <w:sz w:val="21"/>
          <w:szCs w:val="21"/>
        </w:rPr>
        <w:t xml:space="preserve">향후에는 각질(선행·추입 등 경주 스타일)이나 기수-마필 궁합과 같은 변수를 보강하고, 부산경남·제주 경마장으로 데이터 범위를 확장하여 이변 예측 모델의 재현성을 검증하는 작업이 이어질 필요가 있다.</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2026-08-15T05:19:14.776Z</dcterms:created>
  <dcterms:modified xsi:type="dcterms:W3CDTF">2026-08-15T05:19:14.788Z</dcterms:modified>
</cp:coreProperties>
</file>

<file path=docProps/custom.xml><?xml version="1.0" encoding="utf-8"?>
<Properties xmlns="http://schemas.openxmlformats.org/officeDocument/2006/custom-properties" xmlns:vt="http://schemas.openxmlformats.org/officeDocument/2006/docPropsVTypes"/>
</file>