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jc w:val="center"/>
      </w:pPr>
      <w:r>
        <w:rPr>
          <w:rFonts w:ascii="Arial" w:cs="Arial" w:eastAsia="Arial" w:hAnsi="Arial"/>
          <w:b/>
          <w:bCs/>
          <w:color w:val="AAAAAA"/>
          <w:spacing w:val="200"/>
          <w:sz w:val="18"/>
          <w:szCs w:val="18"/>
        </w:rPr>
        <w:t xml:space="preserve">TECHTATORS</w:t>
      </w:r>
    </w:p>
    <w:p>
      <w:pPr>
        <w:spacing w:after="160" w:before="160"/>
      </w:pPr>
    </w:p>
    <w:p>
      <w:pPr>
        <w:spacing w:after="20" w:before="40"/>
        <w:jc w:val="center"/>
      </w:pPr>
      <w:r>
        <w:rPr>
          <w:rFonts w:ascii="Arial" w:cs="Arial" w:eastAsia="Arial" w:hAnsi="Arial"/>
          <w:b/>
          <w:bCs/>
          <w:color w:val="1A2F5A"/>
          <w:sz w:val="64"/>
          <w:szCs w:val="64"/>
        </w:rPr>
        <w:t xml:space="preserve">Movie Collaboration</w:t>
      </w:r>
    </w:p>
    <w:p>
      <w:pPr>
        <w:spacing w:after="40" w:before="0"/>
        <w:jc w:val="center"/>
      </w:pPr>
      <w:r>
        <w:rPr>
          <w:rFonts w:ascii="Arial" w:cs="Arial" w:eastAsia="Arial" w:hAnsi="Arial"/>
          <w:b/>
          <w:bCs/>
          <w:color w:val="2E5FAC"/>
          <w:sz w:val="64"/>
          <w:szCs w:val="64"/>
        </w:rPr>
        <w:t xml:space="preserve">Network Analysis</w:t>
      </w:r>
    </w:p>
    <w:p>
      <w:pPr>
        <w:spacing w:after="200" w:before="60"/>
        <w:jc w:val="center"/>
      </w:pPr>
      <w:r>
        <w:rPr>
          <w:rFonts w:ascii="Arial" w:cs="Arial" w:eastAsia="Arial" w:hAnsi="Arial"/>
          <w:color w:val="555555"/>
          <w:sz w:val="26"/>
          <w:szCs w:val="26"/>
        </w:rPr>
        <w:t xml:space="preserve">Big Data &amp; Business Intelligence — Capstone Project Final Report</w:t>
      </w:r>
    </w:p>
    <w:p>
      <w:pPr>
        <w:jc w:val="center"/>
      </w:pPr>
      <w:r>
        <w:rPr>
          <w:rFonts w:ascii="Arial" w:cs="Arial" w:eastAsia="Arial" w:hAnsi="Arial"/>
          <w:color w:val="2E5FAC"/>
          <w:sz w:val="24"/>
          <w:szCs w:val="24"/>
        </w:rPr>
        <w:t xml:space="preserve">─────────────────────────────────────────────────────</w:t>
      </w:r>
    </w:p>
    <w:p>
      <w:pPr>
        <w:spacing w:after="400" w:before="400"/>
      </w:pPr>
    </w:p>
    <w:p>
      <w:pPr>
        <w:jc w:val="center"/>
      </w:pPr>
      <w:r>
        <w:rPr>
          <w:rFonts w:ascii="Arial" w:cs="Arial" w:eastAsia="Arial" w:hAnsi="Arial"/>
          <w:b/>
          <w:bCs/>
          <w:color w:val="1A2F5A"/>
          <w:sz w:val="24"/>
          <w:szCs w:val="24"/>
        </w:rPr>
        <w:t xml:space="preserve">SRH University</w:t>
      </w:r>
    </w:p>
    <w:p>
      <w:pPr>
        <w:spacing w:after="40" w:before="40"/>
        <w:jc w:val="center"/>
      </w:pPr>
      <w:r>
        <w:rPr>
          <w:rFonts w:ascii="Arial" w:cs="Arial" w:eastAsia="Arial" w:hAnsi="Arial"/>
          <w:color w:val="555555"/>
          <w:sz w:val="22"/>
          <w:szCs w:val="22"/>
        </w:rPr>
        <w:t xml:space="preserve">Summer Semester 2024/25</w:t>
      </w:r>
    </w:p>
    <w:p>
      <w:pPr>
        <w:spacing w:after="1600"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16"/>
              <w:left w:val="none"/>
              <w:bottom w:val="single" w:color="C8960C" w:sz="16"/>
              <w:right w:val="none"/>
            </w:tcBorders>
            <w:shd w:fill="F2F4F7" w:val="clear"/>
            <w:tcMar>
              <w:top w:type="dxa" w:w="200"/>
              <w:left w:type="dxa" w:w="300"/>
              <w:bottom w:type="dxa" w:w="200"/>
              <w:right w:type="dxa" w:w="300"/>
            </w:tcMar>
          </w:tcPr>
          <w:p>
            <w:pPr>
              <w:spacing w:after="80"/>
            </w:pPr>
            <w:r>
              <w:rPr>
                <w:rFonts w:ascii="Arial" w:cs="Arial" w:eastAsia="Arial" w:hAnsi="Arial"/>
                <w:b/>
                <w:bCs/>
                <w:color w:val="C8960C"/>
                <w:spacing w:val="120"/>
                <w:sz w:val="18"/>
                <w:szCs w:val="18"/>
              </w:rPr>
              <w:t xml:space="preserve">BUSINESS QUESTION</w:t>
            </w:r>
          </w:p>
          <w:p>
            <w:pPr>
              <w:jc w:val="center"/>
            </w:pPr>
            <w:r>
              <w:rPr>
                <w:rFonts w:ascii="Arial" w:cs="Arial" w:eastAsia="Arial" w:hAnsi="Arial"/>
                <w:b/>
                <w:bCs/>
                <w:i/>
                <w:iCs/>
                <w:color w:val="1A2F5A"/>
                <w:sz w:val="26"/>
                <w:szCs w:val="26"/>
              </w:rPr>
              <w:t xml:space="preserve">"Which collaboration networks between actors and directors have the greatest impact on the commercial success of films?"</w:t>
            </w:r>
          </w:p>
        </w:tc>
      </w:tr>
    </w:tbl>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1. Executive Summary</w:t>
      </w:r>
    </w:p>
    <w:p>
      <w:pPr>
        <w:spacing w:after="80" w:before="80"/>
      </w:pPr>
    </w:p>
    <w:p>
      <w:pPr>
        <w:spacing w:after="60" w:before="60"/>
      </w:pPr>
      <w:r>
        <w:rPr>
          <w:rFonts w:ascii="Arial" w:cs="Arial" w:eastAsia="Arial" w:hAnsi="Arial"/>
          <w:color w:val="1C1C1C"/>
          <w:sz w:val="22"/>
          <w:szCs w:val="22"/>
        </w:rPr>
        <w:t xml:space="preserve">This report presents the final findings of the Techtators Big Data &amp; Business Intelligence Capstone Project, conducted at SRH University. The project investigated how collaboration networks between film directors and actors influence the commercial success of movies, using a dataset of over one million records sourced from IMDB and TMDb.</w:t>
      </w:r>
    </w:p>
    <w:p>
      <w:pPr>
        <w:spacing w:after="80" w:before="80"/>
      </w:pPr>
    </w:p>
    <w:p>
      <w:pPr>
        <w:spacing w:after="60" w:before="60"/>
      </w:pPr>
      <w:r>
        <w:rPr>
          <w:rFonts w:ascii="Arial" w:cs="Arial" w:eastAsia="Arial" w:hAnsi="Arial"/>
          <w:color w:val="1C1C1C"/>
          <w:sz w:val="22"/>
          <w:szCs w:val="22"/>
        </w:rPr>
        <w:t xml:space="preserve">Through eight structured project stages, the team built a complete big data pipeline spanning data cleaning, graph modelling, machine learning, vector embeddings, and an interactive analytics dashboard. The core infrastructure combined Neo4j for graph analytics, Qdrant for semantic similarity search, and a Streamlit dashboard containerised with Docker Compose.</w:t>
      </w:r>
    </w:p>
    <w:p>
      <w:pPr>
        <w:spacing w:after="80" w:before="80"/>
      </w:pPr>
    </w:p>
    <w:p>
      <w:pPr>
        <w:spacing w:after="60" w:before="60"/>
      </w:pPr>
      <w:r>
        <w:rPr>
          <w:rFonts w:ascii="Arial" w:cs="Arial" w:eastAsia="Arial" w:hAnsi="Arial"/>
          <w:color w:val="1C1C1C"/>
          <w:sz w:val="22"/>
          <w:szCs w:val="22"/>
        </w:rPr>
        <w:t xml:space="preserve">Key findings confirm that repeated director-actor collaborations are strongly associated with higher box-office revenue and ROI. The Russo Brothers–Joe Russo partnership generated $5.57B in combined revenue, while smaller-budget collaborations such as Michel Hazanavicius and Jean Dujardin achieved ROIs exceeding 22,000%. Adventure and Action/Sci-Fi genre combinations consistently outperformed all other genre pairings in both revenue and return on investment.</w:t>
      </w:r>
    </w:p>
    <w:p>
      <w:pPr>
        <w:spacing w:after="80" w:before="80"/>
      </w:pPr>
    </w:p>
    <w:p>
      <w:pPr>
        <w:spacing w:after="60" w:before="60"/>
      </w:pPr>
      <w:r>
        <w:rPr>
          <w:rFonts w:ascii="Arial" w:cs="Arial" w:eastAsia="Arial" w:hAnsi="Arial"/>
          <w:color w:val="1C1C1C"/>
          <w:sz w:val="22"/>
          <w:szCs w:val="22"/>
        </w:rPr>
        <w:t xml:space="preserve">A Random Forest classifier trained on collaboration features achieved 81% accuracy in predicting whether a director-actor pair would achieve high ROI (&gt;200%), with perfect precision for the high-ROI class. Graph analytics using PageRank and Louvain community detection enriched the feature space but did not improve classification performance, indicating that local collaboration history is more predictive than global network centrality for ROI outcomes.</w:t>
      </w:r>
    </w:p>
    <w:p>
      <w:pPr>
        <w:spacing w:after="120" w:before="120"/>
      </w:pPr>
    </w:p>
    <w:p>
      <w:pPr>
        <w:pStyle w:val="Heading1"/>
        <w:shd w:fill="1A2F5A" w:val="clear"/>
        <w:spacing w:after="160" w:before="320"/>
        <w:ind w:left="200" w:right="200"/>
      </w:pPr>
      <w:r>
        <w:rPr>
          <w:rFonts w:ascii="Arial" w:cs="Arial" w:eastAsia="Arial" w:hAnsi="Arial"/>
          <w:b/>
          <w:bCs/>
          <w:color w:val="FFFFFF"/>
          <w:sz w:val="32"/>
          <w:szCs w:val="32"/>
        </w:rPr>
        <w:t xml:space="preserve">2. Project Overview</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2.1 Team</w:t>
      </w:r>
    </w:p>
    <w:p>
      <w:pPr>
        <w:spacing w:after="60" w:before="60"/>
      </w:pPr>
      <w:r>
        <w:rPr>
          <w:rFonts w:ascii="Arial" w:cs="Arial" w:eastAsia="Arial" w:hAnsi="Arial"/>
          <w:color w:val="1C1C1C"/>
          <w:sz w:val="22"/>
          <w:szCs w:val="22"/>
        </w:rPr>
        <w:t xml:space="preserve">Team Name: Techtators</w:t>
      </w:r>
    </w:p>
    <w:p>
      <w:pPr>
        <w:spacing w:after="60" w:before="60"/>
      </w:pPr>
      <w:r>
        <w:rPr>
          <w:rFonts w:ascii="Arial" w:cs="Arial" w:eastAsia="Arial" w:hAnsi="Arial"/>
          <w:color w:val="1C1C1C"/>
          <w:sz w:val="22"/>
          <w:szCs w:val="22"/>
        </w:rPr>
        <w:t xml:space="preserve">Programme: Big Data &amp; Business Intelligence — Capstone Project</w:t>
      </w:r>
    </w:p>
    <w:p>
      <w:pPr>
        <w:spacing w:after="60" w:before="60"/>
      </w:pPr>
      <w:r>
        <w:rPr>
          <w:rFonts w:ascii="Arial" w:cs="Arial" w:eastAsia="Arial" w:hAnsi="Arial"/>
          <w:color w:val="1C1C1C"/>
          <w:sz w:val="22"/>
          <w:szCs w:val="22"/>
        </w:rPr>
        <w:t xml:space="preserve">Institution: SRH University</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2.2 Dataset</w:t>
      </w:r>
    </w:p>
    <w:p>
      <w:pPr>
        <w:spacing w:after="60" w:before="60"/>
      </w:pPr>
      <w:r>
        <w:rPr>
          <w:rFonts w:ascii="Arial" w:cs="Arial" w:eastAsia="Arial" w:hAnsi="Arial"/>
          <w:color w:val="1C1C1C"/>
          <w:sz w:val="22"/>
          <w:szCs w:val="22"/>
        </w:rPr>
        <w:t xml:space="preserve">Source: IMDB + TMDb Movie Metadata Dataset (1M rows) — Kaggle</w:t>
      </w:r>
    </w:p>
    <w:p>
      <w:pPr>
        <w:spacing w:after="60" w:before="60"/>
      </w:pPr>
      <w:r>
        <w:rPr>
          <w:rFonts w:ascii="Arial" w:cs="Arial" w:eastAsia="Arial" w:hAnsi="Arial"/>
          <w:color w:val="1C1C1C"/>
          <w:sz w:val="22"/>
          <w:szCs w:val="22"/>
        </w:rPr>
        <w:t xml:space="preserve">URL: https://www.kaggle.com/datasets/shubhamchandra235/imdb-and-tmdb-movie-metadata-big-dataset-1m</w:t>
      </w:r>
    </w:p>
    <w:p>
      <w:pPr>
        <w:spacing w:after="80" w:before="80"/>
      </w:pPr>
    </w:p>
    <w:p>
      <w:pPr>
        <w:spacing w:after="60" w:before="60"/>
      </w:pPr>
      <w:r>
        <w:rPr>
          <w:rFonts w:ascii="Arial" w:cs="Arial" w:eastAsia="Arial" w:hAnsi="Arial"/>
          <w:color w:val="1C1C1C"/>
          <w:sz w:val="22"/>
          <w:szCs w:val="22"/>
        </w:rPr>
        <w:t xml:space="preserve">The raw dataset contains approximately 1 million records and 500 MB of data. After cleaning with DuckDB — removing nulls, standardising formats, and filtering to well-documented releases — the final working dataset comprised 3,114 movies spanning the years 1990 to 2024. Data was stored in both CSV and Parquet formats for pipeline compatibility.</w:t>
      </w:r>
    </w:p>
    <w:p>
      <w:pPr>
        <w:spacing w:after="160" w:before="160"/>
      </w:pPr>
    </w:p>
    <w:p>
      <w:pPr>
        <w:pStyle w:val="Heading2"/>
        <w:pBdr>
          <w:bottom w:val="single" w:color="2E5FAC" w:sz="6" w:space="1"/>
        </w:pBdr>
        <w:spacing w:after="100" w:before="240"/>
      </w:pPr>
      <w:r>
        <w:rPr>
          <w:rFonts w:ascii="Arial" w:cs="Arial" w:eastAsia="Arial" w:hAnsi="Arial"/>
          <w:b/>
          <w:bCs/>
          <w:color w:val="1A2F5A"/>
          <w:sz w:val="26"/>
          <w:szCs w:val="26"/>
        </w:rPr>
        <w:t xml:space="preserve">2.3 Dataset Columns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14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title</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Movie title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release_year</w:t>
            </w:r>
          </w:p>
        </w:tc>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INTEGER</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Year of release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runtime</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DOUBLE</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Movie duration in minutes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budget</w:t>
            </w:r>
          </w:p>
        </w:tc>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DOUBLE</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Production budget in USD</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revenue</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DOUBLE</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Box office revenue in USD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imdb_rating</w:t>
            </w:r>
          </w:p>
        </w:tc>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DOUBLE</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IMDB user rating</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roi</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DOUBLE</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Return on investment (%)</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overview ✦</w:t>
            </w:r>
          </w:p>
        </w:tc>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Full plot summary — embedded for Qdrant</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tagline ✦</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Marketing tagline — embedded for Qdrant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director</w:t>
            </w:r>
          </w:p>
        </w:tc>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Director name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actor</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Lead actor name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writer</w:t>
            </w:r>
          </w:p>
        </w:tc>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Writer name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genres_list</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Movie genre combination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production_companies</w:t>
            </w:r>
          </w:p>
        </w:tc>
        <w:tc>
          <w:tcPr>
            <w:tcW w:type="dxa" w:w="1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Production company</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production_countries</w:t>
            </w:r>
          </w:p>
        </w:tc>
        <w:tc>
          <w:tcPr>
            <w:tcW w:type="dxa" w:w="14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VARCHAR</w:t>
            </w:r>
          </w:p>
        </w:tc>
        <w:tc>
          <w:tcPr>
            <w:tcW w:type="dxa" w:w="5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Country of production</w:t>
            </w:r>
          </w:p>
        </w:tc>
      </w:tr>
    </w:tbl>
    <w:p>
      <w:pPr>
        <w:spacing w:after="80" w:before="80"/>
      </w:pPr>
    </w:p>
    <w:p>
      <w:pPr>
        <w:spacing w:after="60" w:before="60"/>
      </w:pPr>
      <w:r>
        <w:rPr>
          <w:rFonts w:ascii="Arial" w:cs="Arial" w:eastAsia="Arial" w:hAnsi="Arial"/>
          <w:i/>
          <w:iCs/>
          <w:color w:val="666666"/>
          <w:sz w:val="20"/>
          <w:szCs w:val="20"/>
        </w:rPr>
        <w:t xml:space="preserve">✦ Free text columns embedded using sentence-transformers for Qdrant semantic search.</w:t>
      </w:r>
    </w:p>
    <w:p>
      <w:pPr>
        <w:spacing w:after="120" w:before="120"/>
      </w:pPr>
    </w:p>
    <w:p>
      <w:pPr>
        <w:pStyle w:val="Heading1"/>
        <w:shd w:fill="1A2F5A" w:val="clear"/>
        <w:spacing w:after="160" w:before="320"/>
        <w:ind w:left="200" w:right="200"/>
      </w:pPr>
      <w:r>
        <w:rPr>
          <w:rFonts w:ascii="Arial" w:cs="Arial" w:eastAsia="Arial" w:hAnsi="Arial"/>
          <w:b/>
          <w:bCs/>
          <w:color w:val="FFFFFF"/>
          <w:sz w:val="32"/>
          <w:szCs w:val="32"/>
        </w:rPr>
        <w:t xml:space="preserve">3. Technology Stack</w:t>
      </w:r>
    </w:p>
    <w:p>
      <w:pPr>
        <w:spacing w:after="80" w:before="80"/>
      </w:pPr>
    </w:p>
    <w:p>
      <w:pPr>
        <w:spacing w:after="60" w:before="60"/>
      </w:pPr>
      <w:r>
        <w:rPr>
          <w:rFonts w:ascii="Arial" w:cs="Arial" w:eastAsia="Arial" w:hAnsi="Arial"/>
          <w:color w:val="1C1C1C"/>
          <w:sz w:val="22"/>
          <w:szCs w:val="22"/>
        </w:rPr>
        <w:t xml:space="preserve">The project combined industry-grade big data, graph, and machine learning technologies across the full pipeline — from raw data cleaning through to an interactive production dashboard.</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Tool / Technology</w:t>
            </w:r>
          </w:p>
        </w:tc>
        <w:tc>
          <w:tcPr>
            <w:tcW w:type="dxa" w:w="702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DuckDB</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Data cleaning &amp; analytical SQL queries</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Neo4j</w:t>
            </w:r>
          </w:p>
        </w:tc>
        <w:tc>
          <w:tcPr>
            <w:tcW w:type="dxa" w:w="70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Graph database &amp; collaboration network</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scikit-learn</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Random Forest ROI classifier</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sentence-transformers</w:t>
            </w:r>
          </w:p>
        </w:tc>
        <w:tc>
          <w:tcPr>
            <w:tcW w:type="dxa" w:w="70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Movie overview text embeddings</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Qdrant</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Vector database &amp; semantic similarity search</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Streamlit</w:t>
            </w:r>
          </w:p>
        </w:tc>
        <w:tc>
          <w:tcPr>
            <w:tcW w:type="dxa" w:w="70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Interactive 5-page analytics dashboard</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Docker Compose</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Container orchestration (Qdrant + Streamlit)</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Python / Pandas</w:t>
            </w:r>
          </w:p>
        </w:tc>
        <w:tc>
          <w:tcPr>
            <w:tcW w:type="dxa" w:w="70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Data processing &amp; feature engineering</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Jupyter Notebook</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Development &amp; experimentation environment</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GitHub</w:t>
            </w:r>
          </w:p>
        </w:tc>
        <w:tc>
          <w:tcPr>
            <w:tcW w:type="dxa" w:w="70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Version control &amp; collaboration</w:t>
            </w:r>
          </w:p>
        </w:tc>
      </w:tr>
    </w:tbl>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4. Project Stages</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1 — Dataset Discovery &amp; Business Question</w:t>
      </w:r>
    </w:p>
    <w:p>
      <w:pPr>
        <w:spacing w:after="60" w:before="60"/>
      </w:pPr>
      <w:r>
        <w:rPr>
          <w:rFonts w:ascii="Arial" w:cs="Arial" w:eastAsia="Arial" w:hAnsi="Arial"/>
          <w:color w:val="1C1C1C"/>
          <w:sz w:val="22"/>
          <w:szCs w:val="22"/>
        </w:rPr>
        <w:t xml:space="preserve">The team selected and explored the IMDB + TMDb combined dataset from Kaggle. The central business question was defined in collaboration with the decision-maker framing. An entity/relationship sketch was produced to map the key data concepts, and free text columns (overview, tagline) were identified as candidates for vector embeddings.</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2 — Data Modelling &amp; First Load</w:t>
      </w:r>
    </w:p>
    <w:p>
      <w:pPr>
        <w:spacing w:after="60" w:before="60"/>
      </w:pPr>
      <w:r>
        <w:rPr>
          <w:rFonts w:ascii="Arial" w:cs="Arial" w:eastAsia="Arial" w:hAnsi="Arial"/>
          <w:color w:val="1C1C1C"/>
          <w:sz w:val="22"/>
          <w:szCs w:val="22"/>
        </w:rPr>
        <w:t xml:space="preserve">The raw dataset was cleaned using DuckDB, producing a final dataset of 3,114 movies with zero null values across all key columns. A Neo4j graph schema was defined with four node types and four relationship types. The full graph was loaded using LOAD CSV queries, and the COLLABORATED_WITH relationship was built to connect directors to actors with collaboration count and total revenue as edge properties.</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3 — ETL Pipeline &amp; Scale-Up</w:t>
      </w:r>
    </w:p>
    <w:p>
      <w:pPr>
        <w:spacing w:after="60" w:before="60"/>
      </w:pPr>
      <w:r>
        <w:rPr>
          <w:rFonts w:ascii="Arial" w:cs="Arial" w:eastAsia="Arial" w:hAnsi="Arial"/>
          <w:color w:val="1C1C1C"/>
          <w:sz w:val="22"/>
          <w:szCs w:val="22"/>
        </w:rPr>
        <w:t xml:space="preserve">A complete ETL pipeline was constructed, covering Extract (Kaggle source), Transform (DuckDB cleaning and feature engineering), and Load (Neo4j graph and Parquet export). Five analytical Cypher queries were run against the graph to answer the core business question. A scale-up reasoning document was written, addressing how the pipeline would extend to the full 1M-row dataset in a production environment.</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4 — Mid-Term Presentation</w:t>
      </w:r>
    </w:p>
    <w:p>
      <w:pPr>
        <w:spacing w:after="60" w:before="60"/>
      </w:pPr>
      <w:r>
        <w:rPr>
          <w:rFonts w:ascii="Arial" w:cs="Arial" w:eastAsia="Arial" w:hAnsi="Arial"/>
          <w:color w:val="1C1C1C"/>
          <w:sz w:val="22"/>
          <w:szCs w:val="22"/>
        </w:rPr>
        <w:t xml:space="preserve">A 10-minute presentation was delivered with a live Neo4j demo demonstrating three Cypher queries. The team presented the Product Vision for the Streamlit similarity search widget, conducted a gap analysis, and outlined next steps for Stages 5 through 8.</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5 — Machine Learning &amp; Embeddings</w:t>
      </w:r>
    </w:p>
    <w:p>
      <w:pPr>
        <w:spacing w:after="60" w:before="60"/>
      </w:pPr>
      <w:r>
        <w:rPr>
          <w:rFonts w:ascii="Arial" w:cs="Arial" w:eastAsia="Arial" w:hAnsi="Arial"/>
          <w:color w:val="1C1C1C"/>
          <w:sz w:val="22"/>
          <w:szCs w:val="22"/>
        </w:rPr>
        <w:t xml:space="preserve">A baseline Random Forest classifier was trained to predict whether a director-actor collaboration would achieve high ROI (&gt;200%), reaching 81% accuracy and a macro F1 of 0.77. Simultaneously, 3,146 movie overviews were embedded using sentence-transformers and loaded into Qdrant with payload filters. Three semantic similarity queries with Retrieval-Augmented Generation were developed and validated.</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6 — Graph Analytics &amp; Interpretation</w:t>
      </w:r>
    </w:p>
    <w:p>
      <w:pPr>
        <w:spacing w:after="60" w:before="60"/>
      </w:pPr>
      <w:r>
        <w:rPr>
          <w:rFonts w:ascii="Arial" w:cs="Arial" w:eastAsia="Arial" w:hAnsi="Arial"/>
          <w:color w:val="1C1C1C"/>
          <w:sz w:val="22"/>
          <w:szCs w:val="22"/>
        </w:rPr>
        <w:t xml:space="preserve">A GDS (Graph Data Science) Jupyter notebook was built to compute PageRank centrality and Louvain community detection over the collaboration network. The resulting graph features (pagerank, community ID) were merged onto the ML feature matrix. A before/after comparison showed that the enriched model did not outperform the baseline, leading to the key insight that local degree features are more predictive than global centrality for ROI classification.</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7 — Integration Workshop &amp; Dashboard</w:t>
      </w:r>
    </w:p>
    <w:p>
      <w:pPr>
        <w:spacing w:after="60" w:before="60"/>
      </w:pPr>
      <w:r>
        <w:rPr>
          <w:rFonts w:ascii="Arial" w:cs="Arial" w:eastAsia="Arial" w:hAnsi="Arial"/>
          <w:color w:val="1C1C1C"/>
          <w:sz w:val="22"/>
          <w:szCs w:val="22"/>
        </w:rPr>
        <w:t xml:space="preserve">A Streamlit dashboard was built with five interactive pages connecting to Neo4j, Qdrant, and CSV data sources. The full application was containerised using Docker Compose, packaging Qdrant and Streamlit into a single deployable stack. The dashboard was designed for decision-maker use, enabling exploration of collaboration networks, ROI comparisons, semantic film search, and ROI prediction.</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Stage 8 — Final Presentation</w:t>
      </w:r>
    </w:p>
    <w:p>
      <w:pPr>
        <w:spacing w:after="60" w:before="60"/>
      </w:pPr>
      <w:r>
        <w:rPr>
          <w:rFonts w:ascii="Arial" w:cs="Arial" w:eastAsia="Arial" w:hAnsi="Arial"/>
          <w:color w:val="1C1C1C"/>
          <w:sz w:val="22"/>
          <w:szCs w:val="22"/>
        </w:rPr>
        <w:t xml:space="preserve">The final presentation delivered a complete walkthrough of the project pipeline, key findings, ML results, graph analytics interpretation, and a live dashboard demonstration. This report accompanies the final presentation as the written deliverable.</w:t>
      </w:r>
    </w:p>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5. Graph Database Schema</w:t>
      </w:r>
    </w:p>
    <w:p>
      <w:pPr>
        <w:spacing w:after="80" w:before="80"/>
      </w:pPr>
    </w:p>
    <w:p>
      <w:pPr>
        <w:spacing w:after="60" w:before="60"/>
      </w:pPr>
      <w:r>
        <w:rPr>
          <w:rFonts w:ascii="Arial" w:cs="Arial" w:eastAsia="Arial" w:hAnsi="Arial"/>
          <w:color w:val="1C1C1C"/>
          <w:sz w:val="22"/>
          <w:szCs w:val="22"/>
        </w:rPr>
        <w:t xml:space="preserve">The Neo4j graph database models the movie domain as a property graph with four node types and four directed relationship types. The schema is designed to efficiently support collaboration queries, community detection, and ROI analysis.</w:t>
      </w:r>
    </w:p>
    <w:p>
      <w:pPr>
        <w:spacing w:after="160" w:before="160"/>
      </w:pPr>
    </w:p>
    <w:p>
      <w:pPr>
        <w:pStyle w:val="Heading2"/>
        <w:pBdr>
          <w:bottom w:val="single" w:color="2E5FAC" w:sz="6" w:space="1"/>
        </w:pBdr>
        <w:spacing w:after="100" w:before="240"/>
      </w:pPr>
      <w:r>
        <w:rPr>
          <w:rFonts w:ascii="Arial" w:cs="Arial" w:eastAsia="Arial" w:hAnsi="Arial"/>
          <w:b/>
          <w:bCs/>
          <w:color w:val="1A2F5A"/>
          <w:sz w:val="26"/>
          <w:szCs w:val="26"/>
        </w:rPr>
        <w:t xml:space="preserve">5.1 Node Types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Node</w:t>
            </w:r>
          </w:p>
        </w:tc>
        <w:tc>
          <w:tcPr>
            <w:tcW w:type="dxa" w:w="12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Count</w:t>
            </w:r>
          </w:p>
        </w:tc>
        <w:tc>
          <w:tcPr>
            <w:tcW w:type="dxa" w:w="63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Properties</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Movie</w:t>
            </w:r>
          </w:p>
        </w:tc>
        <w:tc>
          <w:tcPr>
            <w:tcW w:type="dxa" w:w="1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3,114</w:t>
            </w:r>
          </w:p>
        </w:tc>
        <w:tc>
          <w:tcPr>
            <w:tcW w:type="dxa" w:w="63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title, revenue, budget, roi, imdb_rating, overview ✦, tagline ✦</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Director</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1,400</w:t>
            </w:r>
          </w:p>
        </w:tc>
        <w:tc>
          <w:tcPr>
            <w:tcW w:type="dxa" w:w="63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name, pagerank, community</w:t>
            </w:r>
          </w:p>
        </w:tc>
      </w:tr>
      <w:tr>
        <w:tc>
          <w:tcPr>
            <w:tcW w:type="dxa" w:w="1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Actor</w:t>
            </w:r>
          </w:p>
        </w:tc>
        <w:tc>
          <w:tcPr>
            <w:tcW w:type="dxa" w:w="1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1,243</w:t>
            </w:r>
          </w:p>
        </w:tc>
        <w:tc>
          <w:tcPr>
            <w:tcW w:type="dxa" w:w="63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name</w:t>
            </w:r>
          </w:p>
        </w:tc>
      </w:tr>
      <w:tr>
        <w:tc>
          <w:tcPr>
            <w:tcW w:type="dxa" w:w="1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Genre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991</w:t>
            </w:r>
          </w:p>
        </w:tc>
        <w:tc>
          <w:tcPr>
            <w:tcW w:type="dxa" w:w="63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name</w:t>
            </w:r>
          </w:p>
        </w:tc>
      </w:tr>
    </w:tbl>
    <w:p>
      <w:pPr>
        <w:spacing w:after="200" w:before="200"/>
      </w:pPr>
    </w:p>
    <w:p>
      <w:pPr>
        <w:pStyle w:val="Heading2"/>
        <w:pBdr>
          <w:bottom w:val="single" w:color="2E5FAC" w:sz="6" w:space="1"/>
        </w:pBdr>
        <w:spacing w:after="100" w:before="240"/>
      </w:pPr>
      <w:r>
        <w:rPr>
          <w:rFonts w:ascii="Arial" w:cs="Arial" w:eastAsia="Arial" w:hAnsi="Arial"/>
          <w:b/>
          <w:bCs/>
          <w:color w:val="1A2F5A"/>
          <w:sz w:val="26"/>
          <w:szCs w:val="26"/>
        </w:rPr>
        <w:t xml:space="preserve">5.2 Relationship Types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Relationship</w:t>
            </w:r>
          </w:p>
        </w:tc>
        <w:tc>
          <w:tcPr>
            <w:tcW w:type="dxa" w:w="12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Count</w:t>
            </w:r>
          </w:p>
        </w:tc>
        <w:tc>
          <w:tcPr>
            <w:tcW w:type="dxa" w:w="53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DIRECTED</w:t>
            </w:r>
          </w:p>
        </w:tc>
        <w:tc>
          <w:tcPr>
            <w:tcW w:type="dxa" w:w="1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3,114</w:t>
            </w:r>
          </w:p>
        </w:tc>
        <w:tc>
          <w:tcPr>
            <w:tcW w:type="dxa" w:w="53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Director → Movie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ACTED_IN</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3,137</w:t>
            </w:r>
          </w:p>
        </w:tc>
        <w:tc>
          <w:tcPr>
            <w:tcW w:type="dxa" w:w="53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Actor → Movie</w:t>
            </w:r>
          </w:p>
        </w:tc>
      </w:tr>
      <w:tr>
        <w:tc>
          <w:tcPr>
            <w:tcW w:type="dxa" w:w="2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BELONGS_TO</w:t>
            </w:r>
          </w:p>
        </w:tc>
        <w:tc>
          <w:tcPr>
            <w:tcW w:type="dxa" w:w="1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3,144</w:t>
            </w:r>
          </w:p>
        </w:tc>
        <w:tc>
          <w:tcPr>
            <w:tcW w:type="dxa" w:w="53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Movie → Genre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COLLABORATED_WITH</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1C1C"/>
                <w:sz w:val="20"/>
                <w:szCs w:val="20"/>
              </w:rPr>
              <w:t xml:space="preserve">3,059</w:t>
            </w:r>
          </w:p>
        </w:tc>
        <w:tc>
          <w:tcPr>
            <w:tcW w:type="dxa" w:w="53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Director → Actor (movie count + total revenue)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D0D5DD" w:sz="1"/>
              <w:right w:val="single" w:color="D0D5DD" w:sz="1"/>
            </w:tcBorders>
            <w:shd w:fill="D0E4F7" w:val="clear"/>
            <w:tcMar>
              <w:top w:type="dxa" w:w="120"/>
              <w:left w:type="dxa" w:w="200"/>
              <w:bottom w:type="dxa" w:w="120"/>
              <w:right w:type="dxa" w:w="200"/>
            </w:tcMar>
          </w:tcPr>
          <w:p>
            <w:r>
              <w:rPr>
                <w:rFonts w:ascii="Arial" w:cs="Arial" w:eastAsia="Arial" w:hAnsi="Arial"/>
                <w:b/>
                <w:bCs/>
                <w:color w:val="1A2F5A"/>
                <w:sz w:val="22"/>
                <w:szCs w:val="22"/>
              </w:rPr>
              <w:t xml:space="preserve">Design Note</w:t>
            </w:r>
          </w:p>
          <w:p>
            <w:pPr>
              <w:spacing w:before="60"/>
            </w:pPr>
            <w:r>
              <w:rPr>
                <w:rFonts w:ascii="Arial" w:cs="Arial" w:eastAsia="Arial" w:hAnsi="Arial"/>
                <w:color w:val="1C1C1C"/>
                <w:sz w:val="22"/>
                <w:szCs w:val="22"/>
              </w:rPr>
              <w:t xml:space="preserve">The COLLABORATED_WITH relationship stores the number of films and total revenue as edge properties, enabling direct querying of collaboration strength without traversing individual movies. PageRank and Louvain community labels are stored on Director nodes after the Stage 6 GDS analysis.</w:t>
            </w:r>
          </w:p>
        </w:tc>
      </w:tr>
    </w:tbl>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6. Key Findings</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6.1 Top Collaborations by Total Revenue</w:t>
      </w:r>
    </w:p>
    <w:p>
      <w:pPr>
        <w:spacing w:after="60" w:before="60"/>
      </w:pPr>
      <w:r>
        <w:rPr>
          <w:rFonts w:ascii="Arial" w:cs="Arial" w:eastAsia="Arial" w:hAnsi="Arial"/>
          <w:color w:val="1C1C1C"/>
          <w:sz w:val="22"/>
          <w:szCs w:val="22"/>
        </w:rPr>
        <w:t xml:space="preserve">The highest-grossing director-actor partnerships are dominated by franchise series, particularly superhero and fantasy films. The Russo Brothers and Joe Russo collaboration, spanning three Marvel Cinematic Universe entries, generated the highest combined revenue in the dataset.</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800"/>
        <w:gridCol w:w="2200"/>
        <w:gridCol w:w="2160"/>
      </w:tblGrid>
      <w:tr>
        <w:tc>
          <w:tcPr>
            <w:tcW w:type="dxa" w:w="22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Director</w:t>
            </w:r>
          </w:p>
        </w:tc>
        <w:tc>
          <w:tcPr>
            <w:tcW w:type="dxa" w:w="20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Actor</w:t>
            </w:r>
          </w:p>
        </w:tc>
        <w:tc>
          <w:tcPr>
            <w:tcW w:type="dxa" w:w="8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Films</w:t>
            </w:r>
          </w:p>
        </w:tc>
        <w:tc>
          <w:tcPr>
            <w:tcW w:type="dxa" w:w="22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Revenue</w:t>
            </w:r>
          </w:p>
        </w:tc>
        <w:tc>
          <w:tcPr>
            <w:tcW w:type="dxa" w:w="21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ROI</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Russo Brothers</w:t>
            </w:r>
          </w:p>
        </w:tc>
        <w:tc>
          <w:tcPr>
            <w:tcW w:type="dxa" w:w="20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Joe Russo</w:t>
            </w:r>
          </w:p>
        </w:tc>
        <w:tc>
          <w:tcPr>
            <w:tcW w:type="dxa" w:w="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w:t>
            </w:r>
          </w:p>
        </w:tc>
        <w:tc>
          <w:tcPr>
            <w:tcW w:type="dxa" w:w="2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$5.57B</w:t>
            </w:r>
          </w:p>
        </w:tc>
        <w:tc>
          <w:tcPr>
            <w:tcW w:type="dxa" w:w="2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530%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Christopher Nolan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Christian Bale</w:t>
            </w:r>
          </w:p>
        </w:tc>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4</w:t>
            </w:r>
          </w:p>
        </w:tc>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$3.67B</w:t>
            </w:r>
          </w:p>
        </w:tc>
        <w:tc>
          <w:tcPr>
            <w:tcW w:type="dxa" w:w="2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358%</w:t>
            </w:r>
          </w:p>
        </w:tc>
      </w:tr>
      <w:tr>
        <w:tc>
          <w:tcPr>
            <w:tcW w:type="dxa" w:w="2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David Yates</w:t>
            </w:r>
          </w:p>
        </w:tc>
        <w:tc>
          <w:tcPr>
            <w:tcW w:type="dxa" w:w="20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Daniel Radcliffe</w:t>
            </w:r>
          </w:p>
        </w:tc>
        <w:tc>
          <w:tcPr>
            <w:tcW w:type="dxa" w:w="8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w:t>
            </w:r>
          </w:p>
        </w:tc>
        <w:tc>
          <w:tcPr>
            <w:tcW w:type="dxa" w:w="2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$3.22B</w:t>
            </w:r>
          </w:p>
        </w:tc>
        <w:tc>
          <w:tcPr>
            <w:tcW w:type="dxa" w:w="21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509%</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Peter Jackson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Elijah Wood</w:t>
            </w:r>
          </w:p>
        </w:tc>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$2.91B</w:t>
            </w:r>
          </w:p>
        </w:tc>
        <w:tc>
          <w:tcPr>
            <w:tcW w:type="dxa" w:w="21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999%</w:t>
            </w:r>
          </w:p>
        </w:tc>
      </w:tr>
    </w:tbl>
    <w:p>
      <w:pPr>
        <w:spacing w:after="200" w:before="200"/>
      </w:pPr>
    </w:p>
    <w:p>
      <w:pPr>
        <w:pStyle w:val="Heading2"/>
        <w:pBdr>
          <w:bottom w:val="single" w:color="2E5FAC" w:sz="6" w:space="1"/>
        </w:pBdr>
        <w:spacing w:after="100" w:before="240"/>
      </w:pPr>
      <w:r>
        <w:rPr>
          <w:rFonts w:ascii="Arial" w:cs="Arial" w:eastAsia="Arial" w:hAnsi="Arial"/>
          <w:b/>
          <w:bCs/>
          <w:color w:val="1A2F5A"/>
          <w:sz w:val="26"/>
          <w:szCs w:val="26"/>
        </w:rPr>
        <w:t xml:space="preserve">6.2 Top Collaborations by ROI</w:t>
      </w:r>
    </w:p>
    <w:p>
      <w:pPr>
        <w:spacing w:after="60" w:before="60"/>
      </w:pPr>
      <w:r>
        <w:rPr>
          <w:rFonts w:ascii="Arial" w:cs="Arial" w:eastAsia="Arial" w:hAnsi="Arial"/>
          <w:color w:val="1C1C1C"/>
          <w:sz w:val="22"/>
          <w:szCs w:val="22"/>
        </w:rPr>
        <w:t xml:space="preserve">When measuring return on investment rather than absolute revenue, a different set of partnerships emerges — smaller-budget films with exceptional commercial performance, including independent and awards-circuit productions.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260"/>
        <w:gridCol w:w="2500"/>
      </w:tblGrid>
      <w:tr>
        <w:tc>
          <w:tcPr>
            <w:tcW w:type="dxa" w:w="25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Director</w:t>
            </w:r>
          </w:p>
        </w:tc>
        <w:tc>
          <w:tcPr>
            <w:tcW w:type="dxa" w:w="21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Actor</w:t>
            </w:r>
          </w:p>
        </w:tc>
        <w:tc>
          <w:tcPr>
            <w:tcW w:type="dxa" w:w="22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ROI</w:t>
            </w:r>
          </w:p>
        </w:tc>
        <w:tc>
          <w:tcPr>
            <w:tcW w:type="dxa" w:w="25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Revenue</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Michel Hazanavicius</w:t>
            </w:r>
          </w:p>
        </w:tc>
        <w:tc>
          <w:tcPr>
            <w:tcW w:type="dxa" w:w="21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Jean Dujardin</w:t>
            </w:r>
          </w:p>
        </w:tc>
        <w:tc>
          <w:tcPr>
            <w:tcW w:type="dxa" w:w="22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22,325%</w:t>
            </w:r>
          </w:p>
        </w:tc>
        <w:tc>
          <w:tcPr>
            <w:tcW w:type="dxa" w:w="25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$81M</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Steven Soderbergh</w:t>
            </w:r>
          </w:p>
        </w:tc>
        <w:tc>
          <w:tcPr>
            <w:tcW w:type="dxa" w:w="21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Julia Roberts</w:t>
            </w:r>
          </w:p>
        </w:tc>
        <w:tc>
          <w:tcPr>
            <w:tcW w:type="dxa" w:w="22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6,365%</w:t>
            </w:r>
          </w:p>
        </w:tc>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$75M</w:t>
            </w:r>
          </w:p>
        </w:tc>
      </w:tr>
      <w:tr>
        <w:tc>
          <w:tcPr>
            <w:tcW w:type="dxa" w:w="25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Peter Jackson</w:t>
            </w:r>
          </w:p>
        </w:tc>
        <w:tc>
          <w:tcPr>
            <w:tcW w:type="dxa" w:w="21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Elijah Wood</w:t>
            </w:r>
          </w:p>
        </w:tc>
        <w:tc>
          <w:tcPr>
            <w:tcW w:type="dxa" w:w="22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999%</w:t>
            </w:r>
          </w:p>
        </w:tc>
        <w:tc>
          <w:tcPr>
            <w:tcW w:type="dxa" w:w="25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$972M</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Robert Zemeckis</w:t>
            </w:r>
          </w:p>
        </w:tc>
        <w:tc>
          <w:tcPr>
            <w:tcW w:type="dxa" w:w="21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Tom Hanks</w:t>
            </w:r>
          </w:p>
        </w:tc>
        <w:tc>
          <w:tcPr>
            <w:tcW w:type="dxa" w:w="22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906%</w:t>
            </w:r>
          </w:p>
        </w:tc>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$827M</w:t>
            </w:r>
          </w:p>
        </w:tc>
      </w:tr>
    </w:tbl>
    <w:p>
      <w:pPr>
        <w:spacing w:after="200" w:before="200"/>
      </w:pPr>
    </w:p>
    <w:p>
      <w:pPr>
        <w:pStyle w:val="Heading2"/>
        <w:pBdr>
          <w:bottom w:val="single" w:color="2E5FAC" w:sz="6" w:space="1"/>
        </w:pBdr>
        <w:spacing w:after="100" w:before="240"/>
      </w:pPr>
      <w:r>
        <w:rPr>
          <w:rFonts w:ascii="Arial" w:cs="Arial" w:eastAsia="Arial" w:hAnsi="Arial"/>
          <w:b/>
          <w:bCs/>
          <w:color w:val="1A2F5A"/>
          <w:sz w:val="26"/>
          <w:szCs w:val="26"/>
        </w:rPr>
        <w:t xml:space="preserve">6.3 Most Successful Directors by Total Revenue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2760"/>
        <w:gridCol w:w="2500"/>
      </w:tblGrid>
      <w:tr>
        <w:tc>
          <w:tcPr>
            <w:tcW w:type="dxa" w:w="29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Director</w:t>
            </w:r>
          </w:p>
        </w:tc>
        <w:tc>
          <w:tcPr>
            <w:tcW w:type="dxa" w:w="12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Movies</w:t>
            </w:r>
          </w:p>
        </w:tc>
        <w:tc>
          <w:tcPr>
            <w:tcW w:type="dxa" w:w="27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Revenue</w:t>
            </w:r>
          </w:p>
        </w:tc>
        <w:tc>
          <w:tcPr>
            <w:tcW w:type="dxa" w:w="25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Rating</w:t>
            </w:r>
          </w:p>
        </w:tc>
      </w:tr>
      <w:tr>
        <w:tc>
          <w:tcPr>
            <w:tcW w:type="dxa" w:w="29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Christopher Nolan</w:t>
            </w:r>
          </w:p>
        </w:tc>
        <w:tc>
          <w:tcPr>
            <w:tcW w:type="dxa" w:w="1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15</w:t>
            </w:r>
          </w:p>
        </w:tc>
        <w:tc>
          <w:tcPr>
            <w:tcW w:type="dxa" w:w="27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$8.14B</w:t>
            </w:r>
          </w:p>
        </w:tc>
        <w:tc>
          <w:tcPr>
            <w:tcW w:type="dxa" w:w="25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8.02</w:t>
            </w:r>
          </w:p>
        </w:tc>
      </w:tr>
      <w:tr>
        <w:tc>
          <w:tcPr>
            <w:tcW w:type="dxa" w:w="2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Steven Spielberg</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27</w:t>
            </w:r>
          </w:p>
        </w:tc>
        <w:tc>
          <w:tcPr>
            <w:tcW w:type="dxa" w:w="27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$7.34B</w:t>
            </w:r>
          </w:p>
        </w:tc>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7.37</w:t>
            </w:r>
          </w:p>
        </w:tc>
      </w:tr>
      <w:tr>
        <w:tc>
          <w:tcPr>
            <w:tcW w:type="dxa" w:w="29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James Cameron</w:t>
            </w:r>
          </w:p>
        </w:tc>
        <w:tc>
          <w:tcPr>
            <w:tcW w:type="dxa" w:w="12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7</w:t>
            </w:r>
          </w:p>
        </w:tc>
        <w:tc>
          <w:tcPr>
            <w:tcW w:type="dxa" w:w="27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$6.44B</w:t>
            </w:r>
          </w:p>
        </w:tc>
        <w:tc>
          <w:tcPr>
            <w:tcW w:type="dxa" w:w="25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7.74</w:t>
            </w:r>
          </w:p>
        </w:tc>
      </w:tr>
    </w:tbl>
    <w:p>
      <w:pPr>
        <w:spacing w:after="200" w:before="200"/>
      </w:pPr>
    </w:p>
    <w:p>
      <w:pPr>
        <w:pStyle w:val="Heading2"/>
        <w:pBdr>
          <w:bottom w:val="single" w:color="2E5FAC" w:sz="6" w:space="1"/>
        </w:pBdr>
        <w:spacing w:after="100" w:before="240"/>
      </w:pPr>
      <w:r>
        <w:rPr>
          <w:rFonts w:ascii="Arial" w:cs="Arial" w:eastAsia="Arial" w:hAnsi="Arial"/>
          <w:b/>
          <w:bCs/>
          <w:color w:val="1A2F5A"/>
          <w:sz w:val="26"/>
          <w:szCs w:val="26"/>
        </w:rPr>
        <w:t xml:space="preserve">6.4 Most Successful Genre Combinations</w:t>
      </w:r>
    </w:p>
    <w:p>
      <w:pPr>
        <w:spacing w:after="60" w:before="60"/>
      </w:pPr>
      <w:r>
        <w:rPr>
          <w:rFonts w:ascii="Arial" w:cs="Arial" w:eastAsia="Arial" w:hAnsi="Arial"/>
          <w:color w:val="1C1C1C"/>
          <w:sz w:val="22"/>
          <w:szCs w:val="22"/>
        </w:rPr>
        <w:t xml:space="preserve">Adventure-led genre combinations consistently produce the highest average revenues and ROIs, particularly when combined with Action or Sci-Fi elements.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2250"/>
        <w:gridCol w:w="2250"/>
      </w:tblGrid>
      <w:tr>
        <w:tc>
          <w:tcPr>
            <w:tcW w:type="dxa" w:w="48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Genre Combination</w:t>
            </w:r>
          </w:p>
        </w:tc>
        <w:tc>
          <w:tcPr>
            <w:tcW w:type="dxa" w:w="225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Revenue</w:t>
            </w:r>
          </w:p>
        </w:tc>
        <w:tc>
          <w:tcPr>
            <w:tcW w:type="dxa" w:w="225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Avg ROI</w:t>
            </w:r>
          </w:p>
        </w:tc>
      </w:tr>
      <w:tr>
        <w:tc>
          <w:tcPr>
            <w:tcW w:type="dxa" w:w="48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Adventure + Action + Sci-Fi</w:t>
            </w:r>
          </w:p>
        </w:tc>
        <w:tc>
          <w:tcPr>
            <w:tcW w:type="dxa" w:w="225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$836M</w:t>
            </w:r>
          </w:p>
        </w:tc>
        <w:tc>
          <w:tcPr>
            <w:tcW w:type="dxa" w:w="225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423%</w:t>
            </w:r>
          </w:p>
        </w:tc>
      </w:tr>
      <w:tr>
        <w:tc>
          <w:tcPr>
            <w:tcW w:type="dxa" w:w="48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Adventure + Fantasy</w:t>
            </w:r>
          </w:p>
        </w:tc>
        <w:tc>
          <w:tcPr>
            <w:tcW w:type="dxa" w:w="225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$739M</w:t>
            </w:r>
          </w:p>
        </w:tc>
        <w:tc>
          <w:tcPr>
            <w:tcW w:type="dxa" w:w="225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393%</w:t>
            </w:r>
          </w:p>
        </w:tc>
      </w:tr>
      <w:tr>
        <w:tc>
          <w:tcPr>
            <w:tcW w:type="dxa" w:w="48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Adventure + Fantasy + Action</w:t>
            </w:r>
          </w:p>
        </w:tc>
        <w:tc>
          <w:tcPr>
            <w:tcW w:type="dxa" w:w="225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$621M</w:t>
            </w:r>
          </w:p>
        </w:tc>
        <w:tc>
          <w:tcPr>
            <w:tcW w:type="dxa" w:w="225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379%</w:t>
            </w:r>
          </w:p>
        </w:tc>
      </w:tr>
    </w:tbl>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7. Machine Learning Results</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7.1 ROI Classifier Performance</w:t>
      </w:r>
    </w:p>
    <w:p>
      <w:pPr>
        <w:spacing w:after="60" w:before="60"/>
      </w:pPr>
      <w:r>
        <w:rPr>
          <w:rFonts w:ascii="Arial" w:cs="Arial" w:eastAsia="Arial" w:hAnsi="Arial"/>
          <w:color w:val="1C1C1C"/>
          <w:sz w:val="22"/>
          <w:szCs w:val="22"/>
        </w:rPr>
        <w:t xml:space="preserve">A Random Forest classifier was trained to predict whether a director-actor collaboration would achieve high ROI (&gt;200%), using collaboration history, genre features, and budget as input variables. The baseline model was trained at Stage 5; the enriched model added PageRank and Louvain community features from the Stage 6 graph analytics.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c>
          <w:tcPr>
            <w:tcW w:type="dxa" w:w="356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29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Baseline (Stage 5)</w:t>
            </w:r>
          </w:p>
        </w:tc>
        <w:tc>
          <w:tcPr>
            <w:tcW w:type="dxa" w:w="290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Enriched + GDS (Stage 6)</w:t>
            </w:r>
          </w:p>
        </w:tc>
      </w:tr>
      <w:tr>
        <w:tc>
          <w:tcPr>
            <w:tcW w:type="dxa" w:w="35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Accuracy</w:t>
            </w:r>
          </w:p>
        </w:tc>
        <w:tc>
          <w:tcPr>
            <w:tcW w:type="dxa" w:w="29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81%</w:t>
            </w:r>
          </w:p>
        </w:tc>
        <w:tc>
          <w:tcPr>
            <w:tcW w:type="dxa" w:w="29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75%</w:t>
            </w:r>
          </w:p>
        </w:tc>
      </w:tr>
      <w:tr>
        <w:tc>
          <w:tcPr>
            <w:tcW w:type="dxa" w:w="3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F1 Macro</w:t>
            </w:r>
          </w:p>
        </w:tc>
        <w:tc>
          <w:tcPr>
            <w:tcW w:type="dxa" w:w="2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0.77</w:t>
            </w:r>
          </w:p>
        </w:tc>
        <w:tc>
          <w:tcPr>
            <w:tcW w:type="dxa" w:w="2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0.67</w:t>
            </w:r>
          </w:p>
        </w:tc>
      </w:tr>
      <w:tr>
        <w:tc>
          <w:tcPr>
            <w:tcW w:type="dxa" w:w="356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High ROI Precision</w:t>
            </w:r>
          </w:p>
        </w:tc>
        <w:tc>
          <w:tcPr>
            <w:tcW w:type="dxa" w:w="29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1.00</w:t>
            </w:r>
          </w:p>
        </w:tc>
        <w:tc>
          <w:tcPr>
            <w:tcW w:type="dxa" w:w="290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1.00</w:t>
            </w:r>
          </w:p>
        </w:tc>
      </w:tr>
      <w:tr>
        <w:tc>
          <w:tcPr>
            <w:tcW w:type="dxa" w:w="35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High ROI Recall</w:t>
            </w:r>
          </w:p>
        </w:tc>
        <w:tc>
          <w:tcPr>
            <w:tcW w:type="dxa" w:w="2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0.50</w:t>
            </w:r>
          </w:p>
        </w:tc>
        <w:tc>
          <w:tcPr>
            <w:tcW w:type="dxa" w:w="29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0.33</w:t>
            </w:r>
          </w:p>
        </w:tc>
      </w:tr>
    </w:tbl>
    <w:p>
      <w:pPr>
        <w:spacing w:after="200" w:before="200"/>
      </w:pPr>
    </w:p>
    <w:p>
      <w:pPr>
        <w:pStyle w:val="Heading2"/>
        <w:pBdr>
          <w:bottom w:val="single" w:color="2E5FAC" w:sz="6" w:space="1"/>
        </w:pBdr>
        <w:spacing w:after="100" w:before="240"/>
      </w:pPr>
      <w:r>
        <w:rPr>
          <w:rFonts w:ascii="Arial" w:cs="Arial" w:eastAsia="Arial" w:hAnsi="Arial"/>
          <w:b/>
          <w:bCs/>
          <w:color w:val="1A2F5A"/>
          <w:sz w:val="26"/>
          <w:szCs w:val="26"/>
        </w:rPr>
        <w:t xml:space="preserve">7.2 Interpretation</w:t>
      </w:r>
    </w:p>
    <w:p>
      <w:pPr>
        <w:pStyle w:val="ListParagraph"/>
        <w:numPr>
          <w:ilvl w:val="0"/>
          <w:numId w:val="2"/>
        </w:numPr>
        <w:spacing w:after="40" w:before="40"/>
      </w:pPr>
      <w:r>
        <w:rPr>
          <w:rFonts w:ascii="Arial" w:cs="Arial" w:eastAsia="Arial" w:hAnsi="Arial"/>
          <w:color w:val="1C1C1C"/>
          <w:sz w:val="22"/>
          <w:szCs w:val="22"/>
        </w:rPr>
        <w:t xml:space="preserve">The baseline model achieved strong performance with 81% accuracy and 1.00 precision for the high-ROI class, meaning every predicted high-ROI collaboration was correctly identified.</w:t>
      </w:r>
    </w:p>
    <w:p>
      <w:pPr>
        <w:pStyle w:val="ListParagraph"/>
        <w:numPr>
          <w:ilvl w:val="0"/>
          <w:numId w:val="2"/>
        </w:numPr>
        <w:spacing w:after="40" w:before="40"/>
      </w:pPr>
      <w:r>
        <w:rPr>
          <w:rFonts w:ascii="Arial" w:cs="Arial" w:eastAsia="Arial" w:hAnsi="Arial"/>
          <w:color w:val="1C1C1C"/>
          <w:sz w:val="22"/>
          <w:szCs w:val="22"/>
        </w:rPr>
        <w:t xml:space="preserve">Adding global graph centrality features (PageRank, community) did not improve and slightly reduced performance, dropping accuracy to 75% and recall from 0.50 to 0.33.</w:t>
      </w:r>
    </w:p>
    <w:p>
      <w:pPr>
        <w:pStyle w:val="ListParagraph"/>
        <w:numPr>
          <w:ilvl w:val="0"/>
          <w:numId w:val="2"/>
        </w:numPr>
        <w:spacing w:after="40" w:before="40"/>
      </w:pPr>
      <w:r>
        <w:rPr>
          <w:rFonts w:ascii="Arial" w:cs="Arial" w:eastAsia="Arial" w:hAnsi="Arial"/>
          <w:color w:val="1C1C1C"/>
          <w:sz w:val="22"/>
          <w:szCs w:val="22"/>
        </w:rPr>
        <w:t xml:space="preserve">This indicates that local collaboration degree features (how many films a pair has made together, genre history) are more informative for ROI prediction than global network position.</w:t>
      </w:r>
    </w:p>
    <w:p>
      <w:pPr>
        <w:pStyle w:val="ListParagraph"/>
        <w:numPr>
          <w:ilvl w:val="0"/>
          <w:numId w:val="2"/>
        </w:numPr>
        <w:spacing w:after="40" w:before="40"/>
      </w:pPr>
      <w:r>
        <w:rPr>
          <w:rFonts w:ascii="Arial" w:cs="Arial" w:eastAsia="Arial" w:hAnsi="Arial"/>
          <w:color w:val="1C1C1C"/>
          <w:sz w:val="22"/>
          <w:szCs w:val="22"/>
        </w:rPr>
        <w:t xml:space="preserve">The model's high ROI precision (1.00) makes it suitable as a screening tool — recommended collaborations are highly likely to be genuinely high-ROI.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8"/>
              <w:left w:val="single" w:color="2E5FAC" w:sz="8"/>
              <w:bottom w:val="single" w:color="D0D5DD" w:sz="1"/>
              <w:right w:val="single" w:color="D0D5DD" w:sz="1"/>
            </w:tcBorders>
            <w:shd w:fill="D0E4F7" w:val="clear"/>
            <w:tcMar>
              <w:top w:type="dxa" w:w="120"/>
              <w:left w:type="dxa" w:w="200"/>
              <w:bottom w:type="dxa" w:w="120"/>
              <w:right w:type="dxa" w:w="200"/>
            </w:tcMar>
          </w:tcPr>
          <w:p>
            <w:r>
              <w:rPr>
                <w:rFonts w:ascii="Arial" w:cs="Arial" w:eastAsia="Arial" w:hAnsi="Arial"/>
                <w:b/>
                <w:bCs/>
                <w:color w:val="1A2F5A"/>
                <w:sz w:val="22"/>
                <w:szCs w:val="22"/>
              </w:rPr>
              <w:t xml:space="preserve">Key Insight</w:t>
            </w:r>
          </w:p>
          <w:p>
            <w:pPr>
              <w:spacing w:before="60"/>
            </w:pPr>
            <w:r>
              <w:rPr>
                <w:rFonts w:ascii="Arial" w:cs="Arial" w:eastAsia="Arial" w:hAnsi="Arial"/>
                <w:color w:val="1C1C1C"/>
                <w:sz w:val="22"/>
                <w:szCs w:val="22"/>
              </w:rPr>
              <w:t xml:space="preserve">Degree features (collaboration history between a specific director-actor pair) are more predictive of high ROI than global graph centrality measures such as PageRank. Studios should focus on the depth of specific partnerships rather than a director's or actor's overall network prominence.</w:t>
            </w:r>
          </w:p>
        </w:tc>
      </w:tr>
    </w:tbl>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8. Semantic Similarity Search (Qdrant)</w:t>
      </w:r>
    </w:p>
    <w:p>
      <w:pPr>
        <w:spacing w:after="80" w:before="80"/>
      </w:pPr>
    </w:p>
    <w:p>
      <w:pPr>
        <w:spacing w:after="60" w:before="60"/>
      </w:pPr>
      <w:r>
        <w:rPr>
          <w:rFonts w:ascii="Arial" w:cs="Arial" w:eastAsia="Arial" w:hAnsi="Arial"/>
          <w:color w:val="1C1C1C"/>
          <w:sz w:val="22"/>
          <w:szCs w:val="22"/>
        </w:rPr>
        <w:t xml:space="preserve">To support content discovery and similarity-based recommendations, 3,146 movie overviews were embedded using the sentence-transformers library and stored in Qdrant with metadata filters. The embedding model converts free text plot summaries into dense vectors in a high-dimensional semantic space, enabling similarity search by meaning rather than keyword matching.</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8.1 Capabilities</w:t>
      </w:r>
    </w:p>
    <w:p>
      <w:pPr>
        <w:pStyle w:val="ListParagraph"/>
        <w:numPr>
          <w:ilvl w:val="0"/>
          <w:numId w:val="2"/>
        </w:numPr>
        <w:spacing w:after="40" w:before="40"/>
      </w:pPr>
      <w:r>
        <w:rPr>
          <w:rFonts w:ascii="Arial" w:cs="Arial" w:eastAsia="Arial" w:hAnsi="Arial"/>
          <w:color w:val="1C1C1C"/>
          <w:sz w:val="22"/>
          <w:szCs w:val="22"/>
        </w:rPr>
        <w:t xml:space="preserve">Find films with similar plot structures and themes using natural language queries</w:t>
      </w:r>
    </w:p>
    <w:p>
      <w:pPr>
        <w:pStyle w:val="ListParagraph"/>
        <w:numPr>
          <w:ilvl w:val="0"/>
          <w:numId w:val="2"/>
        </w:numPr>
        <w:spacing w:after="40" w:before="40"/>
      </w:pPr>
      <w:r>
        <w:rPr>
          <w:rFonts w:ascii="Arial" w:cs="Arial" w:eastAsia="Arial" w:hAnsi="Arial"/>
          <w:color w:val="1C1C1C"/>
          <w:sz w:val="22"/>
          <w:szCs w:val="22"/>
        </w:rPr>
        <w:t xml:space="preserve">Filter similarity search results by genre, release year, rating, or ROI threshold</w:t>
      </w:r>
    </w:p>
    <w:p>
      <w:pPr>
        <w:pStyle w:val="ListParagraph"/>
        <w:numPr>
          <w:ilvl w:val="0"/>
          <w:numId w:val="2"/>
        </w:numPr>
        <w:spacing w:after="40" w:before="40"/>
      </w:pPr>
      <w:r>
        <w:rPr>
          <w:rFonts w:ascii="Arial" w:cs="Arial" w:eastAsia="Arial" w:hAnsi="Arial"/>
          <w:color w:val="1C1C1C"/>
          <w:sz w:val="22"/>
          <w:szCs w:val="22"/>
        </w:rPr>
        <w:t xml:space="preserve">Retrieval-Augmented Generation (RAG) to synthesise insights across similar films</w:t>
      </w:r>
    </w:p>
    <w:p>
      <w:pPr>
        <w:pStyle w:val="ListParagraph"/>
        <w:numPr>
          <w:ilvl w:val="0"/>
          <w:numId w:val="2"/>
        </w:numPr>
        <w:spacing w:after="40" w:before="40"/>
      </w:pPr>
      <w:r>
        <w:rPr>
          <w:rFonts w:ascii="Arial" w:cs="Arial" w:eastAsia="Arial" w:hAnsi="Arial"/>
          <w:color w:val="1C1C1C"/>
          <w:sz w:val="22"/>
          <w:szCs w:val="22"/>
        </w:rPr>
        <w:t xml:space="preserve">Power the Streamlit Similarity Search dashboard page with live semantic queries</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8.2 Technical Setup</w:t>
      </w:r>
    </w:p>
    <w:p>
      <w:pPr>
        <w:pStyle w:val="ListParagraph"/>
        <w:numPr>
          <w:ilvl w:val="0"/>
          <w:numId w:val="2"/>
        </w:numPr>
        <w:spacing w:after="40" w:before="40"/>
      </w:pPr>
      <w:r>
        <w:rPr>
          <w:rFonts w:ascii="Arial" w:cs="Arial" w:eastAsia="Arial" w:hAnsi="Arial"/>
          <w:color w:val="1C1C1C"/>
          <w:sz w:val="22"/>
          <w:szCs w:val="22"/>
        </w:rPr>
        <w:t xml:space="preserve">Embedding model: sentence-transformers (all-MiniLM-L6-v2)</w:t>
      </w:r>
    </w:p>
    <w:p>
      <w:pPr>
        <w:pStyle w:val="ListParagraph"/>
        <w:numPr>
          <w:ilvl w:val="0"/>
          <w:numId w:val="2"/>
        </w:numPr>
        <w:spacing w:after="40" w:before="40"/>
      </w:pPr>
      <w:r>
        <w:rPr>
          <w:rFonts w:ascii="Arial" w:cs="Arial" w:eastAsia="Arial" w:hAnsi="Arial"/>
          <w:color w:val="1C1C1C"/>
          <w:sz w:val="22"/>
          <w:szCs w:val="22"/>
        </w:rPr>
        <w:t xml:space="preserve">Vector store: Qdrant (containerised via Docker Compose)</w:t>
      </w:r>
    </w:p>
    <w:p>
      <w:pPr>
        <w:pStyle w:val="ListParagraph"/>
        <w:numPr>
          <w:ilvl w:val="0"/>
          <w:numId w:val="2"/>
        </w:numPr>
        <w:spacing w:after="40" w:before="40"/>
      </w:pPr>
      <w:r>
        <w:rPr>
          <w:rFonts w:ascii="Arial" w:cs="Arial" w:eastAsia="Arial" w:hAnsi="Arial"/>
          <w:color w:val="1C1C1C"/>
          <w:sz w:val="22"/>
          <w:szCs w:val="22"/>
        </w:rPr>
        <w:t xml:space="preserve">Payload filters: genre, release_year, imdb_rating, roi</w:t>
      </w:r>
    </w:p>
    <w:p>
      <w:pPr>
        <w:pStyle w:val="ListParagraph"/>
        <w:numPr>
          <w:ilvl w:val="0"/>
          <w:numId w:val="2"/>
        </w:numPr>
        <w:spacing w:after="40" w:before="40"/>
      </w:pPr>
      <w:r>
        <w:rPr>
          <w:rFonts w:ascii="Arial" w:cs="Arial" w:eastAsia="Arial" w:hAnsi="Arial"/>
          <w:color w:val="1C1C1C"/>
          <w:sz w:val="22"/>
          <w:szCs w:val="22"/>
        </w:rPr>
        <w:t xml:space="preserve">Query interface: Streamlit dashboard page with text input and filter controls</w:t>
      </w:r>
    </w:p>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9. Analytics Dashboard</w:t>
      </w:r>
    </w:p>
    <w:p>
      <w:pPr>
        <w:spacing w:after="80" w:before="80"/>
      </w:pPr>
    </w:p>
    <w:p>
      <w:pPr>
        <w:spacing w:after="60" w:before="60"/>
      </w:pPr>
      <w:r>
        <w:rPr>
          <w:rFonts w:ascii="Arial" w:cs="Arial" w:eastAsia="Arial" w:hAnsi="Arial"/>
          <w:color w:val="1C1C1C"/>
          <w:sz w:val="22"/>
          <w:szCs w:val="22"/>
        </w:rPr>
        <w:t xml:space="preserve">The final deliverable is a five-page Streamlit dashboard that integrates all project components — Neo4j graph queries, Qdrant semantic search, ML predictions, and CSV-based aggregations — into a unified decision-support tool for film industry stakeholders.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Page</w:t>
            </w:r>
          </w:p>
        </w:tc>
        <w:tc>
          <w:tcPr>
            <w:tcW w:type="dxa" w:w="7020"/>
            <w:tcBorders>
              <w:top w:val="single" w:color="D0D5DD" w:sz="1"/>
              <w:left w:val="single" w:color="D0D5DD" w:sz="1"/>
              <w:bottom w:val="single" w:color="D0D5DD" w:sz="1"/>
              <w:right w:val="single" w:color="D0D5DD" w:sz="1"/>
            </w:tcBorders>
            <w:shd w:fill="1A2F5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Overview</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Dataset stats, graph counts, top genres &amp; distribution</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Collaboration Network</w:t>
            </w:r>
          </w:p>
        </w:tc>
        <w:tc>
          <w:tcPr>
            <w:tcW w:type="dxa" w:w="70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Interactive Neo4j graph explorer for director-actor pairs</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ROI Analysis</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With vs without collaboration comparison charts</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Similarity Search</w:t>
            </w:r>
          </w:p>
        </w:tc>
        <w:tc>
          <w:tcPr>
            <w:tcW w:type="dxa" w:w="702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Qdrant semantic film search by overview text</w:t>
            </w:r>
          </w:p>
        </w:tc>
      </w:tr>
      <w:tr>
        <w:tc>
          <w:tcPr>
            <w:tcW w:type="dxa" w:w="234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bCs/>
                <w:color w:val="1C1C1C"/>
                <w:sz w:val="20"/>
                <w:szCs w:val="20"/>
              </w:rPr>
              <w:t xml:space="preserve">ROI Predictor</w:t>
            </w:r>
          </w:p>
        </w:tc>
        <w:tc>
          <w:tcPr>
            <w:tcW w:type="dxa" w:w="7020"/>
            <w:tcBorders>
              <w:top w:val="single" w:color="D0D5DD" w:sz="1"/>
              <w:left w:val="single" w:color="D0D5DD" w:sz="1"/>
              <w:bottom w:val="single" w:color="D0D5DD" w:sz="1"/>
              <w:right w:val="single" w:color="D0D5DD" w:sz="1"/>
            </w:tcBorders>
            <w:shd w:fill="F2F4F7" w:val="clear"/>
            <w:tcMar>
              <w:top w:type="dxa" w:w="80"/>
              <w:left w:type="dxa" w:w="140"/>
              <w:bottom w:type="dxa" w:w="80"/>
              <w:right w:type="dxa" w:w="140"/>
            </w:tcMar>
            <w:vAlign w:val="center"/>
          </w:tcPr>
          <w:p>
            <w:pPr>
              <w:jc w:val="left"/>
            </w:pPr>
            <w:r>
              <w:rPr>
                <w:rFonts w:ascii="Arial" w:cs="Arial" w:eastAsia="Arial" w:hAnsi="Arial"/>
                <w:b w:val="false"/>
                <w:bCs w:val="false"/>
                <w:color w:val="1C1C1C"/>
                <w:sz w:val="20"/>
                <w:szCs w:val="20"/>
              </w:rPr>
              <w:t xml:space="preserve">Input director &amp; actor → predicted ROI classification</w:t>
            </w:r>
          </w:p>
        </w:tc>
      </w:tr>
    </w:tbl>
    <w:p>
      <w:pPr>
        <w:spacing w:after="200" w:before="200"/>
      </w:pPr>
    </w:p>
    <w:p>
      <w:pPr>
        <w:pStyle w:val="Heading2"/>
        <w:pBdr>
          <w:bottom w:val="single" w:color="2E5FAC" w:sz="6" w:space="1"/>
        </w:pBdr>
        <w:spacing w:after="100" w:before="240"/>
      </w:pPr>
      <w:r>
        <w:rPr>
          <w:rFonts w:ascii="Arial" w:cs="Arial" w:eastAsia="Arial" w:hAnsi="Arial"/>
          <w:b/>
          <w:bCs/>
          <w:color w:val="1A2F5A"/>
          <w:sz w:val="26"/>
          <w:szCs w:val="26"/>
        </w:rPr>
        <w:t xml:space="preserve">9.1 Infrastructure</w:t>
      </w:r>
    </w:p>
    <w:p>
      <w:pPr>
        <w:spacing w:after="60" w:before="60"/>
      </w:pPr>
      <w:r>
        <w:rPr>
          <w:rFonts w:ascii="Arial" w:cs="Arial" w:eastAsia="Arial" w:hAnsi="Arial"/>
          <w:color w:val="1C1C1C"/>
          <w:sz w:val="22"/>
          <w:szCs w:val="22"/>
        </w:rPr>
        <w:t xml:space="preserve">The dashboard is fully containerised using Docker Compose, packaging the Streamlit application and Qdrant vector database into a single deployable stack.</w:t>
      </w:r>
    </w:p>
    <w:p>
      <w:pPr>
        <w:spacing w:after="80" w:before="80"/>
      </w:pPr>
    </w:p>
    <w:p>
      <w:pPr>
        <w:pStyle w:val="ListParagraph"/>
        <w:numPr>
          <w:ilvl w:val="0"/>
          <w:numId w:val="2"/>
        </w:numPr>
        <w:spacing w:after="40" w:before="40"/>
      </w:pPr>
      <w:r>
        <w:rPr>
          <w:rFonts w:ascii="Arial" w:cs="Arial" w:eastAsia="Arial" w:hAnsi="Arial"/>
          <w:color w:val="1C1C1C"/>
          <w:sz w:val="22"/>
          <w:szCs w:val="22"/>
        </w:rPr>
        <w:t xml:space="preserve">Start with: docker compose up --build</w:t>
      </w:r>
    </w:p>
    <w:p>
      <w:pPr>
        <w:pStyle w:val="ListParagraph"/>
        <w:numPr>
          <w:ilvl w:val="0"/>
          <w:numId w:val="2"/>
        </w:numPr>
        <w:spacing w:after="40" w:before="40"/>
      </w:pPr>
      <w:r>
        <w:rPr>
          <w:rFonts w:ascii="Arial" w:cs="Arial" w:eastAsia="Arial" w:hAnsi="Arial"/>
          <w:color w:val="1C1C1C"/>
          <w:sz w:val="22"/>
          <w:szCs w:val="22"/>
        </w:rPr>
        <w:t xml:space="preserve">Access at: http://localhost:8501</w:t>
      </w:r>
    </w:p>
    <w:p>
      <w:pPr>
        <w:pStyle w:val="ListParagraph"/>
        <w:numPr>
          <w:ilvl w:val="0"/>
          <w:numId w:val="2"/>
        </w:numPr>
        <w:spacing w:after="40" w:before="40"/>
      </w:pPr>
      <w:r>
        <w:rPr>
          <w:rFonts w:ascii="Arial" w:cs="Arial" w:eastAsia="Arial" w:hAnsi="Arial"/>
          <w:color w:val="1C1C1C"/>
          <w:sz w:val="22"/>
          <w:szCs w:val="22"/>
        </w:rPr>
        <w:t xml:space="preserve">Requires: Neo4j Desktop running locally, Docker Desktop installed</w:t>
      </w:r>
    </w:p>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10. How to Run the Project</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Prerequisites</w:t>
      </w:r>
    </w:p>
    <w:p>
      <w:pPr>
        <w:pStyle w:val="ListParagraph"/>
        <w:numPr>
          <w:ilvl w:val="0"/>
          <w:numId w:val="2"/>
        </w:numPr>
        <w:spacing w:after="40" w:before="40"/>
      </w:pPr>
      <w:r>
        <w:rPr>
          <w:rFonts w:ascii="Arial" w:cs="Arial" w:eastAsia="Arial" w:hAnsi="Arial"/>
          <w:color w:val="1C1C1C"/>
          <w:sz w:val="22"/>
          <w:szCs w:val="22"/>
        </w:rPr>
        <w:t xml:space="preserve">Neo4j Desktop (running locally on default port)</w:t>
      </w:r>
    </w:p>
    <w:p>
      <w:pPr>
        <w:pStyle w:val="ListParagraph"/>
        <w:numPr>
          <w:ilvl w:val="0"/>
          <w:numId w:val="2"/>
        </w:numPr>
        <w:spacing w:after="40" w:before="40"/>
      </w:pPr>
      <w:r>
        <w:rPr>
          <w:rFonts w:ascii="Arial" w:cs="Arial" w:eastAsia="Arial" w:hAnsi="Arial"/>
          <w:color w:val="1C1C1C"/>
          <w:sz w:val="22"/>
          <w:szCs w:val="22"/>
        </w:rPr>
        <w:t xml:space="preserve">Docker Desktop</w:t>
      </w:r>
    </w:p>
    <w:p>
      <w:pPr>
        <w:pStyle w:val="ListParagraph"/>
        <w:numPr>
          <w:ilvl w:val="0"/>
          <w:numId w:val="2"/>
        </w:numPr>
        <w:spacing w:after="40" w:before="40"/>
      </w:pPr>
      <w:r>
        <w:rPr>
          <w:rFonts w:ascii="Arial" w:cs="Arial" w:eastAsia="Arial" w:hAnsi="Arial"/>
          <w:color w:val="1C1C1C"/>
          <w:sz w:val="22"/>
          <w:szCs w:val="22"/>
        </w:rPr>
        <w:t xml:space="preserve">Python 3.11+ with Anaconda / Jupyter</w:t>
      </w:r>
    </w:p>
    <w:p>
      <w:pPr>
        <w:pStyle w:val="ListParagraph"/>
        <w:numPr>
          <w:ilvl w:val="0"/>
          <w:numId w:val="2"/>
        </w:numPr>
        <w:spacing w:after="40" w:before="40"/>
      </w:pPr>
      <w:r>
        <w:rPr>
          <w:rFonts w:ascii="Arial" w:cs="Arial" w:eastAsia="Arial" w:hAnsi="Arial"/>
          <w:color w:val="1C1C1C"/>
          <w:sz w:val="22"/>
          <w:szCs w:val="22"/>
        </w:rPr>
        <w:t xml:space="preserve">Kaggle account to download the raw dataset</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Step 1 — Clone the Repository</w:t>
      </w:r>
    </w:p>
    <w:p>
      <w:pPr>
        <w:shd w:fill="F2F4F7" w:val="clear"/>
        <w:spacing w:after="60" w:before="60"/>
        <w:ind w:left="360"/>
      </w:pPr>
      <w:r>
        <w:rPr>
          <w:rFonts w:ascii="Courier New" w:cs="Courier New" w:eastAsia="Courier New" w:hAnsi="Courier New"/>
          <w:color w:val="1A2F5A"/>
          <w:sz w:val="20"/>
          <w:szCs w:val="20"/>
        </w:rPr>
        <w:t xml:space="preserve">git clone https://github.com/YOUR_USERNAME/Techtators-Big-Data-and-Business-Intelligence.git</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Step 2 — Download the Dataset</w:t>
      </w:r>
    </w:p>
    <w:p>
      <w:pPr>
        <w:spacing w:after="60" w:before="60"/>
      </w:pPr>
      <w:r>
        <w:rPr>
          <w:rFonts w:ascii="Arial" w:cs="Arial" w:eastAsia="Arial" w:hAnsi="Arial"/>
          <w:color w:val="1C1C1C"/>
          <w:sz w:val="22"/>
          <w:szCs w:val="22"/>
        </w:rPr>
        <w:t xml:space="preserve">Download the IMDB + TMDb dataset from Kaggle and place it in the data/ folder. The raw file is approximately 500 MB and is excluded from the repository via .gitignore.</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Step 3 — Run the ETL Pipeline</w:t>
      </w:r>
    </w:p>
    <w:p>
      <w:pPr>
        <w:shd w:fill="F2F4F7" w:val="clear"/>
        <w:spacing w:after="60" w:before="60"/>
        <w:ind w:left="360"/>
      </w:pPr>
      <w:r>
        <w:rPr>
          <w:rFonts w:ascii="Courier New" w:cs="Courier New" w:eastAsia="Courier New" w:hAnsi="Courier New"/>
          <w:color w:val="1A2F5A"/>
          <w:sz w:val="20"/>
          <w:szCs w:val="20"/>
        </w:rPr>
        <w:t xml:space="preserve">jupyter notebook notebooks/01_etl.ipynb</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Step 4 — Load the Neo4j Graph</w:t>
      </w:r>
    </w:p>
    <w:p>
      <w:pPr>
        <w:pStyle w:val="ListParagraph"/>
        <w:numPr>
          <w:ilvl w:val="0"/>
          <w:numId w:val="2"/>
        </w:numPr>
        <w:spacing w:after="40" w:before="40"/>
      </w:pPr>
      <w:r>
        <w:rPr>
          <w:rFonts w:ascii="Arial" w:cs="Arial" w:eastAsia="Arial" w:hAnsi="Arial"/>
          <w:color w:val="1C1C1C"/>
          <w:sz w:val="22"/>
          <w:szCs w:val="22"/>
        </w:rPr>
        <w:t xml:space="preserve">Start Neo4j Desktop and create a new database</w:t>
      </w:r>
    </w:p>
    <w:p>
      <w:pPr>
        <w:pStyle w:val="ListParagraph"/>
        <w:numPr>
          <w:ilvl w:val="0"/>
          <w:numId w:val="2"/>
        </w:numPr>
        <w:spacing w:after="40" w:before="40"/>
      </w:pPr>
      <w:r>
        <w:rPr>
          <w:rFonts w:ascii="Arial" w:cs="Arial" w:eastAsia="Arial" w:hAnsi="Arial"/>
          <w:color w:val="1C1C1C"/>
          <w:sz w:val="22"/>
          <w:szCs w:val="22"/>
        </w:rPr>
        <w:t xml:space="preserve">Copy data/movies_cleaned.csv to the Neo4j import folder</w:t>
      </w:r>
    </w:p>
    <w:p>
      <w:pPr>
        <w:pStyle w:val="ListParagraph"/>
        <w:numPr>
          <w:ilvl w:val="0"/>
          <w:numId w:val="2"/>
        </w:numPr>
        <w:spacing w:after="40" w:before="40"/>
      </w:pPr>
      <w:r>
        <w:rPr>
          <w:rFonts w:ascii="Arial" w:cs="Arial" w:eastAsia="Arial" w:hAnsi="Arial"/>
          <w:color w:val="1C1C1C"/>
          <w:sz w:val="22"/>
          <w:szCs w:val="22"/>
        </w:rPr>
        <w:t xml:space="preserve">Run the Cypher queries from neo4j/load_csv_queries.cypher</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Step 5 — Generate Embeddings</w:t>
      </w:r>
    </w:p>
    <w:p>
      <w:pPr>
        <w:shd w:fill="F2F4F7" w:val="clear"/>
        <w:spacing w:after="60" w:before="60"/>
        <w:ind w:left="360"/>
      </w:pPr>
      <w:r>
        <w:rPr>
          <w:rFonts w:ascii="Courier New" w:cs="Courier New" w:eastAsia="Courier New" w:hAnsi="Courier New"/>
          <w:color w:val="1A2F5A"/>
          <w:sz w:val="20"/>
          <w:szCs w:val="20"/>
        </w:rPr>
        <w:t xml:space="preserve">jupyter notebook notebooks/05_embeddings.ipynb</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Step 6 — Launch the Dashboard</w:t>
      </w:r>
    </w:p>
    <w:p>
      <w:pPr>
        <w:shd w:fill="F2F4F7" w:val="clear"/>
        <w:spacing w:after="60" w:before="60"/>
        <w:ind w:left="360"/>
      </w:pPr>
      <w:r>
        <w:rPr>
          <w:rFonts w:ascii="Courier New" w:cs="Courier New" w:eastAsia="Courier New" w:hAnsi="Courier New"/>
          <w:color w:val="1A2F5A"/>
          <w:sz w:val="20"/>
          <w:szCs w:val="20"/>
        </w:rPr>
        <w:t xml:space="preserve">docker compose up --build</w:t>
      </w:r>
    </w:p>
    <w:p>
      <w:pPr>
        <w:spacing w:after="60" w:before="60"/>
      </w:pPr>
      <w:r>
        <w:rPr>
          <w:rFonts w:ascii="Arial" w:cs="Arial" w:eastAsia="Arial" w:hAnsi="Arial"/>
          <w:color w:val="1C1C1C"/>
          <w:sz w:val="22"/>
          <w:szCs w:val="22"/>
        </w:rPr>
        <w:t xml:space="preserve">Then open http://localhost:8501 in your browser.</w:t>
      </w:r>
    </w:p>
    <w:p>
      <w:r>
        <w:br w:type="page"/>
      </w:r>
    </w:p>
    <w:p>
      <w:pPr>
        <w:pStyle w:val="Heading1"/>
        <w:shd w:fill="1A2F5A" w:val="clear"/>
        <w:spacing w:after="160" w:before="320"/>
        <w:ind w:left="200" w:right="200"/>
      </w:pPr>
      <w:r>
        <w:rPr>
          <w:rFonts w:ascii="Arial" w:cs="Arial" w:eastAsia="Arial" w:hAnsi="Arial"/>
          <w:b/>
          <w:bCs/>
          <w:color w:val="FFFFFF"/>
          <w:sz w:val="32"/>
          <w:szCs w:val="32"/>
        </w:rPr>
        <w:t xml:space="preserve">11. Conclusions</w:t>
      </w:r>
    </w:p>
    <w:p>
      <w:pPr>
        <w:spacing w:after="80" w:before="80"/>
      </w:pPr>
    </w:p>
    <w:p>
      <w:pPr>
        <w:spacing w:after="60" w:before="60"/>
      </w:pPr>
      <w:r>
        <w:rPr>
          <w:rFonts w:ascii="Arial" w:cs="Arial" w:eastAsia="Arial" w:hAnsi="Arial"/>
          <w:color w:val="1C1C1C"/>
          <w:sz w:val="22"/>
          <w:szCs w:val="22"/>
        </w:rPr>
        <w:t xml:space="preserve">This project successfully answered the core business question: repeated director-actor collaboration networks are strongly correlated with commercial film success, both in terms of absolute revenue and return on investment.</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11.1 Primary Conclusions</w:t>
      </w:r>
    </w:p>
    <w:p>
      <w:pPr>
        <w:pStyle w:val="ListParagraph"/>
        <w:numPr>
          <w:ilvl w:val="0"/>
          <w:numId w:val="2"/>
        </w:numPr>
        <w:spacing w:after="40" w:before="40"/>
      </w:pPr>
      <w:r>
        <w:rPr>
          <w:rFonts w:ascii="Arial" w:cs="Arial" w:eastAsia="Arial" w:hAnsi="Arial"/>
          <w:color w:val="1C1C1C"/>
          <w:sz w:val="22"/>
          <w:szCs w:val="22"/>
        </w:rPr>
        <w:t xml:space="preserve">Franchise-driven director-actor partnerships (Russo Brothers, Nolan/Bale, Jackson/Wood) dominate revenue rankings, generating billions across multi-film series.</w:t>
      </w:r>
    </w:p>
    <w:p>
      <w:pPr>
        <w:pStyle w:val="ListParagraph"/>
        <w:numPr>
          <w:ilvl w:val="0"/>
          <w:numId w:val="2"/>
        </w:numPr>
        <w:spacing w:after="40" w:before="40"/>
      </w:pPr>
      <w:r>
        <w:rPr>
          <w:rFonts w:ascii="Arial" w:cs="Arial" w:eastAsia="Arial" w:hAnsi="Arial"/>
          <w:color w:val="1C1C1C"/>
          <w:sz w:val="22"/>
          <w:szCs w:val="22"/>
        </w:rPr>
        <w:t xml:space="preserve">High-ROI collaborations are not limited to blockbusters — smaller independent productions such as The Artist (Hazanavicius/Dujardin, 22,325% ROI) demonstrate that tight creative partnerships consistently outperform industry averages.</w:t>
      </w:r>
    </w:p>
    <w:p>
      <w:pPr>
        <w:pStyle w:val="ListParagraph"/>
        <w:numPr>
          <w:ilvl w:val="0"/>
          <w:numId w:val="2"/>
        </w:numPr>
        <w:spacing w:after="40" w:before="40"/>
      </w:pPr>
      <w:r>
        <w:rPr>
          <w:rFonts w:ascii="Arial" w:cs="Arial" w:eastAsia="Arial" w:hAnsi="Arial"/>
          <w:color w:val="1C1C1C"/>
          <w:sz w:val="22"/>
          <w:szCs w:val="22"/>
        </w:rPr>
        <w:t xml:space="preserve">Adventure-led genre combinations (Action + Sci-Fi, Fantasy) produce the highest average revenues and ROIs across the dataset.</w:t>
      </w:r>
    </w:p>
    <w:p>
      <w:pPr>
        <w:pStyle w:val="ListParagraph"/>
        <w:numPr>
          <w:ilvl w:val="0"/>
          <w:numId w:val="2"/>
        </w:numPr>
        <w:spacing w:after="40" w:before="40"/>
      </w:pPr>
      <w:r>
        <w:rPr>
          <w:rFonts w:ascii="Arial" w:cs="Arial" w:eastAsia="Arial" w:hAnsi="Arial"/>
          <w:color w:val="1C1C1C"/>
          <w:sz w:val="22"/>
          <w:szCs w:val="22"/>
        </w:rPr>
        <w:t xml:space="preserve">Local collaboration features are more predictive of high ROI than global network centrality, confirming that depth of partnership matters more than breadth of connections.</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11.2 Technical Contributions</w:t>
      </w:r>
    </w:p>
    <w:p>
      <w:pPr>
        <w:pStyle w:val="ListParagraph"/>
        <w:numPr>
          <w:ilvl w:val="0"/>
          <w:numId w:val="2"/>
        </w:numPr>
        <w:spacing w:after="40" w:before="40"/>
      </w:pPr>
      <w:r>
        <w:rPr>
          <w:rFonts w:ascii="Arial" w:cs="Arial" w:eastAsia="Arial" w:hAnsi="Arial"/>
          <w:color w:val="1C1C1C"/>
          <w:sz w:val="22"/>
          <w:szCs w:val="22"/>
        </w:rPr>
        <w:t xml:space="preserve">Built a complete end-to-end big data pipeline from raw 1M-row CSV to interactive dashboard.</w:t>
      </w:r>
    </w:p>
    <w:p>
      <w:pPr>
        <w:pStyle w:val="ListParagraph"/>
        <w:numPr>
          <w:ilvl w:val="0"/>
          <w:numId w:val="2"/>
        </w:numPr>
        <w:spacing w:after="40" w:before="40"/>
      </w:pPr>
      <w:r>
        <w:rPr>
          <w:rFonts w:ascii="Arial" w:cs="Arial" w:eastAsia="Arial" w:hAnsi="Arial"/>
          <w:color w:val="1C1C1C"/>
          <w:sz w:val="22"/>
          <w:szCs w:val="22"/>
        </w:rPr>
        <w:t xml:space="preserve">Demonstrated integration of three complementary data paradigms: graph (Neo4j), vector (Qdrant), and tabular (DuckDB/Pandas).</w:t>
      </w:r>
    </w:p>
    <w:p>
      <w:pPr>
        <w:pStyle w:val="ListParagraph"/>
        <w:numPr>
          <w:ilvl w:val="0"/>
          <w:numId w:val="2"/>
        </w:numPr>
        <w:spacing w:after="40" w:before="40"/>
      </w:pPr>
      <w:r>
        <w:rPr>
          <w:rFonts w:ascii="Arial" w:cs="Arial" w:eastAsia="Arial" w:hAnsi="Arial"/>
          <w:color w:val="1C1C1C"/>
          <w:sz w:val="22"/>
          <w:szCs w:val="22"/>
        </w:rPr>
        <w:t xml:space="preserve">Validated that graph enrichment features from GDS (PageRank, Louvain) do not universally improve ML performance and should be evaluated empirically per task.</w:t>
      </w:r>
    </w:p>
    <w:p>
      <w:pPr>
        <w:spacing w:after="80" w:before="80"/>
      </w:pPr>
    </w:p>
    <w:p>
      <w:pPr>
        <w:pStyle w:val="Heading2"/>
        <w:pBdr>
          <w:bottom w:val="single" w:color="2E5FAC" w:sz="6" w:space="1"/>
        </w:pBdr>
        <w:spacing w:after="100" w:before="240"/>
      </w:pPr>
      <w:r>
        <w:rPr>
          <w:rFonts w:ascii="Arial" w:cs="Arial" w:eastAsia="Arial" w:hAnsi="Arial"/>
          <w:b/>
          <w:bCs/>
          <w:color w:val="1A2F5A"/>
          <w:sz w:val="26"/>
          <w:szCs w:val="26"/>
        </w:rPr>
        <w:t xml:space="preserve">11.3 Future Work</w:t>
      </w:r>
    </w:p>
    <w:p>
      <w:pPr>
        <w:pStyle w:val="ListParagraph"/>
        <w:numPr>
          <w:ilvl w:val="0"/>
          <w:numId w:val="2"/>
        </w:numPr>
        <w:spacing w:after="40" w:before="40"/>
      </w:pPr>
      <w:r>
        <w:rPr>
          <w:rFonts w:ascii="Arial" w:cs="Arial" w:eastAsia="Arial" w:hAnsi="Arial"/>
          <w:color w:val="1C1C1C"/>
          <w:sz w:val="22"/>
          <w:szCs w:val="22"/>
        </w:rPr>
        <w:t xml:space="preserve">Extend the dataset to the full 1M-row raw source for scale validation.</w:t>
      </w:r>
    </w:p>
    <w:p>
      <w:pPr>
        <w:pStyle w:val="ListParagraph"/>
        <w:numPr>
          <w:ilvl w:val="0"/>
          <w:numId w:val="2"/>
        </w:numPr>
        <w:spacing w:after="40" w:before="40"/>
      </w:pPr>
      <w:r>
        <w:rPr>
          <w:rFonts w:ascii="Arial" w:cs="Arial" w:eastAsia="Arial" w:hAnsi="Arial"/>
          <w:color w:val="1C1C1C"/>
          <w:sz w:val="22"/>
          <w:szCs w:val="22"/>
        </w:rPr>
        <w:t xml:space="preserve">Incorporate streaming data (e.g., TMDb API) to enable real-time collaboration monitoring.</w:t>
      </w:r>
    </w:p>
    <w:p>
      <w:pPr>
        <w:pStyle w:val="ListParagraph"/>
        <w:numPr>
          <w:ilvl w:val="0"/>
          <w:numId w:val="2"/>
        </w:numPr>
        <w:spacing w:after="40" w:before="40"/>
      </w:pPr>
      <w:r>
        <w:rPr>
          <w:rFonts w:ascii="Arial" w:cs="Arial" w:eastAsia="Arial" w:hAnsi="Arial"/>
          <w:color w:val="1C1C1C"/>
          <w:sz w:val="22"/>
          <w:szCs w:val="22"/>
        </w:rPr>
        <w:t xml:space="preserve">Explore GNN (Graph Neural Network) approaches for ROI classification using the full graph topology.</w:t>
      </w:r>
    </w:p>
    <w:p>
      <w:pPr>
        <w:pStyle w:val="ListParagraph"/>
        <w:numPr>
          <w:ilvl w:val="0"/>
          <w:numId w:val="2"/>
        </w:numPr>
        <w:spacing w:after="40" w:before="40"/>
      </w:pPr>
      <w:r>
        <w:rPr>
          <w:rFonts w:ascii="Arial" w:cs="Arial" w:eastAsia="Arial" w:hAnsi="Arial"/>
          <w:color w:val="1C1C1C"/>
          <w:sz w:val="22"/>
          <w:szCs w:val="22"/>
        </w:rPr>
        <w:t xml:space="preserve">Deploy the dashboard to a cloud environment (e.g., AWS, GCP) with a managed Neo4j AuraDB instance.</w:t>
      </w:r>
    </w:p>
    <w:p>
      <w:pPr>
        <w:spacing w:after="200" w:before="200"/>
      </w:pPr>
    </w:p>
    <w:p>
      <w:pPr>
        <w:pBdr>
          <w:top w:val="single" w:color="D0D5DD" w:sz="4" w:space="4"/>
        </w:pBdr>
        <w:spacing w:before="200"/>
        <w:jc w:val="center"/>
      </w:pPr>
      <w:r>
        <w:rPr>
          <w:rFonts w:ascii="Arial" w:cs="Arial" w:eastAsia="Arial" w:hAnsi="Arial"/>
          <w:i/>
          <w:iCs/>
          <w:color w:val="888888"/>
          <w:sz w:val="18"/>
          <w:szCs w:val="18"/>
        </w:rPr>
        <w:t xml:space="preserve">Techtators — Big Data &amp; Business Intelligence Capstone Project — SRH University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1"/>
      </w:pBdr>
      <w:tabs>
        <w:tab w:val="right" w:pos="9026"/>
      </w:tabs>
      <w:spacing w:before="100"/>
    </w:pPr>
    <w:r>
      <w:rPr>
        <w:rFonts w:ascii="Arial" w:cs="Arial" w:eastAsia="Arial" w:hAnsi="Arial"/>
        <w:color w:val="888888"/>
        <w:sz w:val="18"/>
        <w:szCs w:val="18"/>
      </w:rPr>
      <w:t xml:space="preserve">Techtators — SRH University  |  Big Data &amp; Business Intelligence Capstone</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1"/>
      </w:pBdr>
      <w:spacing w:after="100"/>
    </w:pPr>
    <w:r>
      <w:rPr>
        <w:rFonts w:ascii="Arial" w:cs="Arial" w:eastAsia="Arial" w:hAnsi="Arial"/>
        <w:color w:val="888888"/>
        <w:sz w:val="18"/>
        <w:szCs w:val="18"/>
      </w:rPr>
      <w:t xml:space="preserve">Movie Collaboration Network Analysis  |  Techtators  |  BD &amp; BI Capstone — SRH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2F5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FA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2026-06-03T09:48:17.190Z</dcterms:created>
  <dcterms:modified xsi:type="dcterms:W3CDTF">2026-06-03T09:48:17.190Z</dcterms:modified>
</cp:coreProperties>
</file>

<file path=docProps/custom.xml><?xml version="1.0" encoding="utf-8"?>
<Properties xmlns="http://schemas.openxmlformats.org/officeDocument/2006/custom-properties" xmlns:vt="http://schemas.openxmlformats.org/officeDocument/2006/docPropsVTypes"/>
</file>