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9EE9A" w14:textId="77777777" w:rsidR="00EF03DD" w:rsidRDefault="00221255" w:rsidP="00B968D5">
      <w:pPr>
        <w:ind w:right="-900"/>
        <w:jc w:val="center"/>
        <w:rPr>
          <w:rFonts w:ascii="Arial" w:hAnsi="Arial" w:cs="Arial"/>
          <w:b/>
          <w:color w:val="000000"/>
          <w:u w:val="single"/>
        </w:rPr>
      </w:pPr>
      <w:r w:rsidRPr="00221255">
        <w:rPr>
          <w:rFonts w:ascii="Arial" w:hAnsi="Arial" w:cs="Arial"/>
          <w:b/>
          <w:color w:val="000000"/>
          <w:u w:val="single"/>
        </w:rPr>
        <w:t>Mesoscale Convective System Life-Cycle Stages in the Global Maritime Tropics</w:t>
      </w:r>
    </w:p>
    <w:p w14:paraId="7A43869F" w14:textId="77777777" w:rsidR="00221255" w:rsidRDefault="00221255" w:rsidP="00221255">
      <w:pPr>
        <w:ind w:left="-720" w:right="-900"/>
        <w:jc w:val="center"/>
        <w:rPr>
          <w:rFonts w:ascii="Arial" w:hAnsi="Arial" w:cs="Arial"/>
          <w:color w:val="000000"/>
        </w:rPr>
      </w:pPr>
    </w:p>
    <w:p w14:paraId="0B908B8F" w14:textId="77777777" w:rsidR="00221255" w:rsidRDefault="00221255" w:rsidP="00251ED5">
      <w:pPr>
        <w:ind w:left="-540" w:right="-900"/>
        <w:jc w:val="center"/>
        <w:rPr>
          <w:rFonts w:ascii="Arial" w:hAnsi="Arial" w:cs="Arial"/>
          <w:color w:val="000000"/>
        </w:rPr>
      </w:pPr>
      <w:r w:rsidRPr="00221255">
        <w:rPr>
          <w:rFonts w:ascii="Arial" w:hAnsi="Arial" w:cs="Arial"/>
          <w:i/>
          <w:color w:val="000000"/>
        </w:rPr>
        <w:t>Ralph F. Milliff</w:t>
      </w:r>
      <w:r>
        <w:rPr>
          <w:rFonts w:ascii="Arial" w:hAnsi="Arial" w:cs="Arial"/>
          <w:color w:val="000000"/>
        </w:rPr>
        <w:t>; CIRES, University of Colorado</w:t>
      </w:r>
    </w:p>
    <w:p w14:paraId="4346A1EC" w14:textId="77777777" w:rsidR="00221255" w:rsidRDefault="00221255" w:rsidP="00221255">
      <w:pPr>
        <w:ind w:left="-720" w:right="-900"/>
        <w:jc w:val="center"/>
        <w:rPr>
          <w:rFonts w:ascii="Arial" w:hAnsi="Arial" w:cs="Arial"/>
          <w:color w:val="000000"/>
        </w:rPr>
      </w:pPr>
    </w:p>
    <w:p w14:paraId="07BEC4B0" w14:textId="77777777" w:rsidR="00221255" w:rsidRDefault="00221255" w:rsidP="00221255">
      <w:pPr>
        <w:ind w:left="-720" w:right="-900"/>
        <w:jc w:val="center"/>
        <w:rPr>
          <w:rFonts w:ascii="Arial" w:hAnsi="Arial" w:cs="Arial"/>
          <w:color w:val="000000"/>
        </w:rPr>
      </w:pPr>
      <w:r w:rsidRPr="00221255">
        <w:rPr>
          <w:rFonts w:ascii="Arial" w:hAnsi="Arial" w:cs="Arial"/>
          <w:i/>
          <w:color w:val="000000"/>
        </w:rPr>
        <w:t>Dudley B. Chelton</w:t>
      </w:r>
      <w:r>
        <w:rPr>
          <w:rFonts w:ascii="Arial" w:hAnsi="Arial" w:cs="Arial"/>
          <w:color w:val="000000"/>
        </w:rPr>
        <w:t>; Oregon State University</w:t>
      </w:r>
    </w:p>
    <w:p w14:paraId="3C8C4145" w14:textId="3AF42F0D" w:rsidR="00221255" w:rsidRDefault="00221255" w:rsidP="00221255">
      <w:pPr>
        <w:ind w:left="-720" w:right="-900"/>
        <w:jc w:val="center"/>
        <w:rPr>
          <w:rFonts w:ascii="Arial" w:hAnsi="Arial" w:cs="Arial"/>
          <w:color w:val="000000"/>
        </w:rPr>
      </w:pPr>
      <w:r w:rsidRPr="00221255">
        <w:rPr>
          <w:rFonts w:ascii="Arial" w:hAnsi="Arial" w:cs="Arial"/>
          <w:i/>
          <w:color w:val="000000"/>
        </w:rPr>
        <w:t>Ziad</w:t>
      </w:r>
      <w:r w:rsidR="00A23DE5">
        <w:rPr>
          <w:rFonts w:ascii="Arial" w:hAnsi="Arial" w:cs="Arial"/>
          <w:i/>
          <w:color w:val="000000"/>
        </w:rPr>
        <w:t xml:space="preserve"> S.</w:t>
      </w:r>
      <w:r w:rsidRPr="00221255">
        <w:rPr>
          <w:rFonts w:ascii="Arial" w:hAnsi="Arial" w:cs="Arial"/>
          <w:i/>
          <w:color w:val="000000"/>
        </w:rPr>
        <w:t xml:space="preserve"> Haddad</w:t>
      </w:r>
      <w:r>
        <w:rPr>
          <w:rFonts w:ascii="Arial" w:hAnsi="Arial" w:cs="Arial"/>
          <w:color w:val="000000"/>
        </w:rPr>
        <w:t>; NASA Jet Propulsion Laboratory</w:t>
      </w:r>
    </w:p>
    <w:p w14:paraId="6BB0C9C8" w14:textId="77777777" w:rsidR="00221255" w:rsidRDefault="00221255" w:rsidP="00221255">
      <w:pPr>
        <w:ind w:left="-720" w:right="-900"/>
        <w:jc w:val="center"/>
        <w:rPr>
          <w:rFonts w:ascii="Arial" w:hAnsi="Arial" w:cs="Arial"/>
          <w:color w:val="000000"/>
        </w:rPr>
      </w:pPr>
      <w:r w:rsidRPr="00221255">
        <w:rPr>
          <w:rFonts w:ascii="Arial" w:hAnsi="Arial" w:cs="Arial"/>
          <w:i/>
          <w:color w:val="000000"/>
        </w:rPr>
        <w:t>Robert A. Houze, Jr</w:t>
      </w:r>
      <w:r>
        <w:rPr>
          <w:rFonts w:ascii="Arial" w:hAnsi="Arial" w:cs="Arial"/>
          <w:color w:val="000000"/>
        </w:rPr>
        <w:t>.; University of Washington</w:t>
      </w:r>
    </w:p>
    <w:p w14:paraId="7839F610" w14:textId="77777777" w:rsidR="00221255" w:rsidRDefault="00221255" w:rsidP="00221255">
      <w:pPr>
        <w:ind w:left="-720" w:right="-900"/>
        <w:jc w:val="center"/>
        <w:rPr>
          <w:rFonts w:ascii="Arial" w:hAnsi="Arial" w:cs="Arial"/>
          <w:color w:val="000000"/>
        </w:rPr>
      </w:pPr>
      <w:r w:rsidRPr="00221255">
        <w:rPr>
          <w:rFonts w:ascii="Arial" w:hAnsi="Arial" w:cs="Arial"/>
          <w:i/>
          <w:color w:val="000000"/>
        </w:rPr>
        <w:t>David G. Long</w:t>
      </w:r>
      <w:r>
        <w:rPr>
          <w:rFonts w:ascii="Arial" w:hAnsi="Arial" w:cs="Arial"/>
          <w:color w:val="000000"/>
        </w:rPr>
        <w:t>; Brigham Young University</w:t>
      </w:r>
    </w:p>
    <w:p w14:paraId="62A1C01E" w14:textId="77777777" w:rsidR="00221255" w:rsidRDefault="00221255" w:rsidP="00221255">
      <w:pPr>
        <w:ind w:left="-720" w:right="-900"/>
        <w:jc w:val="center"/>
        <w:rPr>
          <w:rFonts w:ascii="Arial" w:hAnsi="Arial" w:cs="Arial"/>
          <w:color w:val="000000"/>
        </w:rPr>
      </w:pPr>
      <w:r w:rsidRPr="00221255">
        <w:rPr>
          <w:rFonts w:ascii="Arial" w:hAnsi="Arial" w:cs="Arial"/>
          <w:i/>
          <w:color w:val="000000"/>
        </w:rPr>
        <w:t>Brian E. Mapes</w:t>
      </w:r>
      <w:r>
        <w:rPr>
          <w:rFonts w:ascii="Arial" w:hAnsi="Arial" w:cs="Arial"/>
          <w:color w:val="000000"/>
        </w:rPr>
        <w:t>; University of Miami</w:t>
      </w:r>
    </w:p>
    <w:p w14:paraId="725425EC" w14:textId="77777777" w:rsidR="00221255" w:rsidRDefault="00221255" w:rsidP="00221255">
      <w:pPr>
        <w:ind w:left="-720" w:right="-900"/>
        <w:jc w:val="center"/>
        <w:rPr>
          <w:rFonts w:ascii="Arial" w:hAnsi="Arial" w:cs="Arial"/>
        </w:rPr>
      </w:pPr>
      <w:r>
        <w:rPr>
          <w:rFonts w:ascii="Arial" w:hAnsi="Arial" w:cs="Arial"/>
          <w:i/>
          <w:color w:val="000000"/>
        </w:rPr>
        <w:t>Todd Pett</w:t>
      </w:r>
      <w:r w:rsidRPr="00221255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Ball Aerospace and Technology Corporation</w:t>
      </w:r>
    </w:p>
    <w:p w14:paraId="213FC593" w14:textId="77777777" w:rsidR="00221255" w:rsidRDefault="00221255" w:rsidP="00221255">
      <w:pPr>
        <w:ind w:left="-720" w:right="-900"/>
        <w:jc w:val="center"/>
        <w:rPr>
          <w:rFonts w:ascii="Arial" w:hAnsi="Arial" w:cs="Arial"/>
        </w:rPr>
      </w:pPr>
      <w:r>
        <w:rPr>
          <w:rFonts w:ascii="Arial" w:hAnsi="Arial" w:cs="Arial"/>
          <w:i/>
          <w:color w:val="000000"/>
        </w:rPr>
        <w:t>David A</w:t>
      </w:r>
      <w:r w:rsidRPr="0022125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221255">
        <w:rPr>
          <w:rFonts w:ascii="Arial" w:hAnsi="Arial" w:cs="Arial"/>
          <w:i/>
        </w:rPr>
        <w:t>Randall</w:t>
      </w:r>
      <w:r>
        <w:rPr>
          <w:rFonts w:ascii="Arial" w:hAnsi="Arial" w:cs="Arial"/>
        </w:rPr>
        <w:t>; Colorado State University</w:t>
      </w:r>
    </w:p>
    <w:p w14:paraId="268B4F2D" w14:textId="77777777" w:rsidR="00221255" w:rsidRDefault="00221255" w:rsidP="00221255">
      <w:pPr>
        <w:ind w:left="-720" w:right="-900"/>
        <w:jc w:val="center"/>
        <w:rPr>
          <w:rFonts w:ascii="Arial" w:hAnsi="Arial" w:cs="Arial"/>
        </w:rPr>
      </w:pPr>
      <w:r>
        <w:rPr>
          <w:rFonts w:ascii="Arial" w:hAnsi="Arial" w:cs="Arial"/>
          <w:i/>
          <w:color w:val="000000"/>
        </w:rPr>
        <w:t>Gail Skofronick</w:t>
      </w:r>
      <w:r w:rsidRPr="00221255">
        <w:rPr>
          <w:rFonts w:ascii="Arial" w:hAnsi="Arial" w:cs="Arial"/>
        </w:rPr>
        <w:t>-</w:t>
      </w:r>
      <w:r w:rsidRPr="00221255">
        <w:rPr>
          <w:rFonts w:ascii="Arial" w:hAnsi="Arial" w:cs="Arial"/>
          <w:i/>
        </w:rPr>
        <w:t>Jackson</w:t>
      </w:r>
      <w:r>
        <w:rPr>
          <w:rFonts w:ascii="Arial" w:hAnsi="Arial" w:cs="Arial"/>
        </w:rPr>
        <w:t>; NASA Goddard Space Flight Center</w:t>
      </w:r>
    </w:p>
    <w:p w14:paraId="496942B8" w14:textId="77777777" w:rsidR="00221255" w:rsidRDefault="00221255" w:rsidP="00221255">
      <w:pPr>
        <w:ind w:left="-720" w:right="-900"/>
        <w:jc w:val="center"/>
        <w:rPr>
          <w:rFonts w:ascii="Arial" w:hAnsi="Arial" w:cs="Arial"/>
        </w:rPr>
      </w:pPr>
      <w:r>
        <w:rPr>
          <w:rFonts w:ascii="Arial" w:hAnsi="Arial" w:cs="Arial"/>
          <w:i/>
          <w:color w:val="000000"/>
        </w:rPr>
        <w:t>Frank Wentz</w:t>
      </w:r>
      <w:r w:rsidRPr="00221255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Remote Sensing Systems</w:t>
      </w:r>
    </w:p>
    <w:p w14:paraId="663170B9" w14:textId="77777777" w:rsidR="00221255" w:rsidRDefault="00221255" w:rsidP="00221255">
      <w:pPr>
        <w:ind w:left="-720" w:right="-900"/>
        <w:jc w:val="center"/>
        <w:rPr>
          <w:rFonts w:ascii="Arial" w:hAnsi="Arial" w:cs="Arial"/>
        </w:rPr>
      </w:pPr>
    </w:p>
    <w:p w14:paraId="11BE47EB" w14:textId="77777777" w:rsidR="00221255" w:rsidRPr="00221255" w:rsidRDefault="00221255" w:rsidP="00251E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ab/>
      </w:r>
      <w:r w:rsidR="00B968D5">
        <w:rPr>
          <w:rFonts w:ascii="Arial" w:hAnsi="Arial" w:cs="Arial"/>
          <w:i/>
          <w:color w:val="000000"/>
        </w:rPr>
        <w:tab/>
      </w:r>
      <w:r w:rsidRPr="00221255">
        <w:rPr>
          <w:rFonts w:ascii="Arial" w:hAnsi="Arial" w:cs="Arial"/>
          <w:i/>
          <w:color w:val="000000"/>
        </w:rPr>
        <w:t>1. What are the key challenges or questions for Earth System Science</w:t>
      </w:r>
    </w:p>
    <w:p w14:paraId="4BD9CCA0" w14:textId="77777777" w:rsidR="00221255" w:rsidRPr="00221255" w:rsidRDefault="00221255" w:rsidP="002212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Arial" w:hAnsi="Arial" w:cs="Arial"/>
          <w:i/>
          <w:color w:val="000000"/>
        </w:rPr>
      </w:pPr>
      <w:r w:rsidRPr="00221255">
        <w:rPr>
          <w:rFonts w:ascii="Arial" w:hAnsi="Arial" w:cs="Arial"/>
          <w:i/>
          <w:color w:val="000000"/>
        </w:rPr>
        <w:t xml:space="preserve">   </w:t>
      </w:r>
      <w:r>
        <w:rPr>
          <w:rFonts w:ascii="Arial" w:hAnsi="Arial" w:cs="Arial"/>
          <w:i/>
          <w:color w:val="000000"/>
        </w:rPr>
        <w:tab/>
        <w:t xml:space="preserve">   </w:t>
      </w:r>
      <w:r w:rsidR="00B968D5">
        <w:rPr>
          <w:rFonts w:ascii="Arial" w:hAnsi="Arial" w:cs="Arial"/>
          <w:i/>
          <w:color w:val="000000"/>
        </w:rPr>
        <w:tab/>
      </w:r>
      <w:r>
        <w:rPr>
          <w:rFonts w:ascii="Arial" w:hAnsi="Arial" w:cs="Arial"/>
          <w:i/>
          <w:color w:val="000000"/>
        </w:rPr>
        <w:t xml:space="preserve"> </w:t>
      </w:r>
      <w:r w:rsidR="00B968D5">
        <w:rPr>
          <w:rFonts w:ascii="Arial" w:hAnsi="Arial" w:cs="Arial"/>
          <w:i/>
          <w:color w:val="000000"/>
        </w:rPr>
        <w:t xml:space="preserve">   </w:t>
      </w:r>
      <w:r w:rsidRPr="00221255">
        <w:rPr>
          <w:rFonts w:ascii="Arial" w:hAnsi="Arial" w:cs="Arial"/>
          <w:i/>
          <w:color w:val="000000"/>
        </w:rPr>
        <w:t>across the spectrum of basic research, applied research, applications,</w:t>
      </w:r>
    </w:p>
    <w:p w14:paraId="7D8BF02F" w14:textId="77777777" w:rsidR="00221255" w:rsidRDefault="00221255" w:rsidP="002212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Arial" w:hAnsi="Arial" w:cs="Arial"/>
          <w:i/>
          <w:color w:val="000000"/>
        </w:rPr>
      </w:pPr>
      <w:r w:rsidRPr="00221255">
        <w:rPr>
          <w:rFonts w:ascii="Arial" w:hAnsi="Arial" w:cs="Arial"/>
          <w:i/>
          <w:color w:val="000000"/>
        </w:rPr>
        <w:t xml:space="preserve">  </w:t>
      </w:r>
      <w:r>
        <w:rPr>
          <w:rFonts w:ascii="Arial" w:hAnsi="Arial" w:cs="Arial"/>
          <w:i/>
          <w:color w:val="000000"/>
        </w:rPr>
        <w:tab/>
        <w:t xml:space="preserve">   </w:t>
      </w:r>
      <w:r w:rsidRPr="00221255">
        <w:rPr>
          <w:rFonts w:ascii="Arial" w:hAnsi="Arial" w:cs="Arial"/>
          <w:i/>
          <w:color w:val="000000"/>
        </w:rPr>
        <w:t xml:space="preserve"> </w:t>
      </w:r>
      <w:r w:rsidR="00B968D5">
        <w:rPr>
          <w:rFonts w:ascii="Arial" w:hAnsi="Arial" w:cs="Arial"/>
          <w:i/>
          <w:color w:val="000000"/>
        </w:rPr>
        <w:tab/>
        <w:t xml:space="preserve">    </w:t>
      </w:r>
      <w:r w:rsidRPr="00221255">
        <w:rPr>
          <w:rFonts w:ascii="Arial" w:hAnsi="Arial" w:cs="Arial"/>
          <w:i/>
          <w:color w:val="000000"/>
        </w:rPr>
        <w:t>and/or operations in the coming decade?</w:t>
      </w:r>
    </w:p>
    <w:p w14:paraId="7C8A4803" w14:textId="77777777" w:rsidR="00221255" w:rsidRDefault="00221255" w:rsidP="002212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 w:right="-720"/>
        <w:rPr>
          <w:rFonts w:ascii="Arial" w:hAnsi="Arial" w:cs="Arial"/>
          <w:i/>
          <w:color w:val="000000"/>
        </w:rPr>
      </w:pPr>
    </w:p>
    <w:p w14:paraId="03DEB3FB" w14:textId="1BC695A0" w:rsidR="00221255" w:rsidRPr="00B968D5" w:rsidRDefault="00221255" w:rsidP="00B43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540"/>
        <w:rPr>
          <w:rFonts w:ascii="Arial" w:hAnsi="Arial" w:cs="Arial"/>
          <w:color w:val="000000"/>
        </w:rPr>
      </w:pPr>
      <w:r w:rsidRPr="00221255">
        <w:rPr>
          <w:rFonts w:ascii="Arial" w:hAnsi="Arial" w:cs="Arial"/>
          <w:color w:val="000000"/>
        </w:rPr>
        <w:t>We seek the multi-parameter dataset necessary to facilitate transformative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atmosphere-ocean science by resolving, in space and time, the life-cycles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of mesoscale convective systems (MCS), system-b</w:t>
      </w:r>
      <w:r>
        <w:rPr>
          <w:rFonts w:ascii="Arial" w:hAnsi="Arial" w:cs="Arial"/>
          <w:color w:val="000000"/>
        </w:rPr>
        <w:t>y-system, throughout the globa</w:t>
      </w:r>
      <w:r w:rsidR="00251ED5">
        <w:rPr>
          <w:rFonts w:ascii="Arial" w:hAnsi="Arial" w:cs="Arial"/>
          <w:color w:val="000000"/>
        </w:rPr>
        <w:t>l</w:t>
      </w:r>
      <w:r>
        <w:rPr>
          <w:rFonts w:ascii="Arial" w:hAnsi="Arial" w:cs="Arial"/>
          <w:color w:val="000000"/>
        </w:rPr>
        <w:t xml:space="preserve"> </w:t>
      </w:r>
      <w:r w:rsidR="00251ED5">
        <w:rPr>
          <w:rFonts w:ascii="Arial" w:hAnsi="Arial" w:cs="Arial"/>
          <w:color w:val="000000"/>
        </w:rPr>
        <w:t>maritime tropics.  The four-</w:t>
      </w:r>
      <w:r w:rsidRPr="00221255">
        <w:rPr>
          <w:rFonts w:ascii="Arial" w:hAnsi="Arial" w:cs="Arial"/>
          <w:color w:val="000000"/>
        </w:rPr>
        <w:t>dimensional organization and energy transfers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across scales in tropical convective systems is a fundamental and poorly</w:t>
      </w:r>
      <w:r w:rsidR="00B43B93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 xml:space="preserve">understood process that underlies a broad </w:t>
      </w:r>
      <w:r w:rsidR="00251ED5">
        <w:rPr>
          <w:rFonts w:ascii="Arial" w:hAnsi="Arial" w:cs="Arial"/>
          <w:color w:val="000000"/>
        </w:rPr>
        <w:t xml:space="preserve">spectrum of weather and climate </w:t>
      </w:r>
      <w:r w:rsidRPr="00221255">
        <w:rPr>
          <w:rFonts w:ascii="Arial" w:hAnsi="Arial" w:cs="Arial"/>
          <w:color w:val="000000"/>
        </w:rPr>
        <w:t>phenomena that are among the most energetic on our planet.  These include,</w:t>
      </w:r>
      <w:r w:rsidR="00251ED5">
        <w:rPr>
          <w:rFonts w:ascii="Arial" w:hAnsi="Arial" w:cs="Arial"/>
          <w:color w:val="000000"/>
        </w:rPr>
        <w:t xml:space="preserve"> tropical cyclogenesis, monsoon </w:t>
      </w:r>
      <w:r w:rsidRPr="00221255">
        <w:rPr>
          <w:rFonts w:ascii="Arial" w:hAnsi="Arial" w:cs="Arial"/>
          <w:color w:val="000000"/>
        </w:rPr>
        <w:t>dynamics, the formation and initial propagation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of atmospheric rivers, Madden-Julian Oscillation (MJO) active phases,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El Nino/Southern Oscillation (ENSO) warm and cold events, and the dynamics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of tropical convergence zones.  Tropical convection processes provide the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canonical examples of upscale energy transfers in turbulent geophysical systems,</w:t>
      </w:r>
      <w:r w:rsidR="00251ED5">
        <w:rPr>
          <w:rFonts w:ascii="Arial" w:hAnsi="Arial" w:cs="Arial"/>
          <w:color w:val="000000"/>
        </w:rPr>
        <w:t xml:space="preserve"> i</w:t>
      </w:r>
      <w:r w:rsidRPr="00221255">
        <w:rPr>
          <w:rFonts w:ascii="Arial" w:hAnsi="Arial" w:cs="Arial"/>
          <w:color w:val="000000"/>
        </w:rPr>
        <w:t>ncluding dynamics and thermodynamics associated with vertical transports of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momentum and material properties, changes in phase and the mechanisms for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se</w:t>
      </w:r>
      <w:r w:rsidR="00B43B93">
        <w:rPr>
          <w:rFonts w:ascii="Arial" w:hAnsi="Arial" w:cs="Arial"/>
          <w:color w:val="000000"/>
        </w:rPr>
        <w:t>lf-</w:t>
      </w:r>
      <w:r w:rsidRPr="00221255">
        <w:rPr>
          <w:rFonts w:ascii="Arial" w:hAnsi="Arial" w:cs="Arial"/>
          <w:color w:val="000000"/>
        </w:rPr>
        <w:t>aggregation.  Maritime tropical MCS</w:t>
      </w:r>
      <w:r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provide a representative and resolvable target signal within the multi-scale</w:t>
      </w:r>
      <w:r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ranges of these processes from which we might infer and quantify the organization</w:t>
      </w:r>
      <w:r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and scale transfers leading to the larger-scale phenomena affecting the planet.</w:t>
      </w:r>
      <w:r>
        <w:rPr>
          <w:rFonts w:ascii="Arial" w:hAnsi="Arial" w:cs="Arial"/>
          <w:color w:val="000000"/>
        </w:rPr>
        <w:t xml:space="preserve">  </w:t>
      </w:r>
      <w:r w:rsidRPr="00221255">
        <w:rPr>
          <w:rFonts w:ascii="Arial" w:hAnsi="Arial" w:cs="Arial"/>
          <w:color w:val="000000"/>
        </w:rPr>
        <w:t>Life-cycle stages for maritime tropical MCS define the time and space scales</w:t>
      </w:r>
      <w:r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to be observed by multi-sensor systems necessary to capture essential dynamic</w:t>
      </w:r>
      <w:r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and thermodynamic signals.  To understand, quantify and predict larger-scale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phenomena, we should seek to revisit evolving maritime MCS in their respective</w:t>
      </w:r>
      <w:r w:rsidR="00B968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tropical ocean basins, several times during their individual life-cycles.</w:t>
      </w:r>
      <w:r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This implies bursts of repeat sampling with revisits on the order of an hour</w:t>
      </w:r>
      <w:r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in a variety of infrared and microwave frequencies, resolving spatial scales</w:t>
      </w:r>
      <w:r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on the order of a few kilometers within areal coverages spanning thousands</w:t>
      </w:r>
      <w:r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of kilometers.  Essential dynamical and thermodynamical variables to be</w:t>
      </w:r>
      <w:r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simultaneously measured directly and/or inferred include: surface wind convergence</w:t>
      </w:r>
      <w:r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and divergence; sea surface temperature (SST); total column and multi-layer</w:t>
      </w:r>
      <w:r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water vapor content; total-column and multi-layer temperature, surface rain rate;</w:t>
      </w:r>
      <w:r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and cloud-top temperature.  These data are not available, on hourly timescales,</w:t>
      </w:r>
      <w:r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as a coordinated and simultaneously measured set, from existing or planned sensors:</w:t>
      </w:r>
      <w:r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i/>
          <w:color w:val="000000"/>
        </w:rPr>
        <w:t>an active/passive wide-swath sensor system in very low-inclination orbit is needed.</w:t>
      </w:r>
    </w:p>
    <w:p w14:paraId="11AB6839" w14:textId="77777777" w:rsidR="00221255" w:rsidRPr="00221255" w:rsidRDefault="00221255" w:rsidP="00B43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540" w:right="-540"/>
        <w:rPr>
          <w:rFonts w:ascii="Arial" w:hAnsi="Arial" w:cs="Arial"/>
          <w:color w:val="000000"/>
        </w:rPr>
      </w:pPr>
    </w:p>
    <w:p w14:paraId="77CA037B" w14:textId="77777777" w:rsidR="00221255" w:rsidRPr="00221255" w:rsidRDefault="00221255" w:rsidP="00B43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540"/>
        <w:rPr>
          <w:rFonts w:ascii="Arial" w:hAnsi="Arial" w:cs="Arial"/>
          <w:color w:val="000000"/>
        </w:rPr>
      </w:pPr>
      <w:r w:rsidRPr="00221255">
        <w:rPr>
          <w:rFonts w:ascii="Arial" w:hAnsi="Arial" w:cs="Arial"/>
          <w:color w:val="000000"/>
        </w:rPr>
        <w:lastRenderedPageBreak/>
        <w:t>Beyond fundamental scientific questions regarding conditions and processes</w:t>
      </w:r>
      <w:r w:rsidR="00B968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of aggregation and convective organization, detecting important MCS evolutions</w:t>
      </w:r>
      <w:r w:rsidR="00B968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on their naturally occurring timescales will enhance forecast and analysis systems,</w:t>
      </w:r>
      <w:r w:rsidR="00B968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and add value to in-situ data and observations from existing and planned</w:t>
      </w:r>
      <w:r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polar-orbiting systems that will cross the low-inclination orbit implied</w:t>
      </w:r>
      <w:r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here up to 14 times each day.  For example, as hourly, multi-sensor satellite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observations targeting maritime tropical MCS establish an evolving background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state, aircraft missions can be designed and modified in near-real time to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detect essential fine-scale features of developing tropical storms and cyclones;</w:t>
      </w:r>
      <w:r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thereby</w:t>
      </w:r>
      <w:r w:rsidR="00251ED5">
        <w:rPr>
          <w:rFonts w:ascii="Arial" w:hAnsi="Arial" w:cs="Arial"/>
          <w:color w:val="000000"/>
        </w:rPr>
        <w:t xml:space="preserve"> improving intensity estimates </w:t>
      </w:r>
      <w:r w:rsidRPr="00221255">
        <w:rPr>
          <w:rFonts w:ascii="Arial" w:hAnsi="Arial" w:cs="Arial"/>
          <w:color w:val="000000"/>
        </w:rPr>
        <w:t>and forecasts on longer lead times.</w:t>
      </w:r>
      <w:r w:rsidR="00251ED5">
        <w:rPr>
          <w:rFonts w:ascii="Arial" w:hAnsi="Arial" w:cs="Arial"/>
          <w:color w:val="000000"/>
        </w:rPr>
        <w:t xml:space="preserve">  </w:t>
      </w:r>
      <w:r w:rsidRPr="00221255">
        <w:rPr>
          <w:rFonts w:ascii="Arial" w:hAnsi="Arial" w:cs="Arial"/>
          <w:color w:val="000000"/>
        </w:rPr>
        <w:t>On longer timescales, repeated</w:t>
      </w:r>
      <w:r w:rsidR="00B968D5">
        <w:rPr>
          <w:rFonts w:ascii="Arial" w:hAnsi="Arial" w:cs="Arial"/>
          <w:color w:val="000000"/>
        </w:rPr>
        <w:t xml:space="preserve"> detection of the evolution and </w:t>
      </w:r>
      <w:r w:rsidRPr="00221255">
        <w:rPr>
          <w:rFonts w:ascii="Arial" w:hAnsi="Arial" w:cs="Arial"/>
          <w:color w:val="000000"/>
        </w:rPr>
        <w:t>organization</w:t>
      </w:r>
      <w:r w:rsidR="00B968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of MCS processes in tropical regions will enhance forecast estimates for onset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and break periods in the monsoon systems of the global tropics.  Repeated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observations of MCS building-blocks during MJO active phases will help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diagnose elusive propagation mechanisms and interactions with ENSO regimes,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perhaps as functions of tropical Indian and western Pacific ocean basins.</w:t>
      </w:r>
    </w:p>
    <w:p w14:paraId="1BF48F68" w14:textId="77777777" w:rsidR="00221255" w:rsidRPr="00221255" w:rsidRDefault="00221255" w:rsidP="00B43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540"/>
        <w:rPr>
          <w:rFonts w:ascii="Arial" w:hAnsi="Arial" w:cs="Arial"/>
          <w:color w:val="000000"/>
        </w:rPr>
      </w:pPr>
    </w:p>
    <w:p w14:paraId="102E36DE" w14:textId="77777777" w:rsidR="00221255" w:rsidRPr="00221255" w:rsidRDefault="00221255" w:rsidP="00B43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540"/>
        <w:rPr>
          <w:rFonts w:ascii="Arial" w:hAnsi="Arial" w:cs="Arial"/>
          <w:color w:val="000000"/>
        </w:rPr>
      </w:pPr>
      <w:r w:rsidRPr="00221255">
        <w:rPr>
          <w:rFonts w:ascii="Arial" w:hAnsi="Arial" w:cs="Arial"/>
          <w:color w:val="000000"/>
        </w:rPr>
        <w:t>The intricacies of the evolution of MCS moisture processes; i.e., at the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air-sea interface, within and above the planetary boundary layer, and integrated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over the tropospheric column, will help address problematic time and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space scales in closing budgets for global, regional and local hydrologic cycles.</w:t>
      </w:r>
      <w:r w:rsidR="00251ED5">
        <w:rPr>
          <w:rFonts w:ascii="Arial" w:hAnsi="Arial" w:cs="Arial"/>
          <w:color w:val="000000"/>
        </w:rPr>
        <w:t xml:space="preserve">  </w:t>
      </w:r>
      <w:r w:rsidRPr="00221255">
        <w:rPr>
          <w:rFonts w:ascii="Arial" w:hAnsi="Arial" w:cs="Arial"/>
          <w:color w:val="000000"/>
        </w:rPr>
        <w:t>Hourly, multi-platform observations in the global maritime tropics will anchor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optimal interpolations that underlie important Level 3 and Level 4 datasets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for rain rate, total column water vapor etc.  These datasets are providing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important new insights on land-falling rain systems in mid-latitude coastal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regions (e.g., atmospheric rivers as in the "Pineapple Express" and others)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that are required to manage extended periods of drought and shifts in rainfall</w:t>
      </w:r>
      <w:r w:rsidR="00251ED5">
        <w:rPr>
          <w:rFonts w:ascii="Arial" w:hAnsi="Arial" w:cs="Arial"/>
          <w:color w:val="000000"/>
        </w:rPr>
        <w:t xml:space="preserve"> </w:t>
      </w:r>
      <w:r w:rsidRPr="00221255">
        <w:rPr>
          <w:rFonts w:ascii="Arial" w:hAnsi="Arial" w:cs="Arial"/>
          <w:color w:val="000000"/>
        </w:rPr>
        <w:t>patterns associated with a warming climate.</w:t>
      </w:r>
    </w:p>
    <w:p w14:paraId="57FB8AF5" w14:textId="77777777" w:rsidR="00221255" w:rsidRPr="00221255" w:rsidRDefault="00221255" w:rsidP="00B43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 w:right="-540"/>
        <w:rPr>
          <w:rFonts w:ascii="Arial" w:hAnsi="Arial" w:cs="Arial"/>
          <w:color w:val="000000"/>
        </w:rPr>
      </w:pPr>
    </w:p>
    <w:p w14:paraId="18349FE5" w14:textId="77777777" w:rsidR="00B43B93" w:rsidRDefault="00B43B93" w:rsidP="00B43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540"/>
        <w:rPr>
          <w:rFonts w:ascii="Arial" w:hAnsi="Arial" w:cs="Arial"/>
          <w:i/>
          <w:color w:val="000000"/>
        </w:rPr>
      </w:pPr>
    </w:p>
    <w:p w14:paraId="680ECE90" w14:textId="575CA50C" w:rsidR="00251ED5" w:rsidRDefault="00251ED5" w:rsidP="00B43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540"/>
        <w:rPr>
          <w:rFonts w:ascii="Menlo Regular" w:hAnsi="Menlo Regular" w:cs="Menlo Regular"/>
          <w:color w:val="000000"/>
        </w:rPr>
      </w:pPr>
      <w:r>
        <w:rPr>
          <w:rFonts w:ascii="Arial" w:hAnsi="Arial" w:cs="Arial"/>
          <w:i/>
          <w:color w:val="000000"/>
        </w:rPr>
        <w:tab/>
      </w:r>
    </w:p>
    <w:p w14:paraId="1B176A4B" w14:textId="77777777" w:rsidR="00251ED5" w:rsidRPr="00251ED5" w:rsidRDefault="00251ED5" w:rsidP="00B43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54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ab/>
      </w:r>
      <w:r w:rsidR="00B968D5">
        <w:rPr>
          <w:rFonts w:ascii="Arial" w:hAnsi="Arial" w:cs="Arial"/>
          <w:i/>
          <w:color w:val="000000"/>
        </w:rPr>
        <w:tab/>
      </w:r>
      <w:r w:rsidRPr="00251ED5">
        <w:rPr>
          <w:rFonts w:ascii="Arial" w:hAnsi="Arial" w:cs="Arial"/>
          <w:i/>
          <w:color w:val="000000"/>
        </w:rPr>
        <w:t>2. Why are these challenges/questions timely to address now especially</w:t>
      </w:r>
    </w:p>
    <w:p w14:paraId="6C557C03" w14:textId="77777777" w:rsidR="00221255" w:rsidRDefault="00251ED5" w:rsidP="00B43B93">
      <w:pPr>
        <w:ind w:left="-720" w:right="-540"/>
        <w:rPr>
          <w:rFonts w:ascii="Arial" w:hAnsi="Arial" w:cs="Arial"/>
          <w:i/>
          <w:color w:val="000000"/>
        </w:rPr>
      </w:pPr>
      <w:r w:rsidRPr="00251ED5">
        <w:rPr>
          <w:rFonts w:ascii="Arial" w:hAnsi="Arial" w:cs="Arial"/>
          <w:i/>
          <w:color w:val="000000"/>
        </w:rPr>
        <w:t xml:space="preserve">  </w:t>
      </w:r>
      <w:r>
        <w:rPr>
          <w:rFonts w:ascii="Arial" w:hAnsi="Arial" w:cs="Arial"/>
          <w:i/>
          <w:color w:val="000000"/>
        </w:rPr>
        <w:tab/>
      </w:r>
      <w:r>
        <w:rPr>
          <w:rFonts w:ascii="Arial" w:hAnsi="Arial" w:cs="Arial"/>
          <w:i/>
          <w:color w:val="000000"/>
        </w:rPr>
        <w:tab/>
      </w:r>
      <w:r w:rsidRPr="00251ED5">
        <w:rPr>
          <w:rFonts w:ascii="Arial" w:hAnsi="Arial" w:cs="Arial"/>
          <w:i/>
          <w:color w:val="000000"/>
        </w:rPr>
        <w:t xml:space="preserve"> </w:t>
      </w:r>
      <w:r w:rsidR="00B968D5">
        <w:rPr>
          <w:rFonts w:ascii="Arial" w:hAnsi="Arial" w:cs="Arial"/>
          <w:i/>
          <w:color w:val="000000"/>
        </w:rPr>
        <w:tab/>
      </w:r>
      <w:r w:rsidRPr="00251ED5">
        <w:rPr>
          <w:rFonts w:ascii="Arial" w:hAnsi="Arial" w:cs="Arial"/>
          <w:i/>
          <w:color w:val="000000"/>
        </w:rPr>
        <w:t>with respect to readiness?</w:t>
      </w:r>
    </w:p>
    <w:p w14:paraId="268364D8" w14:textId="77777777" w:rsidR="00B968D5" w:rsidRDefault="00B968D5" w:rsidP="00B43B93">
      <w:pPr>
        <w:ind w:right="-540"/>
        <w:rPr>
          <w:rFonts w:ascii="Arial" w:hAnsi="Arial" w:cs="Arial"/>
          <w:i/>
          <w:color w:val="000000"/>
        </w:rPr>
      </w:pPr>
    </w:p>
    <w:p w14:paraId="19C07FB9" w14:textId="77777777" w:rsidR="00B968D5" w:rsidRPr="00B968D5" w:rsidRDefault="00B968D5" w:rsidP="00B43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540"/>
        <w:rPr>
          <w:rFonts w:ascii="Arial" w:hAnsi="Arial" w:cs="Arial"/>
          <w:color w:val="000000"/>
        </w:rPr>
      </w:pPr>
      <w:r w:rsidRPr="00B968D5">
        <w:rPr>
          <w:rFonts w:ascii="Arial" w:hAnsi="Arial" w:cs="Arial"/>
          <w:color w:val="000000"/>
        </w:rPr>
        <w:t>Key science questions and feasible space-</w:t>
      </w:r>
      <w:r>
        <w:rPr>
          <w:rFonts w:ascii="Arial" w:hAnsi="Arial" w:cs="Arial"/>
          <w:color w:val="000000"/>
        </w:rPr>
        <w:t xml:space="preserve">borne observations are just now </w:t>
      </w:r>
      <w:r w:rsidRPr="00B968D5">
        <w:rPr>
          <w:rFonts w:ascii="Arial" w:hAnsi="Arial" w:cs="Arial"/>
          <w:color w:val="000000"/>
        </w:rPr>
        <w:t>converging such that technical risk is manageable and transformative dataset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collection is possible.  The relevant set of currently-feasible space-borne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observations infer tropical convective system processes on scales that are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now fine enough to capture MCS evolution; e.g., they are larger and longer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than the scale of individual convective plumes, but fine enough to detect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organized convective system behaviors.  Conversely, the resolvable scales</w:t>
      </w:r>
    </w:p>
    <w:p w14:paraId="08F09A1A" w14:textId="77777777" w:rsidR="00B968D5" w:rsidRPr="00B968D5" w:rsidRDefault="00B968D5" w:rsidP="00B43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540"/>
        <w:rPr>
          <w:rFonts w:ascii="Arial" w:hAnsi="Arial" w:cs="Arial"/>
          <w:color w:val="000000"/>
        </w:rPr>
      </w:pPr>
      <w:r w:rsidRPr="00B968D5">
        <w:rPr>
          <w:rFonts w:ascii="Arial" w:hAnsi="Arial" w:cs="Arial"/>
          <w:color w:val="000000"/>
        </w:rPr>
        <w:t>from space document processes too fin</w:t>
      </w:r>
      <w:r>
        <w:rPr>
          <w:rFonts w:ascii="Arial" w:hAnsi="Arial" w:cs="Arial"/>
          <w:color w:val="000000"/>
        </w:rPr>
        <w:t xml:space="preserve">e to be resolved in the current </w:t>
      </w:r>
      <w:r w:rsidRPr="00B968D5">
        <w:rPr>
          <w:rFonts w:ascii="Arial" w:hAnsi="Arial" w:cs="Arial"/>
          <w:color w:val="000000"/>
        </w:rPr>
        <w:t>state-of-the-art large-scale and global climate models (GCMs).  Indeed, tropical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dynamic and thermodynamic processes on the MCS scale are the objects of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critical parameterizations receiving an abundance of current research attention.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A minimal set of basin-by-basin observations, across several seasons, MJOs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and ENSO regimes, will provide essential background for enhancing those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critical parameterizations.  More realistic simulations of monsoons, MJOs and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ENSO warm events are necessary to add value to important climate forecasts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with obvious societal implications.</w:t>
      </w:r>
    </w:p>
    <w:p w14:paraId="35E6C233" w14:textId="77777777" w:rsidR="00B43B93" w:rsidRDefault="00B43B93" w:rsidP="00B43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540"/>
        <w:rPr>
          <w:rFonts w:ascii="Arial" w:hAnsi="Arial" w:cs="Arial"/>
          <w:color w:val="000000"/>
        </w:rPr>
      </w:pPr>
    </w:p>
    <w:p w14:paraId="73960F13" w14:textId="77777777" w:rsidR="00B968D5" w:rsidRPr="00B968D5" w:rsidRDefault="00B968D5" w:rsidP="00B43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540"/>
        <w:rPr>
          <w:rFonts w:ascii="Arial" w:hAnsi="Arial" w:cs="Arial"/>
          <w:color w:val="000000"/>
        </w:rPr>
      </w:pPr>
      <w:r w:rsidRPr="00B968D5">
        <w:rPr>
          <w:rFonts w:ascii="Arial" w:hAnsi="Arial" w:cs="Arial"/>
          <w:color w:val="000000"/>
        </w:rPr>
        <w:t>A minimal set of key dynamic and thermodyna</w:t>
      </w:r>
      <w:r>
        <w:rPr>
          <w:rFonts w:ascii="Arial" w:hAnsi="Arial" w:cs="Arial"/>
          <w:color w:val="000000"/>
        </w:rPr>
        <w:t xml:space="preserve">mic processes in the life-cycle </w:t>
      </w:r>
      <w:r w:rsidRPr="00B968D5">
        <w:rPr>
          <w:rFonts w:ascii="Arial" w:hAnsi="Arial" w:cs="Arial"/>
          <w:color w:val="000000"/>
        </w:rPr>
        <w:t>evolution of global maritime tropical MCS are now within reach of space-borne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observing system capabilities.  An integration and enhancement of existing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infrared and active and passive measurement systems on a single platform,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in a broad-swath and very low-inclination orbit configuration, will be an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essential technical a</w:t>
      </w:r>
      <w:r>
        <w:rPr>
          <w:rFonts w:ascii="Arial" w:hAnsi="Arial" w:cs="Arial"/>
          <w:color w:val="000000"/>
        </w:rPr>
        <w:t xml:space="preserve">chievement.  Given existing and </w:t>
      </w:r>
      <w:r w:rsidRPr="00B968D5">
        <w:rPr>
          <w:rFonts w:ascii="Arial" w:hAnsi="Arial" w:cs="Arial"/>
          <w:color w:val="000000"/>
        </w:rPr>
        <w:t>planned US and international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space-borne obs</w:t>
      </w:r>
      <w:r>
        <w:rPr>
          <w:rFonts w:ascii="Arial" w:hAnsi="Arial" w:cs="Arial"/>
          <w:color w:val="000000"/>
        </w:rPr>
        <w:t xml:space="preserve">erving systems, these technical </w:t>
      </w:r>
      <w:r w:rsidRPr="00B968D5">
        <w:rPr>
          <w:rFonts w:ascii="Arial" w:hAnsi="Arial" w:cs="Arial"/>
          <w:color w:val="000000"/>
        </w:rPr>
        <w:t xml:space="preserve">enhancements pose </w:t>
      </w:r>
      <w:r>
        <w:rPr>
          <w:rFonts w:ascii="Arial" w:hAnsi="Arial" w:cs="Arial"/>
          <w:color w:val="000000"/>
        </w:rPr>
        <w:t>surprisingly l</w:t>
      </w:r>
      <w:r w:rsidRPr="00B968D5">
        <w:rPr>
          <w:rFonts w:ascii="Arial" w:hAnsi="Arial" w:cs="Arial"/>
          <w:color w:val="000000"/>
        </w:rPr>
        <w:t>ow technical risk.</w:t>
      </w:r>
    </w:p>
    <w:p w14:paraId="5ECD4E33" w14:textId="77777777" w:rsidR="00B968D5" w:rsidRPr="00B968D5" w:rsidRDefault="00B968D5" w:rsidP="00B43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540"/>
        <w:rPr>
          <w:rFonts w:ascii="Arial" w:hAnsi="Arial" w:cs="Arial"/>
          <w:color w:val="000000"/>
        </w:rPr>
      </w:pPr>
    </w:p>
    <w:p w14:paraId="5C84FFB2" w14:textId="1C8A27EE" w:rsidR="00B968D5" w:rsidRPr="00B968D5" w:rsidRDefault="00B968D5" w:rsidP="00B43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540"/>
        <w:rPr>
          <w:rFonts w:ascii="Arial" w:hAnsi="Arial" w:cs="Arial"/>
          <w:color w:val="000000"/>
        </w:rPr>
      </w:pPr>
      <w:r w:rsidRPr="00B968D5">
        <w:rPr>
          <w:rFonts w:ascii="Arial" w:hAnsi="Arial" w:cs="Arial"/>
          <w:color w:val="000000"/>
        </w:rPr>
        <w:t>The essential component for the space-borne observing system to resolve global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maritime tropical MCS life-cycle evolution is the very low inclination orbit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necessary to resolve inherent temporal scales.  Preliminary studies suggest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that broad-swath coverage in orbits inclined from 12</w:t>
      </w:r>
      <w:r w:rsidR="00B43B93">
        <w:rPr>
          <w:rFonts w:ascii="Arial" w:hAnsi="Arial" w:cs="Arial"/>
          <w:color w:val="000000"/>
        </w:rPr>
        <w:t>°</w:t>
      </w:r>
      <w:r w:rsidRPr="00B968D5">
        <w:rPr>
          <w:rFonts w:ascii="Arial" w:hAnsi="Arial" w:cs="Arial"/>
          <w:color w:val="000000"/>
        </w:rPr>
        <w:t xml:space="preserve"> to 18</w:t>
      </w:r>
      <w:r w:rsidR="00B43B93">
        <w:rPr>
          <w:rFonts w:ascii="Arial" w:hAnsi="Arial" w:cs="Arial"/>
          <w:color w:val="000000"/>
        </w:rPr>
        <w:t>°</w:t>
      </w:r>
      <w:r w:rsidRPr="00B968D5">
        <w:rPr>
          <w:rFonts w:ascii="Arial" w:hAnsi="Arial" w:cs="Arial"/>
          <w:color w:val="000000"/>
        </w:rPr>
        <w:t xml:space="preserve"> would span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the</w:t>
      </w:r>
      <w:r w:rsidR="00B43B93">
        <w:rPr>
          <w:rFonts w:ascii="Arial" w:hAnsi="Arial" w:cs="Arial"/>
          <w:color w:val="000000"/>
        </w:rPr>
        <w:t xml:space="preserve"> global tropics (i.e., ± </w:t>
      </w:r>
      <w:r w:rsidRPr="00B968D5">
        <w:rPr>
          <w:rFonts w:ascii="Arial" w:hAnsi="Arial" w:cs="Arial"/>
          <w:color w:val="000000"/>
        </w:rPr>
        <w:t>23.5</w:t>
      </w:r>
      <w:r w:rsidR="00B43B93">
        <w:rPr>
          <w:rFonts w:ascii="Arial" w:hAnsi="Arial" w:cs="Arial"/>
          <w:color w:val="000000"/>
        </w:rPr>
        <w:t>°</w:t>
      </w:r>
      <w:r w:rsidRPr="00B968D5">
        <w:rPr>
          <w:rFonts w:ascii="Arial" w:hAnsi="Arial" w:cs="Arial"/>
          <w:color w:val="000000"/>
        </w:rPr>
        <w:t>).  Burst samples of 5 to 7 repeats,</w:t>
      </w:r>
      <w:r w:rsidR="00B43B93"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at 100 minute intervals, would precess around the globe such that tropical</w:t>
      </w:r>
      <w:r>
        <w:rPr>
          <w:rFonts w:ascii="Arial" w:hAnsi="Arial" w:cs="Arial"/>
          <w:color w:val="000000"/>
        </w:rPr>
        <w:t xml:space="preserve"> </w:t>
      </w:r>
      <w:r w:rsidR="00B43B93">
        <w:rPr>
          <w:rFonts w:ascii="Arial" w:hAnsi="Arial" w:cs="Arial"/>
          <w:color w:val="000000"/>
        </w:rPr>
        <w:t xml:space="preserve">locations experience burst </w:t>
      </w:r>
      <w:r w:rsidRPr="00B968D5">
        <w:rPr>
          <w:rFonts w:ascii="Arial" w:hAnsi="Arial" w:cs="Arial"/>
          <w:color w:val="000000"/>
        </w:rPr>
        <w:t>sampling about twice in every 24-hour period.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Several years of data at these tempo</w:t>
      </w:r>
      <w:r w:rsidR="00B43B93">
        <w:rPr>
          <w:rFonts w:ascii="Arial" w:hAnsi="Arial" w:cs="Arial"/>
          <w:color w:val="000000"/>
        </w:rPr>
        <w:t xml:space="preserve">ral </w:t>
      </w:r>
      <w:r w:rsidRPr="00B968D5">
        <w:rPr>
          <w:rFonts w:ascii="Arial" w:hAnsi="Arial" w:cs="Arial"/>
          <w:color w:val="000000"/>
        </w:rPr>
        <w:t>resolutions, and at high spatial and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radiometric resolutions, will provide basin-specific composites for MCS evolution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that can be used to add value to a variety of future observations</w:t>
      </w:r>
      <w:r w:rsidR="00B43B93"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from polar-orbiting (i.e., higher inclination) systematic observing systems,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leading to skillful parameterizations in regional and global forecast models.</w:t>
      </w:r>
    </w:p>
    <w:p w14:paraId="75522C46" w14:textId="77777777" w:rsidR="00B968D5" w:rsidRPr="00B968D5" w:rsidRDefault="00B968D5" w:rsidP="00B43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540"/>
        <w:rPr>
          <w:rFonts w:ascii="Arial" w:hAnsi="Arial" w:cs="Arial"/>
          <w:color w:val="000000"/>
        </w:rPr>
      </w:pPr>
    </w:p>
    <w:p w14:paraId="0C924A92" w14:textId="2B47002E" w:rsidR="00B968D5" w:rsidRPr="00B968D5" w:rsidRDefault="00B968D5" w:rsidP="00B43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540"/>
        <w:rPr>
          <w:rFonts w:ascii="Arial" w:hAnsi="Arial" w:cs="Arial"/>
          <w:color w:val="000000"/>
        </w:rPr>
      </w:pPr>
      <w:r w:rsidRPr="00B968D5">
        <w:rPr>
          <w:rFonts w:ascii="Arial" w:hAnsi="Arial" w:cs="Arial"/>
          <w:color w:val="000000"/>
        </w:rPr>
        <w:t>Drivers for the dataset to quantify life-cycle stages of MCS in global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tropical ocean basins derive from insights gained across a variety of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research and operational communities given data from heritage instruments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across multiple space-borne missions.  Seminal datasets for surface convergence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derive from an international line of scatterometer missions (e.g., ERS, NSCAT,</w:t>
      </w:r>
      <w:r w:rsidR="00B43B93"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QuikSCAT, ASCAT, OSCAT, etc.).  Passive microwave observations leading to SST,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total column and multi-layer moisture and temperature datasets derive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from SSM/I's, AMSR's, WindSAT, TRMM, etc.  Cloud profile and cloud-top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temperature data build insights into MCS variability and stem from missions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and programs like TRMM, CloudSat, GOES, Aura, Aqua and the MeteoSats.</w:t>
      </w:r>
      <w:r w:rsidR="00B43B93">
        <w:rPr>
          <w:rFonts w:ascii="Arial" w:hAnsi="Arial" w:cs="Arial"/>
          <w:color w:val="000000"/>
        </w:rPr>
        <w:t xml:space="preserve">  </w:t>
      </w:r>
      <w:r w:rsidRPr="00B968D5">
        <w:rPr>
          <w:rFonts w:ascii="Arial" w:hAnsi="Arial" w:cs="Arial"/>
          <w:color w:val="000000"/>
        </w:rPr>
        <w:t>Examples of field programs focused on processes involving tropical MCS include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DYNAMO and TOGA COARE.  Relevant research and operational communities span the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sub-fields of climate, air-sea interaction processes, geophysical fluid dynamics,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weather and ocean forecasting.  As impacts from a warming climate accumulate,the combined efforts of these communities will be required to address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critical societal issues regarding fresh-water resources, natural hazards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including droughts, floods and fires, and planning for and changes in</w:t>
      </w:r>
      <w:r>
        <w:rPr>
          <w:rFonts w:ascii="Arial" w:hAnsi="Arial" w:cs="Arial"/>
          <w:color w:val="000000"/>
        </w:rPr>
        <w:t xml:space="preserve"> </w:t>
      </w:r>
      <w:r w:rsidR="00B43B93">
        <w:rPr>
          <w:rFonts w:ascii="Arial" w:hAnsi="Arial" w:cs="Arial"/>
          <w:color w:val="000000"/>
        </w:rPr>
        <w:t>agricultural practice</w:t>
      </w:r>
      <w:r w:rsidRPr="00B968D5">
        <w:rPr>
          <w:rFonts w:ascii="Arial" w:hAnsi="Arial" w:cs="Arial"/>
          <w:color w:val="000000"/>
        </w:rPr>
        <w:t>s (e.g., in response to changes in monsoons, MJOs and ENSO).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The multi-parameter dataset defined here forms a basis for collaborations</w:t>
      </w:r>
      <w:r>
        <w:rPr>
          <w:rFonts w:ascii="Arial" w:hAnsi="Arial" w:cs="Arial"/>
          <w:color w:val="000000"/>
        </w:rPr>
        <w:t xml:space="preserve"> </w:t>
      </w:r>
      <w:r w:rsidRPr="00B968D5">
        <w:rPr>
          <w:rFonts w:ascii="Arial" w:hAnsi="Arial" w:cs="Arial"/>
          <w:color w:val="000000"/>
        </w:rPr>
        <w:t>in data analysis and model-building across these communities.</w:t>
      </w:r>
    </w:p>
    <w:p w14:paraId="6343826D" w14:textId="77777777" w:rsidR="00251ED5" w:rsidRPr="00B968D5" w:rsidRDefault="00251ED5" w:rsidP="00B43B93">
      <w:pPr>
        <w:ind w:left="-720" w:right="-540"/>
        <w:rPr>
          <w:rFonts w:ascii="Arial" w:hAnsi="Arial" w:cs="Arial"/>
          <w:i/>
          <w:color w:val="000000"/>
        </w:rPr>
      </w:pPr>
    </w:p>
    <w:p w14:paraId="2FEF8310" w14:textId="77777777" w:rsidR="00251ED5" w:rsidRDefault="00251ED5" w:rsidP="00B43B93">
      <w:pPr>
        <w:ind w:left="-720" w:right="-540"/>
        <w:rPr>
          <w:rFonts w:ascii="Arial" w:hAnsi="Arial" w:cs="Arial"/>
          <w:color w:val="000000"/>
        </w:rPr>
      </w:pPr>
    </w:p>
    <w:p w14:paraId="1283D322" w14:textId="77777777" w:rsidR="00AB2CDE" w:rsidRDefault="00AB2CDE" w:rsidP="00B43B93">
      <w:pPr>
        <w:ind w:left="-720" w:right="-540"/>
        <w:rPr>
          <w:rFonts w:ascii="Arial" w:hAnsi="Arial" w:cs="Arial"/>
          <w:color w:val="000000"/>
        </w:rPr>
      </w:pPr>
    </w:p>
    <w:p w14:paraId="66477C6B" w14:textId="77777777" w:rsidR="00B968D5" w:rsidRPr="00AB2CDE" w:rsidRDefault="00AB2CDE" w:rsidP="00B43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54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ab/>
      </w:r>
      <w:r>
        <w:rPr>
          <w:rFonts w:ascii="Arial" w:hAnsi="Arial" w:cs="Arial"/>
          <w:i/>
          <w:color w:val="000000"/>
        </w:rPr>
        <w:tab/>
      </w:r>
      <w:r w:rsidR="00B968D5" w:rsidRPr="00AB2CDE">
        <w:rPr>
          <w:rFonts w:ascii="Arial" w:hAnsi="Arial" w:cs="Arial"/>
          <w:i/>
          <w:color w:val="000000"/>
        </w:rPr>
        <w:t>3. Why are space-based observations fundamental to addressing these</w:t>
      </w:r>
    </w:p>
    <w:p w14:paraId="5F7CF022" w14:textId="77777777" w:rsidR="00B968D5" w:rsidRDefault="00B968D5" w:rsidP="00B43B93">
      <w:pPr>
        <w:ind w:left="-720" w:right="-540"/>
        <w:rPr>
          <w:rFonts w:ascii="Arial" w:hAnsi="Arial" w:cs="Arial"/>
          <w:i/>
          <w:color w:val="000000"/>
        </w:rPr>
      </w:pPr>
      <w:r w:rsidRPr="00AB2CDE">
        <w:rPr>
          <w:rFonts w:ascii="Arial" w:hAnsi="Arial" w:cs="Arial"/>
          <w:i/>
          <w:color w:val="000000"/>
        </w:rPr>
        <w:t xml:space="preserve">   </w:t>
      </w:r>
      <w:r w:rsidR="00AB2CDE">
        <w:rPr>
          <w:rFonts w:ascii="Arial" w:hAnsi="Arial" w:cs="Arial"/>
          <w:i/>
          <w:color w:val="000000"/>
        </w:rPr>
        <w:tab/>
      </w:r>
      <w:r w:rsidR="00AB2CDE">
        <w:rPr>
          <w:rFonts w:ascii="Arial" w:hAnsi="Arial" w:cs="Arial"/>
          <w:i/>
          <w:color w:val="000000"/>
        </w:rPr>
        <w:tab/>
        <w:t xml:space="preserve"> </w:t>
      </w:r>
      <w:r w:rsidR="00AB2CDE">
        <w:rPr>
          <w:rFonts w:ascii="Arial" w:hAnsi="Arial" w:cs="Arial"/>
          <w:i/>
          <w:color w:val="000000"/>
        </w:rPr>
        <w:tab/>
      </w:r>
      <w:r w:rsidRPr="00AB2CDE">
        <w:rPr>
          <w:rFonts w:ascii="Arial" w:hAnsi="Arial" w:cs="Arial"/>
          <w:i/>
          <w:color w:val="000000"/>
        </w:rPr>
        <w:t>challenges/questions?</w:t>
      </w:r>
    </w:p>
    <w:p w14:paraId="57152B55" w14:textId="77777777" w:rsidR="00AB2CDE" w:rsidRDefault="00AB2CDE" w:rsidP="00B43B93">
      <w:pPr>
        <w:ind w:right="-540"/>
        <w:rPr>
          <w:rFonts w:ascii="Arial" w:hAnsi="Arial" w:cs="Arial"/>
          <w:i/>
          <w:color w:val="000000"/>
        </w:rPr>
      </w:pPr>
    </w:p>
    <w:p w14:paraId="54C80902" w14:textId="086BC524" w:rsidR="00AB2CDE" w:rsidRPr="00AB2CDE" w:rsidRDefault="00AB2CDE" w:rsidP="00B43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540"/>
        <w:rPr>
          <w:rFonts w:ascii="Arial" w:hAnsi="Arial" w:cs="Arial"/>
          <w:color w:val="000000"/>
        </w:rPr>
      </w:pPr>
      <w:r w:rsidRPr="00AB2CDE">
        <w:rPr>
          <w:rFonts w:ascii="Arial" w:hAnsi="Arial" w:cs="Arial"/>
          <w:color w:val="000000"/>
        </w:rPr>
        <w:t>While convective processes in general (i.e.,</w:t>
      </w:r>
      <w:r>
        <w:rPr>
          <w:rFonts w:ascii="Arial" w:hAnsi="Arial" w:cs="Arial"/>
          <w:color w:val="000000"/>
        </w:rPr>
        <w:t xml:space="preserve"> including terrestrial systems, </w:t>
      </w:r>
      <w:r w:rsidRPr="00AB2CDE">
        <w:rPr>
          <w:rFonts w:ascii="Arial" w:hAnsi="Arial" w:cs="Arial"/>
          <w:color w:val="000000"/>
        </w:rPr>
        <w:t>mid- and high-latitude systems) are fundamental to the general circulation</w:t>
      </w:r>
      <w:r>
        <w:rPr>
          <w:rFonts w:ascii="Arial" w:hAnsi="Arial" w:cs="Arial"/>
          <w:color w:val="000000"/>
        </w:rPr>
        <w:t xml:space="preserve"> </w:t>
      </w:r>
      <w:r w:rsidRPr="00AB2CDE">
        <w:rPr>
          <w:rFonts w:ascii="Arial" w:hAnsi="Arial" w:cs="Arial"/>
          <w:color w:val="000000"/>
        </w:rPr>
        <w:t>and variabilities from mesoscale to synoptic to global scales, maritime</w:t>
      </w:r>
      <w:r>
        <w:rPr>
          <w:rFonts w:ascii="Arial" w:hAnsi="Arial" w:cs="Arial"/>
          <w:color w:val="000000"/>
        </w:rPr>
        <w:t xml:space="preserve"> </w:t>
      </w:r>
      <w:r w:rsidRPr="00AB2CDE">
        <w:rPr>
          <w:rFonts w:ascii="Arial" w:hAnsi="Arial" w:cs="Arial"/>
          <w:color w:val="000000"/>
        </w:rPr>
        <w:t>tropical MCS occur and evolve on Earth in a low-latitude belt that uniquely</w:t>
      </w:r>
      <w:r>
        <w:rPr>
          <w:rFonts w:ascii="Arial" w:hAnsi="Arial" w:cs="Arial"/>
          <w:color w:val="000000"/>
        </w:rPr>
        <w:t xml:space="preserve"> </w:t>
      </w:r>
      <w:r w:rsidRPr="00AB2CDE">
        <w:rPr>
          <w:rFonts w:ascii="Arial" w:hAnsi="Arial" w:cs="Arial"/>
          <w:color w:val="000000"/>
        </w:rPr>
        <w:t>affords frequent sampling revisits via space-borne platforms in low-Earth orbit,</w:t>
      </w:r>
      <w:r>
        <w:rPr>
          <w:rFonts w:ascii="Arial" w:hAnsi="Arial" w:cs="Arial"/>
          <w:color w:val="000000"/>
        </w:rPr>
        <w:t xml:space="preserve"> </w:t>
      </w:r>
      <w:r w:rsidRPr="00AB2CDE">
        <w:rPr>
          <w:rFonts w:ascii="Arial" w:hAnsi="Arial" w:cs="Arial"/>
          <w:color w:val="000000"/>
        </w:rPr>
        <w:t>resolving timescales that match those of essential component dynamical and</w:t>
      </w:r>
      <w:r>
        <w:rPr>
          <w:rFonts w:ascii="Arial" w:hAnsi="Arial" w:cs="Arial"/>
          <w:color w:val="000000"/>
        </w:rPr>
        <w:t xml:space="preserve"> </w:t>
      </w:r>
      <w:r w:rsidRPr="00AB2CDE">
        <w:rPr>
          <w:rFonts w:ascii="Arial" w:hAnsi="Arial" w:cs="Arial"/>
          <w:color w:val="000000"/>
        </w:rPr>
        <w:t>thermodynamical processes spanning the MCS life-cycle.  The maritime tropical</w:t>
      </w:r>
      <w:r>
        <w:rPr>
          <w:rFonts w:ascii="Arial" w:hAnsi="Arial" w:cs="Arial"/>
          <w:color w:val="000000"/>
        </w:rPr>
        <w:t xml:space="preserve"> </w:t>
      </w:r>
      <w:r w:rsidRPr="00AB2CDE">
        <w:rPr>
          <w:rFonts w:ascii="Arial" w:hAnsi="Arial" w:cs="Arial"/>
          <w:color w:val="000000"/>
        </w:rPr>
        <w:t>MCS targets are too large, and evolve and propagate too rapidly for sufficient</w:t>
      </w:r>
      <w:r>
        <w:rPr>
          <w:rFonts w:ascii="Arial" w:hAnsi="Arial" w:cs="Arial"/>
          <w:color w:val="000000"/>
        </w:rPr>
        <w:t xml:space="preserve"> </w:t>
      </w:r>
      <w:r w:rsidRPr="00AB2CDE">
        <w:rPr>
          <w:rFonts w:ascii="Arial" w:hAnsi="Arial" w:cs="Arial"/>
          <w:color w:val="000000"/>
        </w:rPr>
        <w:t>coverage by in-situ or airborne observing systems.  Cloud-penetrating microwave</w:t>
      </w:r>
      <w:r>
        <w:rPr>
          <w:rFonts w:ascii="Arial" w:hAnsi="Arial" w:cs="Arial"/>
          <w:color w:val="000000"/>
        </w:rPr>
        <w:t xml:space="preserve"> </w:t>
      </w:r>
      <w:r w:rsidRPr="00AB2CDE">
        <w:rPr>
          <w:rFonts w:ascii="Arial" w:hAnsi="Arial" w:cs="Arial"/>
          <w:color w:val="000000"/>
        </w:rPr>
        <w:t>signals, both passive and active, afford coincident detection of component</w:t>
      </w:r>
      <w:r w:rsidR="00B43B93">
        <w:rPr>
          <w:rFonts w:ascii="Arial" w:hAnsi="Arial" w:cs="Arial"/>
          <w:color w:val="000000"/>
        </w:rPr>
        <w:t xml:space="preserve"> </w:t>
      </w:r>
      <w:r w:rsidRPr="00AB2CDE">
        <w:rPr>
          <w:rFonts w:ascii="Arial" w:hAnsi="Arial" w:cs="Arial"/>
          <w:color w:val="000000"/>
        </w:rPr>
        <w:t>dynamical and thermodynamical variabl</w:t>
      </w:r>
      <w:r>
        <w:rPr>
          <w:rFonts w:ascii="Arial" w:hAnsi="Arial" w:cs="Arial"/>
          <w:color w:val="000000"/>
        </w:rPr>
        <w:t xml:space="preserve">es within evolving maritime MCS </w:t>
      </w:r>
      <w:r w:rsidRPr="00AB2CDE">
        <w:rPr>
          <w:rFonts w:ascii="Arial" w:hAnsi="Arial" w:cs="Arial"/>
          <w:color w:val="000000"/>
        </w:rPr>
        <w:t>(i.e., including SST, surface vector wind, rain rate, two layer and total</w:t>
      </w:r>
      <w:r>
        <w:rPr>
          <w:rFonts w:ascii="Arial" w:hAnsi="Arial" w:cs="Arial"/>
          <w:color w:val="000000"/>
        </w:rPr>
        <w:t xml:space="preserve"> </w:t>
      </w:r>
      <w:r w:rsidRPr="00AB2CDE">
        <w:rPr>
          <w:rFonts w:ascii="Arial" w:hAnsi="Arial" w:cs="Arial"/>
          <w:color w:val="000000"/>
        </w:rPr>
        <w:t>column atmospheric temperatures and moisture, etc.).</w:t>
      </w:r>
    </w:p>
    <w:p w14:paraId="190E674C" w14:textId="77777777" w:rsidR="00AB2CDE" w:rsidRPr="00AB2CDE" w:rsidRDefault="00AB2CDE" w:rsidP="00B43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540"/>
        <w:rPr>
          <w:rFonts w:ascii="Arial" w:hAnsi="Arial" w:cs="Arial"/>
          <w:color w:val="000000"/>
        </w:rPr>
      </w:pPr>
    </w:p>
    <w:p w14:paraId="589D92B8" w14:textId="77777777" w:rsidR="00AB2CDE" w:rsidRPr="00B43B93" w:rsidRDefault="00AB2CDE" w:rsidP="00B43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540"/>
        <w:rPr>
          <w:rFonts w:ascii="Arial" w:hAnsi="Arial" w:cs="Arial"/>
          <w:i/>
          <w:color w:val="000000"/>
        </w:rPr>
      </w:pPr>
      <w:r w:rsidRPr="00AB2CDE">
        <w:rPr>
          <w:rFonts w:ascii="Arial" w:hAnsi="Arial" w:cs="Arial"/>
          <w:color w:val="000000"/>
        </w:rPr>
        <w:t>Attempts to build and validate composite life-cycles f</w:t>
      </w:r>
      <w:r>
        <w:rPr>
          <w:rFonts w:ascii="Arial" w:hAnsi="Arial" w:cs="Arial"/>
          <w:color w:val="000000"/>
        </w:rPr>
        <w:t xml:space="preserve">or MCS, based on multi-platform </w:t>
      </w:r>
      <w:r w:rsidRPr="00AB2CDE">
        <w:rPr>
          <w:rFonts w:ascii="Arial" w:hAnsi="Arial" w:cs="Arial"/>
          <w:color w:val="000000"/>
        </w:rPr>
        <w:t>space-borne and in-situ observations, have not been sufficient to support</w:t>
      </w:r>
      <w:r>
        <w:rPr>
          <w:rFonts w:ascii="Arial" w:hAnsi="Arial" w:cs="Arial"/>
          <w:color w:val="000000"/>
        </w:rPr>
        <w:t xml:space="preserve"> </w:t>
      </w:r>
      <w:r w:rsidRPr="00AB2CDE">
        <w:rPr>
          <w:rFonts w:ascii="Arial" w:hAnsi="Arial" w:cs="Arial"/>
          <w:color w:val="000000"/>
        </w:rPr>
        <w:t>parameterizations leading to much-needed enhancements in simulations of monsoon,</w:t>
      </w:r>
      <w:r>
        <w:rPr>
          <w:rFonts w:ascii="Arial" w:hAnsi="Arial" w:cs="Arial"/>
          <w:color w:val="000000"/>
        </w:rPr>
        <w:t xml:space="preserve"> </w:t>
      </w:r>
      <w:r w:rsidRPr="00AB2CDE">
        <w:rPr>
          <w:rFonts w:ascii="Arial" w:hAnsi="Arial" w:cs="Arial"/>
          <w:color w:val="000000"/>
        </w:rPr>
        <w:t>MJO, ENSO and/or tropical storm variability in our most sophisticated models.</w:t>
      </w:r>
      <w:r>
        <w:rPr>
          <w:rFonts w:ascii="Arial" w:hAnsi="Arial" w:cs="Arial"/>
          <w:color w:val="000000"/>
        </w:rPr>
        <w:t xml:space="preserve"> </w:t>
      </w:r>
      <w:r w:rsidRPr="00AB2CDE">
        <w:rPr>
          <w:rFonts w:ascii="Arial" w:hAnsi="Arial" w:cs="Arial"/>
          <w:color w:val="000000"/>
        </w:rPr>
        <w:t>Instead, superparameterization methods embed higher resolution</w:t>
      </w:r>
      <w:r>
        <w:rPr>
          <w:rFonts w:ascii="Arial" w:hAnsi="Arial" w:cs="Arial"/>
          <w:color w:val="000000"/>
        </w:rPr>
        <w:t xml:space="preserve"> </w:t>
      </w:r>
      <w:r w:rsidRPr="00AB2CDE">
        <w:rPr>
          <w:rFonts w:ascii="Arial" w:hAnsi="Arial" w:cs="Arial"/>
          <w:color w:val="000000"/>
        </w:rPr>
        <w:t>two-dimensional (x,z) cloud-resolving model "curtains" within GCM grid intervals</w:t>
      </w:r>
      <w:r>
        <w:rPr>
          <w:rFonts w:ascii="Arial" w:hAnsi="Arial" w:cs="Arial"/>
          <w:color w:val="000000"/>
        </w:rPr>
        <w:t xml:space="preserve"> to integrate GCM-scale </w:t>
      </w:r>
      <w:r w:rsidRPr="00AB2CDE">
        <w:rPr>
          <w:rFonts w:ascii="Arial" w:hAnsi="Arial" w:cs="Arial"/>
          <w:color w:val="000000"/>
        </w:rPr>
        <w:t>thermodynamics on finer spatial and temporal scales,</w:t>
      </w:r>
      <w:r>
        <w:rPr>
          <w:rFonts w:ascii="Arial" w:hAnsi="Arial" w:cs="Arial"/>
          <w:color w:val="000000"/>
        </w:rPr>
        <w:t xml:space="preserve"> </w:t>
      </w:r>
      <w:r w:rsidRPr="00AB2CDE">
        <w:rPr>
          <w:rFonts w:ascii="Arial" w:hAnsi="Arial" w:cs="Arial"/>
          <w:color w:val="000000"/>
        </w:rPr>
        <w:t>feeding back the integrated (and balanced) variables to the GCM each timestep.</w:t>
      </w:r>
      <w:r>
        <w:rPr>
          <w:rFonts w:ascii="Arial" w:hAnsi="Arial" w:cs="Arial"/>
          <w:color w:val="000000"/>
        </w:rPr>
        <w:t xml:space="preserve"> </w:t>
      </w:r>
      <w:r w:rsidRPr="00AB2CDE">
        <w:rPr>
          <w:rFonts w:ascii="Arial" w:hAnsi="Arial" w:cs="Arial"/>
          <w:color w:val="000000"/>
        </w:rPr>
        <w:t>This suggests missing understanding possibly involving: a) basin-specific processes</w:t>
      </w:r>
      <w:r>
        <w:rPr>
          <w:rFonts w:ascii="Arial" w:hAnsi="Arial" w:cs="Arial"/>
          <w:color w:val="000000"/>
        </w:rPr>
        <w:t xml:space="preserve"> </w:t>
      </w:r>
      <w:r w:rsidRPr="00AB2CDE">
        <w:rPr>
          <w:rFonts w:ascii="Arial" w:hAnsi="Arial" w:cs="Arial"/>
          <w:color w:val="000000"/>
        </w:rPr>
        <w:t>(e.g., differences in convective organization processes in the West Pacific</w:t>
      </w:r>
      <w:r>
        <w:rPr>
          <w:rFonts w:ascii="Arial" w:hAnsi="Arial" w:cs="Arial"/>
          <w:color w:val="000000"/>
        </w:rPr>
        <w:t xml:space="preserve"> </w:t>
      </w:r>
      <w:r w:rsidRPr="00AB2CDE">
        <w:rPr>
          <w:rFonts w:ascii="Arial" w:hAnsi="Arial" w:cs="Arial"/>
          <w:color w:val="000000"/>
        </w:rPr>
        <w:t>warm pool vs. the Inter-Tropical Convergence Zone vs. the easterly wave regime</w:t>
      </w:r>
      <w:r>
        <w:rPr>
          <w:rFonts w:ascii="Arial" w:hAnsi="Arial" w:cs="Arial"/>
          <w:color w:val="000000"/>
        </w:rPr>
        <w:t xml:space="preserve"> </w:t>
      </w:r>
      <w:r w:rsidRPr="00AB2CDE">
        <w:rPr>
          <w:rFonts w:ascii="Arial" w:hAnsi="Arial" w:cs="Arial"/>
          <w:color w:val="000000"/>
        </w:rPr>
        <w:t>in the tropical Atlantic, etc.); and/or b) MCS-specific interactions with regional</w:t>
      </w:r>
      <w:r>
        <w:rPr>
          <w:rFonts w:ascii="Arial" w:hAnsi="Arial" w:cs="Arial"/>
          <w:color w:val="000000"/>
        </w:rPr>
        <w:t xml:space="preserve"> </w:t>
      </w:r>
      <w:r w:rsidRPr="00AB2CDE">
        <w:rPr>
          <w:rFonts w:ascii="Arial" w:hAnsi="Arial" w:cs="Arial"/>
          <w:color w:val="000000"/>
        </w:rPr>
        <w:t>large-scale circulations and regimes in which the MCS are embedded</w:t>
      </w:r>
      <w:r>
        <w:rPr>
          <w:rFonts w:ascii="Arial" w:hAnsi="Arial" w:cs="Arial"/>
          <w:color w:val="000000"/>
        </w:rPr>
        <w:t xml:space="preserve"> </w:t>
      </w:r>
      <w:r w:rsidRPr="00AB2CDE">
        <w:rPr>
          <w:rFonts w:ascii="Arial" w:hAnsi="Arial" w:cs="Arial"/>
          <w:color w:val="000000"/>
        </w:rPr>
        <w:t>(e.g., including weather systems, tropical SST regimes, phases of the MJO, etc.).</w:t>
      </w:r>
      <w:r>
        <w:rPr>
          <w:rFonts w:ascii="Arial" w:hAnsi="Arial" w:cs="Arial"/>
          <w:color w:val="000000"/>
        </w:rPr>
        <w:t xml:space="preserve">  </w:t>
      </w:r>
      <w:r w:rsidRPr="00B43B93">
        <w:rPr>
          <w:rFonts w:ascii="Arial" w:hAnsi="Arial" w:cs="Arial"/>
          <w:i/>
          <w:color w:val="000000"/>
        </w:rPr>
        <w:t>Wide areal, system-by-system, high temporal and spatial resolution, coincident</w:t>
      </w:r>
    </w:p>
    <w:p w14:paraId="5003C1E0" w14:textId="4B3BFCC3" w:rsidR="00AB2CDE" w:rsidRPr="00B43B93" w:rsidRDefault="00AB2CDE" w:rsidP="00B43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540"/>
        <w:rPr>
          <w:rFonts w:ascii="Arial" w:hAnsi="Arial" w:cs="Arial"/>
          <w:i/>
          <w:color w:val="000000"/>
        </w:rPr>
      </w:pPr>
      <w:r w:rsidRPr="00B43B93">
        <w:rPr>
          <w:rFonts w:ascii="Arial" w:hAnsi="Arial" w:cs="Arial"/>
          <w:i/>
          <w:color w:val="000000"/>
        </w:rPr>
        <w:t>multi-sensor observations of evolving global tr</w:t>
      </w:r>
      <w:r w:rsidRPr="00B43B93">
        <w:rPr>
          <w:rFonts w:ascii="Arial" w:hAnsi="Arial" w:cs="Arial"/>
          <w:i/>
          <w:color w:val="000000"/>
        </w:rPr>
        <w:t xml:space="preserve">opical maritime MCS will reveal </w:t>
      </w:r>
      <w:r w:rsidRPr="00B43B93">
        <w:rPr>
          <w:rFonts w:ascii="Arial" w:hAnsi="Arial" w:cs="Arial"/>
          <w:i/>
          <w:color w:val="000000"/>
        </w:rPr>
        <w:t>mechanisms and provide insights necessary to enhance understanding and facilitate</w:t>
      </w:r>
      <w:r w:rsidR="00B43B93" w:rsidRPr="00B43B93">
        <w:rPr>
          <w:rFonts w:ascii="Arial" w:hAnsi="Arial" w:cs="Arial"/>
          <w:i/>
          <w:color w:val="000000"/>
        </w:rPr>
        <w:t xml:space="preserve"> </w:t>
      </w:r>
      <w:r w:rsidRPr="00B43B93">
        <w:rPr>
          <w:rFonts w:ascii="Arial" w:hAnsi="Arial" w:cs="Arial"/>
          <w:i/>
          <w:color w:val="000000"/>
        </w:rPr>
        <w:t>forecasts and simulations of manifold processes af</w:t>
      </w:r>
      <w:r w:rsidRPr="00B43B93">
        <w:rPr>
          <w:rFonts w:ascii="Arial" w:hAnsi="Arial" w:cs="Arial"/>
          <w:i/>
          <w:color w:val="000000"/>
        </w:rPr>
        <w:t xml:space="preserve">fecting weather and climate for </w:t>
      </w:r>
      <w:r w:rsidRPr="00B43B93">
        <w:rPr>
          <w:rFonts w:ascii="Arial" w:hAnsi="Arial" w:cs="Arial"/>
          <w:i/>
          <w:color w:val="000000"/>
        </w:rPr>
        <w:t>the globe.</w:t>
      </w:r>
    </w:p>
    <w:p w14:paraId="3B31830B" w14:textId="77777777" w:rsidR="00AB2CDE" w:rsidRPr="00B43B93" w:rsidRDefault="00AB2CDE" w:rsidP="00B43B93">
      <w:pPr>
        <w:ind w:right="-540"/>
        <w:rPr>
          <w:rFonts w:ascii="Arial" w:hAnsi="Arial" w:cs="Arial"/>
          <w:i/>
          <w:color w:val="000000"/>
        </w:rPr>
      </w:pPr>
    </w:p>
    <w:p w14:paraId="757D2093" w14:textId="77777777" w:rsidR="00AB2CDE" w:rsidRPr="00AB2CDE" w:rsidRDefault="00AB2CDE" w:rsidP="00B43B93">
      <w:pPr>
        <w:ind w:left="-720" w:right="-1080"/>
        <w:rPr>
          <w:rFonts w:ascii="Arial" w:hAnsi="Arial" w:cs="Arial"/>
          <w:i/>
          <w:color w:val="000000"/>
        </w:rPr>
      </w:pPr>
      <w:bookmarkStart w:id="0" w:name="_GoBack"/>
      <w:bookmarkEnd w:id="0"/>
    </w:p>
    <w:sectPr w:rsidR="00AB2CDE" w:rsidRPr="00AB2CDE" w:rsidSect="00251ED5">
      <w:footerReference w:type="even" r:id="rId9"/>
      <w:footerReference w:type="default" r:id="rId10"/>
      <w:pgSz w:w="12240" w:h="15840"/>
      <w:pgMar w:top="1440" w:right="1440" w:bottom="144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513AF6" w14:textId="77777777" w:rsidR="0029746A" w:rsidRDefault="0029746A" w:rsidP="0029746A">
      <w:r>
        <w:separator/>
      </w:r>
    </w:p>
  </w:endnote>
  <w:endnote w:type="continuationSeparator" w:id="0">
    <w:p w14:paraId="6634E6F6" w14:textId="77777777" w:rsidR="0029746A" w:rsidRDefault="0029746A" w:rsidP="00297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160F9" w14:textId="77777777" w:rsidR="0029746A" w:rsidRDefault="0029746A" w:rsidP="008D08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C1FD69" w14:textId="77777777" w:rsidR="0029746A" w:rsidRDefault="0029746A" w:rsidP="0029746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995A" w14:textId="77777777" w:rsidR="0029746A" w:rsidRDefault="0029746A" w:rsidP="008D08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3B93">
      <w:rPr>
        <w:rStyle w:val="PageNumber"/>
        <w:noProof/>
      </w:rPr>
      <w:t>1</w:t>
    </w:r>
    <w:r>
      <w:rPr>
        <w:rStyle w:val="PageNumber"/>
      </w:rPr>
      <w:fldChar w:fldCharType="end"/>
    </w:r>
  </w:p>
  <w:p w14:paraId="6960EC35" w14:textId="77777777" w:rsidR="0029746A" w:rsidRDefault="0029746A" w:rsidP="002974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7909A" w14:textId="77777777" w:rsidR="0029746A" w:rsidRDefault="0029746A" w:rsidP="0029746A">
      <w:r>
        <w:separator/>
      </w:r>
    </w:p>
  </w:footnote>
  <w:footnote w:type="continuationSeparator" w:id="0">
    <w:p w14:paraId="62989823" w14:textId="77777777" w:rsidR="0029746A" w:rsidRDefault="0029746A" w:rsidP="00297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12F80"/>
    <w:multiLevelType w:val="hybridMultilevel"/>
    <w:tmpl w:val="1318C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D4360"/>
    <w:multiLevelType w:val="hybridMultilevel"/>
    <w:tmpl w:val="F7681810"/>
    <w:lvl w:ilvl="0" w:tplc="9114528E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60BD9"/>
    <w:multiLevelType w:val="hybridMultilevel"/>
    <w:tmpl w:val="768A19C6"/>
    <w:lvl w:ilvl="0" w:tplc="9114528E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55"/>
    <w:rsid w:val="001E0E93"/>
    <w:rsid w:val="00221255"/>
    <w:rsid w:val="00251ED5"/>
    <w:rsid w:val="0029746A"/>
    <w:rsid w:val="00311ED3"/>
    <w:rsid w:val="00A23DE5"/>
    <w:rsid w:val="00AB2CDE"/>
    <w:rsid w:val="00B43B93"/>
    <w:rsid w:val="00B968D5"/>
    <w:rsid w:val="00EF03D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804A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5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974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46A"/>
  </w:style>
  <w:style w:type="character" w:styleId="PageNumber">
    <w:name w:val="page number"/>
    <w:basedOn w:val="DefaultParagraphFont"/>
    <w:uiPriority w:val="99"/>
    <w:semiHidden/>
    <w:unhideWhenUsed/>
    <w:rsid w:val="002974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5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974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46A"/>
  </w:style>
  <w:style w:type="character" w:styleId="PageNumber">
    <w:name w:val="page number"/>
    <w:basedOn w:val="DefaultParagraphFont"/>
    <w:uiPriority w:val="99"/>
    <w:semiHidden/>
    <w:unhideWhenUsed/>
    <w:rsid w:val="00297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ABACEA-A557-4646-9682-AA28DCBF9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1790</Words>
  <Characters>10209</Characters>
  <Application>Microsoft Macintosh Word</Application>
  <DocSecurity>0</DocSecurity>
  <Lines>85</Lines>
  <Paragraphs>23</Paragraphs>
  <ScaleCrop>false</ScaleCrop>
  <Company>NWRA CoRA Division</Company>
  <LinksUpToDate>false</LinksUpToDate>
  <CharactersWithSpaces>11976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Milliff</dc:creator>
  <cp:keywords/>
  <dc:description/>
  <cp:lastModifiedBy>Ralph Milliff</cp:lastModifiedBy>
  <cp:revision>4</cp:revision>
  <cp:lastPrinted>2015-11-02T18:41:00Z</cp:lastPrinted>
  <dcterms:created xsi:type="dcterms:W3CDTF">2015-11-02T17:47:00Z</dcterms:created>
  <dcterms:modified xsi:type="dcterms:W3CDTF">2015-11-02T19:11:00Z</dcterms:modified>
</cp:coreProperties>
</file>