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D044D" w14:textId="77777777" w:rsidR="006C2A13" w:rsidRDefault="006C2A13" w:rsidP="006C2A13">
      <w:pPr>
        <w:jc w:val="center"/>
        <w:rPr>
          <w:sz w:val="28"/>
          <w:szCs w:val="28"/>
        </w:rPr>
      </w:pPr>
      <w:r w:rsidRPr="006C2A13">
        <w:rPr>
          <w:b/>
          <w:bCs/>
          <w:sz w:val="32"/>
          <w:szCs w:val="32"/>
        </w:rPr>
        <w:t>INDIAN PERSONAL FINANCE AND SPENDING HABITS – SUMMARY</w:t>
      </w:r>
      <w:r w:rsidRPr="006C2A13">
        <w:br/>
      </w:r>
    </w:p>
    <w:p w14:paraId="09E1CC8E" w14:textId="53E591F3" w:rsidR="006C2A13" w:rsidRPr="006C2A13" w:rsidRDefault="006C2A13" w:rsidP="006C2A13">
      <w:pPr>
        <w:rPr>
          <w:sz w:val="32"/>
          <w:szCs w:val="32"/>
        </w:rPr>
      </w:pPr>
      <w:r w:rsidRPr="006C2A13">
        <w:rPr>
          <w:sz w:val="28"/>
          <w:szCs w:val="28"/>
        </w:rPr>
        <w:t>Overview:</w:t>
      </w:r>
      <w:r w:rsidRPr="006C2A13">
        <w:rPr>
          <w:sz w:val="28"/>
          <w:szCs w:val="28"/>
        </w:rPr>
        <w:br/>
        <w:t>The dashboard analyzes how Indians manage income, expenses, and savings across age groups, occupations, and city tiers to uncover financial behavior patterns and savings efficiency.</w:t>
      </w:r>
      <w:r w:rsidRPr="006C2A13">
        <w:rPr>
          <w:sz w:val="28"/>
          <w:szCs w:val="28"/>
        </w:rPr>
        <w:br/>
      </w:r>
      <w:r w:rsidRPr="006C2A13">
        <w:rPr>
          <w:sz w:val="28"/>
          <w:szCs w:val="28"/>
        </w:rPr>
        <w:br/>
        <w:t>Key Insights:</w:t>
      </w:r>
      <w:r w:rsidRPr="006C2A13">
        <w:rPr>
          <w:sz w:val="28"/>
          <w:szCs w:val="28"/>
        </w:rPr>
        <w:br/>
        <w:t>• Total Income: ₹245.32M – Reflects the overall earning capacity.</w:t>
      </w:r>
      <w:r w:rsidRPr="006C2A13">
        <w:rPr>
          <w:sz w:val="28"/>
          <w:szCs w:val="28"/>
        </w:rPr>
        <w:br/>
        <w:t>• Total Expenses: 5,961 transactions – Indicates significant spending activity.</w:t>
      </w:r>
      <w:r w:rsidRPr="006C2A13">
        <w:rPr>
          <w:sz w:val="28"/>
          <w:szCs w:val="28"/>
        </w:rPr>
        <w:br/>
        <w:t>• Desired Savings: ₹29.35M – Shows a gap between income and actual savings.</w:t>
      </w:r>
      <w:r w:rsidRPr="006C2A13">
        <w:rPr>
          <w:sz w:val="28"/>
          <w:szCs w:val="28"/>
        </w:rPr>
        <w:br/>
      </w:r>
      <w:r w:rsidRPr="006C2A13">
        <w:rPr>
          <w:sz w:val="28"/>
          <w:szCs w:val="28"/>
        </w:rPr>
        <w:br/>
        <w:t>Demographic Insights:</w:t>
      </w:r>
      <w:r w:rsidRPr="006C2A13">
        <w:rPr>
          <w:sz w:val="28"/>
          <w:szCs w:val="28"/>
        </w:rPr>
        <w:br/>
        <w:t>• Age Group: 36–50 and 51+ have the highest income and expenses.</w:t>
      </w:r>
      <w:r w:rsidRPr="006C2A13">
        <w:rPr>
          <w:sz w:val="28"/>
          <w:szCs w:val="28"/>
        </w:rPr>
        <w:br/>
        <w:t>• Expense Distribution: Major spend areas – Groceries (15.91%), Rent (10.02%), Utilities (9.1%).</w:t>
      </w:r>
      <w:r w:rsidRPr="006C2A13">
        <w:rPr>
          <w:sz w:val="28"/>
          <w:szCs w:val="28"/>
        </w:rPr>
        <w:br/>
        <w:t>• City Tier: Tier 2 cities lead in both income and spending.</w:t>
      </w:r>
      <w:r w:rsidRPr="006C2A13">
        <w:rPr>
          <w:sz w:val="28"/>
          <w:szCs w:val="28"/>
        </w:rPr>
        <w:br/>
        <w:t>• Occupation: Professionals earn and spend most; self-employed maintain balance.</w:t>
      </w:r>
      <w:r w:rsidRPr="006C2A13">
        <w:rPr>
          <w:sz w:val="28"/>
          <w:szCs w:val="28"/>
        </w:rPr>
        <w:br/>
      </w:r>
      <w:r w:rsidRPr="006C2A13">
        <w:rPr>
          <w:sz w:val="28"/>
          <w:szCs w:val="28"/>
        </w:rPr>
        <w:br/>
        <w:t>Financial Behavior Summary:</w:t>
      </w:r>
      <w:r w:rsidRPr="006C2A13">
        <w:rPr>
          <w:sz w:val="28"/>
          <w:szCs w:val="28"/>
        </w:rPr>
        <w:br/>
        <w:t>Spending peaks among middle-aged and Tier 2 residents. Savings are underutilized relative to income. Education-related savings are strongest among older groups.</w:t>
      </w:r>
      <w:r w:rsidRPr="006C2A13">
        <w:rPr>
          <w:sz w:val="28"/>
          <w:szCs w:val="28"/>
        </w:rPr>
        <w:br/>
      </w:r>
      <w:r w:rsidRPr="006C2A13">
        <w:rPr>
          <w:sz w:val="28"/>
          <w:szCs w:val="28"/>
        </w:rPr>
        <w:br/>
        <w:t>Conclusion:</w:t>
      </w:r>
      <w:r w:rsidRPr="006C2A13">
        <w:rPr>
          <w:sz w:val="28"/>
          <w:szCs w:val="28"/>
        </w:rPr>
        <w:br/>
        <w:t>Income growth and expenses vary widely by demographic and city tier. Focus on expense optimization and goal-based savings strategies can improve financial well-being.</w:t>
      </w:r>
      <w:r w:rsidRPr="006C2A13">
        <w:rPr>
          <w:sz w:val="28"/>
          <w:szCs w:val="28"/>
        </w:rPr>
        <w:br/>
      </w:r>
    </w:p>
    <w:p w14:paraId="6241F314" w14:textId="3D1F8FB3" w:rsidR="00192CAC" w:rsidRDefault="00192CAC"/>
    <w:sectPr w:rsidR="00192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A13"/>
    <w:rsid w:val="000858EF"/>
    <w:rsid w:val="00192CAC"/>
    <w:rsid w:val="00276A09"/>
    <w:rsid w:val="004B36A4"/>
    <w:rsid w:val="006C2A13"/>
    <w:rsid w:val="007248F5"/>
    <w:rsid w:val="00985FC1"/>
    <w:rsid w:val="00C14E2B"/>
    <w:rsid w:val="00C9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EBFB0"/>
  <w15:chartTrackingRefBased/>
  <w15:docId w15:val="{A8C62204-90FE-44EF-B371-E9F3BA80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suman</dc:creator>
  <cp:keywords/>
  <dc:description/>
  <cp:lastModifiedBy>SK suman</cp:lastModifiedBy>
  <cp:revision>2</cp:revision>
  <dcterms:created xsi:type="dcterms:W3CDTF">2025-11-04T03:48:00Z</dcterms:created>
  <dcterms:modified xsi:type="dcterms:W3CDTF">2025-11-04T03:48:00Z</dcterms:modified>
</cp:coreProperties>
</file>