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 w:val="0"/>
        <w:spacing w:after="0" w:line="240" w:lineRule="auto"/>
        <w:ind w:right="-7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Lab Practical #01:  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jc w:val="both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Study of basic</w:t>
      </w:r>
      <w:r>
        <w:rPr>
          <w:sz w:val="24"/>
          <w:szCs w:val="24"/>
        </w:rPr>
        <w:t xml:space="preserve"> LINUX commands</w:t>
      </w:r>
      <w:r>
        <w:rPr>
          <w:rFonts w:eastAsia="Calibri"/>
          <w:color w:val="000000"/>
          <w:sz w:val="24"/>
          <w:szCs w:val="24"/>
        </w:rPr>
        <w:t>.</w:t>
      </w:r>
    </w:p>
    <w:p>
      <w:pPr>
        <w:widowControl w:val="0"/>
        <w:spacing w:before="120" w:after="0" w:line="240" w:lineRule="auto"/>
        <w:ind w:right="-7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Practical Assignment #01:</w:t>
      </w:r>
    </w:p>
    <w:p>
      <w:pPr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Perform and explain various </w:t>
      </w:r>
      <w:r>
        <w:rPr>
          <w:sz w:val="24"/>
          <w:szCs w:val="24"/>
        </w:rPr>
        <w:t xml:space="preserve">Linux </w:t>
      </w:r>
      <w:r>
        <w:rPr>
          <w:rFonts w:eastAsia="Calibri"/>
          <w:color w:val="000000"/>
          <w:sz w:val="24"/>
          <w:szCs w:val="24"/>
        </w:rPr>
        <w:t>commands listed below:</w:t>
      </w:r>
    </w:p>
    <w:p>
      <w:pPr>
        <w:numPr>
          <w:ilvl w:val="1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rPr>
          <w:rFonts w:eastAsia="Calibri"/>
          <w:b/>
          <w:bCs/>
          <w:color w:val="000000"/>
          <w:sz w:val="24"/>
          <w:szCs w:val="24"/>
        </w:rPr>
      </w:pPr>
      <w:r>
        <w:rPr>
          <w:rFonts w:eastAsia="Calibri"/>
          <w:b/>
          <w:bCs/>
          <w:color w:val="000000"/>
          <w:sz w:val="24"/>
          <w:szCs w:val="24"/>
        </w:rPr>
        <w:t>WHOAMI</w:t>
      </w:r>
    </w:p>
    <w:p>
      <w:pPr>
        <w:numPr>
          <w:ilvl w:val="1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rPr>
          <w:rFonts w:eastAsia="Calibri"/>
          <w:b/>
          <w:bCs/>
          <w:color w:val="000000"/>
          <w:sz w:val="24"/>
          <w:szCs w:val="24"/>
        </w:rPr>
      </w:pPr>
      <w:r>
        <w:rPr>
          <w:rFonts w:eastAsia="Calibri"/>
          <w:b/>
          <w:bCs/>
          <w:color w:val="000000"/>
          <w:sz w:val="24"/>
          <w:szCs w:val="24"/>
        </w:rPr>
        <w:t>LS</w:t>
      </w:r>
    </w:p>
    <w:p>
      <w:pPr>
        <w:numPr>
          <w:ilvl w:val="1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rPr>
          <w:rFonts w:eastAsia="Calibri"/>
          <w:b/>
          <w:bCs/>
          <w:color w:val="000000"/>
          <w:sz w:val="24"/>
          <w:szCs w:val="24"/>
        </w:rPr>
      </w:pPr>
      <w:r>
        <w:rPr>
          <w:rFonts w:eastAsia="Calibri"/>
          <w:b/>
          <w:bCs/>
          <w:color w:val="000000"/>
          <w:sz w:val="24"/>
          <w:szCs w:val="24"/>
        </w:rPr>
        <w:t>MAN</w:t>
      </w:r>
    </w:p>
    <w:p>
      <w:pPr>
        <w:numPr>
          <w:ilvl w:val="1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rPr>
          <w:rFonts w:eastAsia="Calibri"/>
          <w:b/>
          <w:bCs/>
          <w:color w:val="000000"/>
          <w:sz w:val="24"/>
          <w:szCs w:val="24"/>
        </w:rPr>
      </w:pPr>
      <w:r>
        <w:rPr>
          <w:rFonts w:eastAsia="Calibri"/>
          <w:b/>
          <w:bCs/>
          <w:color w:val="000000"/>
          <w:sz w:val="24"/>
          <w:szCs w:val="24"/>
        </w:rPr>
        <w:t>CLEAR</w:t>
      </w:r>
    </w:p>
    <w:p>
      <w:pPr>
        <w:numPr>
          <w:ilvl w:val="1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rPr>
          <w:rFonts w:eastAsia="Calibri"/>
          <w:b/>
          <w:bCs/>
          <w:color w:val="000000"/>
          <w:sz w:val="24"/>
          <w:szCs w:val="24"/>
        </w:rPr>
      </w:pPr>
      <w:r>
        <w:rPr>
          <w:rFonts w:eastAsia="Calibri"/>
          <w:b/>
          <w:bCs/>
          <w:color w:val="000000"/>
          <w:sz w:val="24"/>
          <w:szCs w:val="24"/>
        </w:rPr>
        <w:t>PWD</w:t>
      </w:r>
    </w:p>
    <w:p>
      <w:pPr>
        <w:numPr>
          <w:ilvl w:val="1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rPr>
          <w:rFonts w:eastAsia="Calibri"/>
          <w:b/>
          <w:bCs/>
          <w:color w:val="000000"/>
          <w:sz w:val="24"/>
          <w:szCs w:val="24"/>
        </w:rPr>
      </w:pPr>
      <w:r>
        <w:rPr>
          <w:rFonts w:eastAsia="Calibri"/>
          <w:b/>
          <w:bCs/>
          <w:color w:val="000000"/>
          <w:sz w:val="24"/>
          <w:szCs w:val="24"/>
        </w:rPr>
        <w:t>CD</w:t>
      </w:r>
    </w:p>
    <w:p>
      <w:pPr>
        <w:numPr>
          <w:ilvl w:val="1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rPr>
          <w:rFonts w:eastAsia="Calibri"/>
          <w:b/>
          <w:bCs/>
          <w:color w:val="000000"/>
          <w:sz w:val="24"/>
          <w:szCs w:val="24"/>
        </w:rPr>
      </w:pPr>
      <w:r>
        <w:rPr>
          <w:rFonts w:eastAsia="Calibri"/>
          <w:b/>
          <w:bCs/>
          <w:color w:val="000000"/>
          <w:sz w:val="24"/>
          <w:szCs w:val="24"/>
        </w:rPr>
        <w:t>MKDIR</w:t>
      </w:r>
    </w:p>
    <w:p>
      <w:pPr>
        <w:numPr>
          <w:ilvl w:val="1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rPr>
          <w:rFonts w:eastAsia="Calibri"/>
          <w:b/>
          <w:bCs/>
          <w:color w:val="000000"/>
          <w:sz w:val="24"/>
          <w:szCs w:val="24"/>
        </w:rPr>
      </w:pPr>
      <w:r>
        <w:rPr>
          <w:rFonts w:eastAsia="Calibri"/>
          <w:b/>
          <w:bCs/>
          <w:color w:val="000000"/>
          <w:sz w:val="24"/>
          <w:szCs w:val="24"/>
        </w:rPr>
        <w:t>TOUCH</w:t>
      </w:r>
    </w:p>
    <w:p>
      <w:pPr>
        <w:numPr>
          <w:ilvl w:val="1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rPr>
          <w:rFonts w:eastAsia="Calibri"/>
          <w:b/>
          <w:bCs/>
          <w:color w:val="000000"/>
          <w:sz w:val="24"/>
          <w:szCs w:val="24"/>
        </w:rPr>
      </w:pPr>
      <w:r>
        <w:rPr>
          <w:rFonts w:eastAsia="Calibri"/>
          <w:b/>
          <w:bCs/>
          <w:color w:val="000000"/>
          <w:sz w:val="24"/>
          <w:szCs w:val="24"/>
        </w:rPr>
        <w:t>RMDIR</w:t>
      </w:r>
    </w:p>
    <w:p>
      <w:pPr>
        <w:numPr>
          <w:ilvl w:val="1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rPr>
          <w:rFonts w:eastAsia="Calibri"/>
          <w:b/>
          <w:bCs/>
          <w:color w:val="000000"/>
          <w:sz w:val="24"/>
          <w:szCs w:val="24"/>
        </w:rPr>
      </w:pPr>
      <w:r>
        <w:rPr>
          <w:rFonts w:eastAsia="Calibri"/>
          <w:b/>
          <w:bCs/>
          <w:color w:val="000000"/>
          <w:sz w:val="24"/>
          <w:szCs w:val="24"/>
        </w:rPr>
        <w:t>RM</w:t>
      </w:r>
    </w:p>
    <w:p>
      <w:pPr>
        <w:numPr>
          <w:ilvl w:val="1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rPr>
          <w:rFonts w:eastAsia="Calibri"/>
          <w:b/>
          <w:bCs/>
          <w:color w:val="000000"/>
          <w:sz w:val="24"/>
          <w:szCs w:val="24"/>
        </w:rPr>
      </w:pPr>
      <w:r>
        <w:rPr>
          <w:rFonts w:eastAsia="Calibri"/>
          <w:b/>
          <w:bCs/>
          <w:color w:val="000000"/>
          <w:sz w:val="24"/>
          <w:szCs w:val="24"/>
        </w:rPr>
        <w:t>MV</w:t>
      </w:r>
    </w:p>
    <w:p>
      <w:pPr>
        <w:numPr>
          <w:ilvl w:val="1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rPr>
          <w:rFonts w:eastAsia="Calibri"/>
          <w:b/>
          <w:bCs/>
          <w:color w:val="000000"/>
          <w:sz w:val="24"/>
          <w:szCs w:val="24"/>
        </w:rPr>
      </w:pPr>
      <w:r>
        <w:rPr>
          <w:rFonts w:eastAsia="Calibri"/>
          <w:b/>
          <w:bCs/>
          <w:color w:val="000000"/>
          <w:sz w:val="24"/>
          <w:szCs w:val="24"/>
        </w:rPr>
        <w:t>CP</w:t>
      </w:r>
    </w:p>
    <w:p>
      <w:pPr>
        <w:numPr>
          <w:ilvl w:val="1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rPr>
          <w:rFonts w:eastAsia="Calibri"/>
          <w:b/>
          <w:bCs/>
          <w:color w:val="000000"/>
          <w:sz w:val="24"/>
          <w:szCs w:val="24"/>
        </w:rPr>
      </w:pPr>
      <w:r>
        <w:rPr>
          <w:rFonts w:eastAsia="Calibri"/>
          <w:b/>
          <w:bCs/>
          <w:color w:val="000000"/>
          <w:sz w:val="24"/>
          <w:szCs w:val="24"/>
        </w:rPr>
        <w:t>HEAD</w:t>
      </w:r>
    </w:p>
    <w:p>
      <w:pPr>
        <w:numPr>
          <w:ilvl w:val="1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rPr>
          <w:rFonts w:eastAsia="Calibri"/>
          <w:b/>
          <w:bCs/>
          <w:color w:val="000000"/>
          <w:sz w:val="24"/>
          <w:szCs w:val="24"/>
        </w:rPr>
      </w:pPr>
      <w:r>
        <w:rPr>
          <w:rFonts w:eastAsia="Calibri"/>
          <w:b/>
          <w:bCs/>
          <w:color w:val="000000"/>
          <w:sz w:val="24"/>
          <w:szCs w:val="24"/>
        </w:rPr>
        <w:t>TAIL</w:t>
      </w:r>
    </w:p>
    <w:p>
      <w:pPr>
        <w:numPr>
          <w:ilvl w:val="1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rPr>
          <w:rFonts w:eastAsia="Calibri"/>
          <w:b/>
          <w:bCs/>
          <w:color w:val="000000"/>
          <w:sz w:val="24"/>
          <w:szCs w:val="24"/>
        </w:rPr>
      </w:pPr>
      <w:r>
        <w:rPr>
          <w:rFonts w:eastAsia="Calibri"/>
          <w:b/>
          <w:bCs/>
          <w:color w:val="000000"/>
          <w:sz w:val="24"/>
          <w:szCs w:val="24"/>
        </w:rPr>
        <w:t>UNIQ</w:t>
      </w:r>
    </w:p>
    <w:p>
      <w:pPr>
        <w:numPr>
          <w:ilvl w:val="1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rPr>
          <w:rFonts w:eastAsia="Calibri"/>
          <w:b/>
          <w:bCs/>
          <w:color w:val="000000"/>
          <w:sz w:val="24"/>
          <w:szCs w:val="24"/>
        </w:rPr>
      </w:pPr>
      <w:r>
        <w:rPr>
          <w:rFonts w:eastAsia="Calibri"/>
          <w:b/>
          <w:bCs/>
          <w:color w:val="000000"/>
          <w:sz w:val="24"/>
          <w:szCs w:val="24"/>
        </w:rPr>
        <w:t>FIND</w:t>
      </w:r>
    </w:p>
    <w:p>
      <w:pPr>
        <w:numPr>
          <w:ilvl w:val="1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rPr>
          <w:rFonts w:eastAsia="Calibri"/>
          <w:b/>
          <w:bCs/>
          <w:color w:val="000000"/>
          <w:sz w:val="24"/>
          <w:szCs w:val="24"/>
        </w:rPr>
      </w:pPr>
      <w:r>
        <w:rPr>
          <w:rFonts w:eastAsia="Calibri"/>
          <w:b/>
          <w:bCs/>
          <w:color w:val="000000"/>
          <w:sz w:val="24"/>
          <w:szCs w:val="24"/>
        </w:rPr>
        <w:t>GREP</w:t>
      </w:r>
    </w:p>
    <w:p>
      <w:pPr>
        <w:numPr>
          <w:ilvl w:val="1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rPr>
          <w:rFonts w:eastAsia="Calibri"/>
          <w:b/>
          <w:bCs/>
          <w:color w:val="000000"/>
          <w:sz w:val="24"/>
          <w:szCs w:val="24"/>
        </w:rPr>
      </w:pPr>
      <w:r>
        <w:rPr>
          <w:rFonts w:eastAsia="Calibri"/>
          <w:b/>
          <w:bCs/>
          <w:color w:val="000000"/>
          <w:sz w:val="24"/>
          <w:szCs w:val="24"/>
        </w:rPr>
        <w:t>NANO</w:t>
      </w:r>
    </w:p>
    <w:p>
      <w:pPr>
        <w:numPr>
          <w:ilvl w:val="1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rPr>
          <w:rFonts w:eastAsia="Calibri"/>
          <w:b/>
          <w:bCs/>
          <w:color w:val="000000"/>
          <w:sz w:val="24"/>
          <w:szCs w:val="24"/>
        </w:rPr>
      </w:pPr>
      <w:r>
        <w:rPr>
          <w:rFonts w:eastAsia="Calibri"/>
          <w:b/>
          <w:bCs/>
          <w:color w:val="000000"/>
          <w:sz w:val="24"/>
          <w:szCs w:val="24"/>
        </w:rPr>
        <w:t>SU</w:t>
      </w:r>
    </w:p>
    <w:p>
      <w:pPr>
        <w:suppressAutoHyphens w:val="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br w:type="page"/>
      </w:r>
      <w:bookmarkStart w:id="0" w:name="_GoBack"/>
      <w:bookmarkEnd w:id="0"/>
    </w:p>
    <w:p>
      <w:pPr>
        <w:pStyle w:val="3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WHOAMI</w:t>
      </w:r>
    </w:p>
    <w:p>
      <w:pPr>
        <w:pStyle w:val="4"/>
        <w:spacing w:before="0"/>
      </w:pPr>
      <w:r>
        <w:t>Description:</w:t>
      </w:r>
      <w:r>
        <w:br w:type="textWrapping"/>
      </w:r>
      <w:r>
        <w:rPr>
          <w:rFonts w:asciiTheme="minorHAnsi" w:hAnsiTheme="minorHAnsi" w:cstheme="minorHAnsi"/>
          <w:b w:val="0"/>
          <w:bCs w:val="0"/>
          <w:color w:val="0D0D0D"/>
          <w:shd w:val="clear" w:color="auto" w:fill="FFFFFF"/>
        </w:rPr>
        <w:t xml:space="preserve">The </w:t>
      </w:r>
      <w:r>
        <w:rPr>
          <w:rFonts w:asciiTheme="minorHAnsi" w:hAnsiTheme="minorHAnsi" w:cstheme="minorHAnsi"/>
          <w:color w:val="0D0D0D"/>
          <w:shd w:val="clear" w:color="auto" w:fill="FFFFFF"/>
        </w:rPr>
        <w:t>whoami</w:t>
      </w:r>
      <w:r>
        <w:rPr>
          <w:rFonts w:asciiTheme="minorHAnsi" w:hAnsiTheme="minorHAnsi" w:cstheme="minorHAnsi"/>
          <w:b w:val="0"/>
          <w:bCs w:val="0"/>
          <w:color w:val="0D0D0D"/>
          <w:shd w:val="clear" w:color="auto" w:fill="FFFFFF"/>
        </w:rPr>
        <w:t xml:space="preserve"> command is used to display the username associated with the current effective user ID. It is often used in shell scripts or command-line environments to determine the current user's identity.</w:t>
      </w:r>
    </w:p>
    <w:tbl>
      <w:tblPr>
        <w:tblStyle w:val="53"/>
        <w:tblW w:w="9890" w:type="dxa"/>
        <w:tblInd w:w="-5" w:type="dxa"/>
        <w:tblBorders>
          <w:top w:val="single" w:color="999999" w:sz="4" w:space="0"/>
          <w:left w:val="single" w:color="999999" w:sz="4" w:space="0"/>
          <w:bottom w:val="single" w:color="999999" w:sz="4" w:space="0"/>
          <w:right w:val="single" w:color="999999" w:sz="4" w:space="0"/>
          <w:insideH w:val="single" w:color="999999" w:sz="4" w:space="0"/>
          <w:insideV w:val="single" w:color="9999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10"/>
        <w:gridCol w:w="4476"/>
        <w:gridCol w:w="4704"/>
      </w:tblGrid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710" w:type="dxa"/>
            <w:tcBorders>
              <w:bottom w:val="single" w:color="666666" w:sz="12" w:space="0"/>
              <w:insideH w:val="single" w:sz="12" w:space="0"/>
            </w:tcBorders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4476" w:type="dxa"/>
            <w:tcBorders>
              <w:bottom w:val="single" w:color="666666" w:sz="12" w:space="0"/>
              <w:insideH w:val="single" w:sz="12" w:space="0"/>
            </w:tcBorders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Option</w:t>
            </w:r>
          </w:p>
        </w:tc>
        <w:tc>
          <w:tcPr>
            <w:tcW w:w="4704" w:type="dxa"/>
            <w:tcBorders>
              <w:bottom w:val="single" w:color="666666" w:sz="12" w:space="0"/>
              <w:insideH w:val="single" w:sz="12" w:space="0"/>
            </w:tcBorders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710" w:type="dxa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4476" w:type="dxa"/>
          </w:tcPr>
          <w:p>
            <w:pPr>
              <w:spacing w:after="0" w:line="240" w:lineRule="auto"/>
            </w:pPr>
            <w:r>
              <w:t>--help</w:t>
            </w:r>
          </w:p>
        </w:tc>
        <w:tc>
          <w:tcPr>
            <w:tcW w:w="4704" w:type="dxa"/>
          </w:tcPr>
          <w:p>
            <w:pPr>
              <w:spacing w:after="0" w:line="240" w:lineRule="auto"/>
            </w:pPr>
            <w:r>
              <w:t>It gives the help message.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710" w:type="dxa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4476" w:type="dxa"/>
          </w:tcPr>
          <w:p>
            <w:pPr>
              <w:spacing w:after="0" w:line="240" w:lineRule="auto"/>
            </w:pPr>
            <w:r>
              <w:t>--version</w:t>
            </w:r>
          </w:p>
        </w:tc>
        <w:tc>
          <w:tcPr>
            <w:tcW w:w="4704" w:type="dxa"/>
          </w:tcPr>
          <w:p>
            <w:pPr>
              <w:spacing w:after="0" w:line="240" w:lineRule="auto"/>
            </w:pPr>
            <w:r>
              <w:t>It gives the version information.</w:t>
            </w:r>
          </w:p>
        </w:tc>
      </w:tr>
    </w:tbl>
    <w:p>
      <w:pPr>
        <w:pStyle w:val="4"/>
        <w:spacing w:before="120"/>
      </w:pPr>
      <w:r>
        <w:t>Implementation:</w:t>
      </w:r>
    </w:p>
    <w:p>
      <w:r>
        <w:drawing>
          <wp:inline distT="0" distB="0" distL="0" distR="0">
            <wp:extent cx="6286500" cy="2827020"/>
            <wp:effectExtent l="0" t="0" r="0" b="0"/>
            <wp:docPr id="6984045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404581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uppressAutoHyphens w:val="0"/>
      </w:pPr>
      <w:r>
        <w:br w:type="page"/>
      </w:r>
    </w:p>
    <w:p>
      <w:pPr>
        <w:pStyle w:val="3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LS</w:t>
      </w:r>
    </w:p>
    <w:p>
      <w:pPr>
        <w:pStyle w:val="4"/>
        <w:spacing w:before="0"/>
      </w:pPr>
      <w:r>
        <w:t>Description:</w:t>
      </w:r>
    </w:p>
    <w:p>
      <w:r>
        <w:t xml:space="preserve">The </w:t>
      </w:r>
      <w:r>
        <w:rPr>
          <w:b/>
          <w:bCs/>
        </w:rPr>
        <w:t>ls</w:t>
      </w:r>
      <w:r>
        <w:t xml:space="preserve"> command is used to list directory contents. It has various flags (options) that modify its behavior. </w:t>
      </w:r>
    </w:p>
    <w:tbl>
      <w:tblPr>
        <w:tblStyle w:val="54"/>
        <w:tblW w:w="9890" w:type="dxa"/>
        <w:tblInd w:w="-5" w:type="dxa"/>
        <w:tblBorders>
          <w:top w:val="single" w:color="999999" w:sz="4" w:space="0"/>
          <w:left w:val="single" w:color="999999" w:sz="4" w:space="0"/>
          <w:bottom w:val="single" w:color="999999" w:sz="4" w:space="0"/>
          <w:right w:val="single" w:color="999999" w:sz="4" w:space="0"/>
          <w:insideH w:val="single" w:color="999999" w:sz="4" w:space="0"/>
          <w:insideV w:val="single" w:color="9999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10"/>
        <w:gridCol w:w="4476"/>
        <w:gridCol w:w="4704"/>
      </w:tblGrid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710" w:type="dxa"/>
            <w:tcBorders>
              <w:bottom w:val="single" w:color="666666" w:sz="12" w:space="0"/>
              <w:insideH w:val="single" w:sz="12" w:space="0"/>
            </w:tcBorders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4476" w:type="dxa"/>
            <w:tcBorders>
              <w:bottom w:val="single" w:color="666666" w:sz="12" w:space="0"/>
              <w:insideH w:val="single" w:sz="12" w:space="0"/>
            </w:tcBorders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Option</w:t>
            </w:r>
          </w:p>
        </w:tc>
        <w:tc>
          <w:tcPr>
            <w:tcW w:w="4704" w:type="dxa"/>
            <w:tcBorders>
              <w:bottom w:val="single" w:color="666666" w:sz="12" w:space="0"/>
              <w:insideH w:val="single" w:sz="12" w:space="0"/>
            </w:tcBorders>
            <w:vAlign w:val="center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710" w:type="dxa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4476" w:type="dxa"/>
          </w:tcPr>
          <w:p>
            <w:pPr>
              <w:spacing w:after="0" w:line="240" w:lineRule="auto"/>
            </w:pPr>
            <w:r>
              <w:t>-l</w:t>
            </w:r>
          </w:p>
        </w:tc>
        <w:tc>
          <w:tcPr>
            <w:tcW w:w="4704" w:type="dxa"/>
          </w:tcPr>
          <w:p>
            <w:pPr>
              <w:spacing w:after="0" w:line="240" w:lineRule="auto"/>
            </w:pPr>
            <w:r>
              <w:t>Displays detailed information about files and directories, including permissions, number of links, owner, group, file size, and modification date.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710" w:type="dxa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4476" w:type="dxa"/>
          </w:tcPr>
          <w:p>
            <w:pPr>
              <w:spacing w:after="0" w:line="240" w:lineRule="auto"/>
            </w:pPr>
            <w:r>
              <w:t>-a</w:t>
            </w:r>
          </w:p>
        </w:tc>
        <w:tc>
          <w:tcPr>
            <w:tcW w:w="4704" w:type="dxa"/>
          </w:tcPr>
          <w:p>
            <w:pPr>
              <w:spacing w:after="0" w:line="240" w:lineRule="auto"/>
            </w:pPr>
            <w:r>
              <w:t>Includes hidden files and directories in the listing. Hidden files are those whose names start with a dot (.)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710" w:type="dxa"/>
          </w:tcPr>
          <w:p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4476" w:type="dxa"/>
          </w:tcPr>
          <w:p>
            <w:pPr>
              <w:spacing w:after="0" w:line="240" w:lineRule="auto"/>
            </w:pPr>
            <w:r>
              <w:t>-t</w:t>
            </w:r>
          </w:p>
        </w:tc>
        <w:tc>
          <w:tcPr>
            <w:tcW w:w="4704" w:type="dxa"/>
          </w:tcPr>
          <w:p>
            <w:pPr>
              <w:spacing w:after="0" w:line="240" w:lineRule="auto"/>
            </w:pPr>
            <w:r>
              <w:t>Sorts the list of files and directories by modification time, with the newest files first.</w:t>
            </w:r>
          </w:p>
        </w:tc>
      </w:tr>
    </w:tbl>
    <w:p>
      <w:pPr>
        <w:pStyle w:val="4"/>
        <w:spacing w:before="120"/>
      </w:pPr>
      <w:r>
        <w:t>Implementation:</w:t>
      </w:r>
    </w:p>
    <w:p>
      <w:r>
        <w:drawing>
          <wp:inline distT="0" distB="0" distL="0" distR="0">
            <wp:extent cx="6286500" cy="2827020"/>
            <wp:effectExtent l="0" t="0" r="0" b="0"/>
            <wp:docPr id="5851574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157495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uppressAutoHyphens w:val="0"/>
      </w:pPr>
      <w:r>
        <w:br w:type="page"/>
      </w:r>
    </w:p>
    <w:p>
      <w:pPr>
        <w:pStyle w:val="3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MAN</w:t>
      </w:r>
    </w:p>
    <w:p>
      <w:pPr>
        <w:pStyle w:val="4"/>
        <w:spacing w:before="0"/>
      </w:pPr>
      <w:r>
        <w:t>Description:</w:t>
      </w:r>
    </w:p>
    <w:p>
      <w:r>
        <w:t xml:space="preserve">The </w:t>
      </w:r>
      <w:r>
        <w:rPr>
          <w:b/>
          <w:bCs/>
        </w:rPr>
        <w:t>man</w:t>
      </w:r>
      <w:r>
        <w:t xml:space="preserve"> command used to display the manual pages for various commands, utilities, and system calls. Manual pages provide detailed information about the usage, options, and functionality of these commands. </w:t>
      </w:r>
    </w:p>
    <w:tbl>
      <w:tblPr>
        <w:tblStyle w:val="9"/>
        <w:tblW w:w="9890" w:type="dxa"/>
        <w:tblInd w:w="-5" w:type="dxa"/>
        <w:tblBorders>
          <w:top w:val="single" w:color="999999" w:sz="4" w:space="0"/>
          <w:left w:val="single" w:color="999999" w:sz="4" w:space="0"/>
          <w:bottom w:val="single" w:color="999999" w:sz="4" w:space="0"/>
          <w:right w:val="single" w:color="999999" w:sz="4" w:space="0"/>
          <w:insideH w:val="single" w:color="999999" w:sz="4" w:space="0"/>
          <w:insideV w:val="single" w:color="9999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10"/>
        <w:gridCol w:w="4476"/>
        <w:gridCol w:w="4704"/>
      </w:tblGrid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710" w:type="dxa"/>
            <w:vAlign w:val="center"/>
          </w:tcPr>
          <w:p>
            <w:pPr>
              <w:jc w:val="center"/>
            </w:pPr>
            <w:r>
              <w:t>No.</w:t>
            </w:r>
          </w:p>
        </w:tc>
        <w:tc>
          <w:tcPr>
            <w:tcW w:w="4476" w:type="dxa"/>
            <w:vAlign w:val="center"/>
          </w:tcPr>
          <w:p>
            <w:pPr>
              <w:jc w:val="center"/>
            </w:pPr>
            <w:r>
              <w:t>Option</w:t>
            </w:r>
          </w:p>
        </w:tc>
        <w:tc>
          <w:tcPr>
            <w:tcW w:w="4704" w:type="dxa"/>
            <w:vAlign w:val="center"/>
          </w:tcPr>
          <w:p>
            <w:pPr>
              <w:jc w:val="center"/>
            </w:pPr>
            <w:r>
              <w:t>Description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710" w:type="dxa"/>
          </w:tcPr>
          <w:p>
            <w:pPr>
              <w:jc w:val="center"/>
            </w:pPr>
            <w:r>
              <w:t>1</w:t>
            </w:r>
          </w:p>
        </w:tc>
        <w:tc>
          <w:tcPr>
            <w:tcW w:w="4476" w:type="dxa"/>
          </w:tcPr>
          <w:p>
            <w:r>
              <w:t>-k</w:t>
            </w:r>
          </w:p>
        </w:tc>
        <w:tc>
          <w:tcPr>
            <w:tcW w:w="4704" w:type="dxa"/>
          </w:tcPr>
          <w:p>
            <w:r>
              <w:t>Searches the manual page names and descriptions for the specified keywords and displays a list of matches.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710" w:type="dxa"/>
          </w:tcPr>
          <w:p>
            <w:pPr>
              <w:jc w:val="center"/>
            </w:pPr>
            <w:r>
              <w:t>2</w:t>
            </w:r>
          </w:p>
        </w:tc>
        <w:tc>
          <w:tcPr>
            <w:tcW w:w="4476" w:type="dxa"/>
          </w:tcPr>
          <w:p>
            <w:r>
              <w:t>-f</w:t>
            </w:r>
          </w:p>
        </w:tc>
        <w:tc>
          <w:tcPr>
            <w:tcW w:w="4704" w:type="dxa"/>
          </w:tcPr>
          <w:p>
            <w:r>
              <w:t>Displays concise descriptions of the specified commands or topics.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710" w:type="dxa"/>
          </w:tcPr>
          <w:p>
            <w:pPr>
              <w:jc w:val="center"/>
            </w:pPr>
            <w:r>
              <w:t>3</w:t>
            </w:r>
          </w:p>
        </w:tc>
        <w:tc>
          <w:tcPr>
            <w:tcW w:w="4476" w:type="dxa"/>
          </w:tcPr>
          <w:p>
            <w:r>
              <w:t>-c</w:t>
            </w:r>
          </w:p>
        </w:tc>
        <w:tc>
          <w:tcPr>
            <w:tcW w:w="4704" w:type="dxa"/>
          </w:tcPr>
          <w:p>
            <w:r>
              <w:t>Uses the specified configuration file instead of the default.</w:t>
            </w:r>
          </w:p>
        </w:tc>
      </w:tr>
    </w:tbl>
    <w:p>
      <w:pPr>
        <w:pStyle w:val="4"/>
        <w:spacing w:before="120"/>
      </w:pPr>
      <w:r>
        <w:t>Implementation:</w:t>
      </w:r>
    </w:p>
    <w:p>
      <w:r>
        <w:drawing>
          <wp:inline distT="0" distB="0" distL="0" distR="0">
            <wp:extent cx="6286500" cy="2827020"/>
            <wp:effectExtent l="0" t="0" r="0" b="0"/>
            <wp:docPr id="13831668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166823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uppressAutoHyphens w:val="0"/>
      </w:pPr>
      <w:r>
        <w:br w:type="page"/>
      </w:r>
    </w:p>
    <w:p>
      <w:pPr>
        <w:pStyle w:val="3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CLEAR</w:t>
      </w:r>
    </w:p>
    <w:p>
      <w:pPr>
        <w:pStyle w:val="4"/>
        <w:spacing w:before="0"/>
      </w:pPr>
      <w:r>
        <w:t>Description:</w:t>
      </w:r>
    </w:p>
    <w:p>
      <w:r>
        <w:t xml:space="preserve">The </w:t>
      </w:r>
      <w:r>
        <w:rPr>
          <w:b/>
          <w:bCs/>
        </w:rPr>
        <w:t>clear</w:t>
      </w:r>
      <w:r>
        <w:t xml:space="preserve"> command is used to clear the terminal screen by removing all previous output and commands. It doesn't have any flags or options. When you execute </w:t>
      </w:r>
      <w:r>
        <w:rPr>
          <w:b/>
          <w:bCs/>
        </w:rPr>
        <w:t>clear</w:t>
      </w:r>
      <w:r>
        <w:t>, it simply clears the terminal window, providing you with a clean slate to work with.</w:t>
      </w:r>
    </w:p>
    <w:p>
      <w:pPr>
        <w:pStyle w:val="4"/>
        <w:spacing w:before="120"/>
      </w:pPr>
      <w:r>
        <w:t>Implementation:</w:t>
      </w:r>
    </w:p>
    <w:p>
      <w:r>
        <w:drawing>
          <wp:inline distT="0" distB="0" distL="0" distR="0">
            <wp:extent cx="6286500" cy="2827020"/>
            <wp:effectExtent l="0" t="0" r="0" b="0"/>
            <wp:docPr id="4484371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437186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PWD</w:t>
      </w:r>
    </w:p>
    <w:p>
      <w:pPr>
        <w:pStyle w:val="4"/>
        <w:spacing w:before="0"/>
      </w:pPr>
      <w:r>
        <w:t>Description:</w:t>
      </w:r>
    </w:p>
    <w:p>
      <w:r>
        <w:t xml:space="preserve">The </w:t>
      </w:r>
      <w:r>
        <w:rPr>
          <w:b/>
          <w:bCs/>
        </w:rPr>
        <w:t>pwd</w:t>
      </w:r>
      <w:r>
        <w:t xml:space="preserve"> command stands for "print working directory" and is used to display the current working directory. It doesn't typically have any flags or options. When you execute </w:t>
      </w:r>
      <w:r>
        <w:rPr>
          <w:b/>
          <w:bCs/>
        </w:rPr>
        <w:t>pwd</w:t>
      </w:r>
      <w:r>
        <w:t>, it simply prints the absolute path of the current directory you are working in.Implementation:</w:t>
      </w:r>
    </w:p>
    <w:p>
      <w:r>
        <w:drawing>
          <wp:inline distT="0" distB="0" distL="0" distR="0">
            <wp:extent cx="6286500" cy="2827020"/>
            <wp:effectExtent l="0" t="0" r="0" b="0"/>
            <wp:docPr id="9813385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33858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CD</w:t>
      </w:r>
    </w:p>
    <w:p>
      <w:pPr>
        <w:pStyle w:val="4"/>
        <w:spacing w:before="0"/>
      </w:pPr>
      <w:r>
        <w:t>Description:</w:t>
      </w:r>
    </w:p>
    <w:p>
      <w:r>
        <w:t xml:space="preserve">The </w:t>
      </w:r>
      <w:r>
        <w:rPr>
          <w:b/>
          <w:bCs/>
        </w:rPr>
        <w:t>cd</w:t>
      </w:r>
      <w:r>
        <w:t xml:space="preserve"> command, short for "change directory," is used to change the current working directory. It doesn't typically have any flags or options. When you execute </w:t>
      </w:r>
      <w:r>
        <w:rPr>
          <w:b/>
          <w:bCs/>
        </w:rPr>
        <w:t>cd</w:t>
      </w:r>
      <w:r>
        <w:t>, you provide it with a directory path as an argument, and it changes the current directory to the specified one.</w:t>
      </w:r>
    </w:p>
    <w:p>
      <w:pPr>
        <w:pStyle w:val="4"/>
        <w:spacing w:before="120"/>
      </w:pPr>
      <w:r>
        <w:t>Implementation:</w:t>
      </w:r>
    </w:p>
    <w:p>
      <w:r>
        <w:drawing>
          <wp:inline distT="0" distB="0" distL="0" distR="0">
            <wp:extent cx="6286500" cy="2825115"/>
            <wp:effectExtent l="0" t="0" r="0" b="0"/>
            <wp:docPr id="965158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15824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uppressAutoHyphens w:val="0"/>
      </w:pPr>
      <w:r>
        <w:br w:type="page"/>
      </w:r>
    </w:p>
    <w:p>
      <w:pPr>
        <w:pStyle w:val="3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MKDIR</w:t>
      </w:r>
    </w:p>
    <w:p>
      <w:pPr>
        <w:pStyle w:val="4"/>
        <w:spacing w:before="0"/>
      </w:pPr>
      <w:r>
        <w:t>Description:</w:t>
      </w:r>
    </w:p>
    <w:p>
      <w:r>
        <w:t xml:space="preserve">The </w:t>
      </w:r>
      <w:r>
        <w:rPr>
          <w:b/>
          <w:bCs/>
        </w:rPr>
        <w:t>mkdir</w:t>
      </w:r>
      <w:r>
        <w:t xml:space="preserve"> command is used to create directories (folders). It has several flags or options that can modify its behavior.</w:t>
      </w:r>
    </w:p>
    <w:tbl>
      <w:tblPr>
        <w:tblStyle w:val="9"/>
        <w:tblW w:w="9890" w:type="dxa"/>
        <w:tblInd w:w="-5" w:type="dxa"/>
        <w:tblBorders>
          <w:top w:val="single" w:color="999999" w:sz="4" w:space="0"/>
          <w:left w:val="single" w:color="999999" w:sz="4" w:space="0"/>
          <w:bottom w:val="single" w:color="999999" w:sz="4" w:space="0"/>
          <w:right w:val="single" w:color="999999" w:sz="4" w:space="0"/>
          <w:insideH w:val="single" w:color="999999" w:sz="4" w:space="0"/>
          <w:insideV w:val="single" w:color="9999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10"/>
        <w:gridCol w:w="4476"/>
        <w:gridCol w:w="4704"/>
      </w:tblGrid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710" w:type="dxa"/>
            <w:vAlign w:val="center"/>
          </w:tcPr>
          <w:p>
            <w:pPr>
              <w:jc w:val="center"/>
            </w:pPr>
            <w:r>
              <w:t>No.</w:t>
            </w:r>
          </w:p>
        </w:tc>
        <w:tc>
          <w:tcPr>
            <w:tcW w:w="4476" w:type="dxa"/>
            <w:vAlign w:val="center"/>
          </w:tcPr>
          <w:p>
            <w:pPr>
              <w:jc w:val="center"/>
            </w:pPr>
            <w:r>
              <w:t>Option</w:t>
            </w:r>
          </w:p>
        </w:tc>
        <w:tc>
          <w:tcPr>
            <w:tcW w:w="4704" w:type="dxa"/>
            <w:vAlign w:val="center"/>
          </w:tcPr>
          <w:p>
            <w:pPr>
              <w:jc w:val="center"/>
            </w:pPr>
            <w:r>
              <w:t>Description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710" w:type="dxa"/>
          </w:tcPr>
          <w:p>
            <w:pPr>
              <w:jc w:val="center"/>
            </w:pPr>
            <w:r>
              <w:t>1</w:t>
            </w:r>
          </w:p>
        </w:tc>
        <w:tc>
          <w:tcPr>
            <w:tcW w:w="4476" w:type="dxa"/>
          </w:tcPr>
          <w:p>
            <w:r>
              <w:t>-p</w:t>
            </w:r>
          </w:p>
        </w:tc>
        <w:tc>
          <w:tcPr>
            <w:tcW w:w="4704" w:type="dxa"/>
          </w:tcPr>
          <w:p>
            <w:r>
              <w:t xml:space="preserve">This flag allows you to create not only the specified directory but also any necessary parent directories. If the parent directories already exist, </w:t>
            </w:r>
            <w:r>
              <w:rPr>
                <w:b/>
                <w:bCs/>
              </w:rPr>
              <w:t>mkdir</w:t>
            </w:r>
            <w:r>
              <w:t xml:space="preserve"> will not raise an error.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710" w:type="dxa"/>
          </w:tcPr>
          <w:p>
            <w:pPr>
              <w:jc w:val="center"/>
            </w:pPr>
            <w:r>
              <w:t>2</w:t>
            </w:r>
          </w:p>
        </w:tc>
        <w:tc>
          <w:tcPr>
            <w:tcW w:w="4476" w:type="dxa"/>
          </w:tcPr>
          <w:p>
            <w:r>
              <w:t>-m</w:t>
            </w:r>
          </w:p>
        </w:tc>
        <w:tc>
          <w:tcPr>
            <w:tcW w:w="4704" w:type="dxa"/>
          </w:tcPr>
          <w:p>
            <w:r>
              <w:t xml:space="preserve">This flag allows you to specify the permissions mode for the newly created directory using octal notation. For example, </w:t>
            </w:r>
            <w:r>
              <w:rPr>
                <w:b/>
                <w:bCs/>
              </w:rPr>
              <w:t>-m 755</w:t>
            </w:r>
            <w:r>
              <w:t xml:space="preserve"> sets read, write, and execute permissions for the owner, and read and execute permissions for group and others.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710" w:type="dxa"/>
          </w:tcPr>
          <w:p>
            <w:pPr>
              <w:jc w:val="center"/>
            </w:pPr>
            <w:r>
              <w:t>3</w:t>
            </w:r>
          </w:p>
        </w:tc>
        <w:tc>
          <w:tcPr>
            <w:tcW w:w="4476" w:type="dxa"/>
          </w:tcPr>
          <w:p>
            <w:r>
              <w:t>-v</w:t>
            </w:r>
          </w:p>
        </w:tc>
        <w:tc>
          <w:tcPr>
            <w:tcW w:w="4704" w:type="dxa"/>
          </w:tcPr>
          <w:p>
            <w:r>
              <w:t xml:space="preserve">This flag displays the version of the </w:t>
            </w:r>
            <w:r>
              <w:rPr>
                <w:b/>
                <w:bCs/>
              </w:rPr>
              <w:t>mkdir</w:t>
            </w:r>
            <w:r>
              <w:t xml:space="preserve"> command.</w:t>
            </w:r>
          </w:p>
        </w:tc>
      </w:tr>
    </w:tbl>
    <w:p>
      <w:pPr>
        <w:pStyle w:val="4"/>
        <w:spacing w:before="120"/>
      </w:pPr>
      <w:r>
        <w:t>Implementation:</w:t>
      </w:r>
    </w:p>
    <w:p>
      <w:r>
        <w:drawing>
          <wp:inline distT="0" distB="0" distL="0" distR="0">
            <wp:extent cx="6286500" cy="2825115"/>
            <wp:effectExtent l="0" t="0" r="0" b="0"/>
            <wp:docPr id="12748837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883795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uppressAutoHyphens w:val="0"/>
      </w:pPr>
      <w:r>
        <w:br w:type="page"/>
      </w:r>
    </w:p>
    <w:p>
      <w:pPr>
        <w:pStyle w:val="3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TOUCH</w:t>
      </w:r>
    </w:p>
    <w:p>
      <w:pPr>
        <w:pStyle w:val="4"/>
        <w:spacing w:before="0"/>
      </w:pPr>
      <w:r>
        <w:t>Description:</w:t>
      </w:r>
    </w:p>
    <w:p>
      <w:r>
        <w:t xml:space="preserve">The </w:t>
      </w:r>
      <w:r>
        <w:rPr>
          <w:b/>
          <w:bCs/>
        </w:rPr>
        <w:t>touch</w:t>
      </w:r>
      <w:r>
        <w:t xml:space="preserve"> command is primarily used to update the access and modification timestamps of a file. If the file specified doesn't exist, </w:t>
      </w:r>
      <w:r>
        <w:rPr>
          <w:b/>
          <w:bCs/>
        </w:rPr>
        <w:t>touch</w:t>
      </w:r>
      <w:r>
        <w:t xml:space="preserve"> creates an empty file.</w:t>
      </w:r>
    </w:p>
    <w:tbl>
      <w:tblPr>
        <w:tblStyle w:val="9"/>
        <w:tblW w:w="9890" w:type="dxa"/>
        <w:tblInd w:w="-5" w:type="dxa"/>
        <w:tblBorders>
          <w:top w:val="single" w:color="999999" w:sz="4" w:space="0"/>
          <w:left w:val="single" w:color="999999" w:sz="4" w:space="0"/>
          <w:bottom w:val="single" w:color="999999" w:sz="4" w:space="0"/>
          <w:right w:val="single" w:color="999999" w:sz="4" w:space="0"/>
          <w:insideH w:val="single" w:color="999999" w:sz="4" w:space="0"/>
          <w:insideV w:val="single" w:color="9999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10"/>
        <w:gridCol w:w="4476"/>
        <w:gridCol w:w="4704"/>
      </w:tblGrid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710" w:type="dxa"/>
            <w:vAlign w:val="center"/>
          </w:tcPr>
          <w:p>
            <w:pPr>
              <w:jc w:val="center"/>
            </w:pPr>
            <w:r>
              <w:t>No.</w:t>
            </w:r>
          </w:p>
        </w:tc>
        <w:tc>
          <w:tcPr>
            <w:tcW w:w="4476" w:type="dxa"/>
            <w:vAlign w:val="center"/>
          </w:tcPr>
          <w:p>
            <w:pPr>
              <w:jc w:val="center"/>
            </w:pPr>
            <w:r>
              <w:t>Option</w:t>
            </w:r>
          </w:p>
        </w:tc>
        <w:tc>
          <w:tcPr>
            <w:tcW w:w="4704" w:type="dxa"/>
            <w:vAlign w:val="center"/>
          </w:tcPr>
          <w:p>
            <w:pPr>
              <w:jc w:val="center"/>
            </w:pPr>
            <w:r>
              <w:t>Description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710" w:type="dxa"/>
          </w:tcPr>
          <w:p>
            <w:pPr>
              <w:jc w:val="center"/>
            </w:pPr>
            <w:r>
              <w:t>1</w:t>
            </w:r>
          </w:p>
        </w:tc>
        <w:tc>
          <w:tcPr>
            <w:tcW w:w="4476" w:type="dxa"/>
          </w:tcPr>
          <w:p>
            <w:r>
              <w:t>-a</w:t>
            </w:r>
          </w:p>
        </w:tc>
        <w:tc>
          <w:tcPr>
            <w:tcW w:w="4704" w:type="dxa"/>
          </w:tcPr>
          <w:p>
            <w:r>
              <w:t>This flag updates only the access time of the specified file(s) without modifying their content or modification time.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710" w:type="dxa"/>
          </w:tcPr>
          <w:p>
            <w:pPr>
              <w:jc w:val="center"/>
            </w:pPr>
            <w:r>
              <w:t>2</w:t>
            </w:r>
          </w:p>
        </w:tc>
        <w:tc>
          <w:tcPr>
            <w:tcW w:w="4476" w:type="dxa"/>
          </w:tcPr>
          <w:p>
            <w:r>
              <w:t>-c</w:t>
            </w:r>
          </w:p>
        </w:tc>
        <w:tc>
          <w:tcPr>
            <w:tcW w:w="4704" w:type="dxa"/>
          </w:tcPr>
          <w:p>
            <w:r>
              <w:t xml:space="preserve">This flag prevents </w:t>
            </w:r>
            <w:r>
              <w:rPr>
                <w:b/>
                <w:bCs/>
              </w:rPr>
              <w:t>touch</w:t>
            </w:r>
            <w:r>
              <w:t xml:space="preserve"> from creating a new file if the specified file doesn't exist. It won't report an error if the file is not found.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710" w:type="dxa"/>
          </w:tcPr>
          <w:p>
            <w:pPr>
              <w:jc w:val="center"/>
            </w:pPr>
            <w:r>
              <w:t>3</w:t>
            </w:r>
          </w:p>
        </w:tc>
        <w:tc>
          <w:tcPr>
            <w:tcW w:w="4476" w:type="dxa"/>
          </w:tcPr>
          <w:p>
            <w:r>
              <w:t>-m</w:t>
            </w:r>
          </w:p>
        </w:tc>
        <w:tc>
          <w:tcPr>
            <w:tcW w:w="4704" w:type="dxa"/>
          </w:tcPr>
          <w:p>
            <w:r>
              <w:t>This flag updates only the modification time of the specified file(s) without changing their content or access time.</w:t>
            </w:r>
          </w:p>
        </w:tc>
      </w:tr>
    </w:tbl>
    <w:p>
      <w:pPr>
        <w:pStyle w:val="4"/>
        <w:spacing w:before="120"/>
      </w:pPr>
      <w:r>
        <w:t>Implementation:</w:t>
      </w:r>
    </w:p>
    <w:p>
      <w:r>
        <w:drawing>
          <wp:inline distT="0" distB="0" distL="0" distR="0">
            <wp:extent cx="6286500" cy="2825115"/>
            <wp:effectExtent l="0" t="0" r="0" b="0"/>
            <wp:docPr id="3680323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032331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uppressAutoHyphens w:val="0"/>
      </w:pPr>
      <w:r>
        <w:br w:type="page"/>
      </w:r>
    </w:p>
    <w:p>
      <w:pPr>
        <w:pStyle w:val="3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RMDIR</w:t>
      </w:r>
    </w:p>
    <w:p>
      <w:pPr>
        <w:pStyle w:val="4"/>
        <w:spacing w:before="0"/>
      </w:pPr>
      <w:r>
        <w:t>Description:</w:t>
      </w:r>
    </w:p>
    <w:p>
      <w:r>
        <w:t xml:space="preserve">The </w:t>
      </w:r>
      <w:r>
        <w:rPr>
          <w:b/>
          <w:bCs/>
        </w:rPr>
        <w:t>rmdir</w:t>
      </w:r>
      <w:r>
        <w:t xml:space="preserve"> command is used to remove empty directories (folders).</w:t>
      </w:r>
    </w:p>
    <w:tbl>
      <w:tblPr>
        <w:tblStyle w:val="9"/>
        <w:tblW w:w="9890" w:type="dxa"/>
        <w:tblInd w:w="-5" w:type="dxa"/>
        <w:tblBorders>
          <w:top w:val="single" w:color="999999" w:sz="4" w:space="0"/>
          <w:left w:val="single" w:color="999999" w:sz="4" w:space="0"/>
          <w:bottom w:val="single" w:color="999999" w:sz="4" w:space="0"/>
          <w:right w:val="single" w:color="999999" w:sz="4" w:space="0"/>
          <w:insideH w:val="single" w:color="999999" w:sz="4" w:space="0"/>
          <w:insideV w:val="single" w:color="9999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10"/>
        <w:gridCol w:w="4476"/>
        <w:gridCol w:w="4704"/>
      </w:tblGrid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710" w:type="dxa"/>
            <w:vAlign w:val="center"/>
          </w:tcPr>
          <w:p>
            <w:pPr>
              <w:jc w:val="center"/>
            </w:pPr>
            <w:r>
              <w:t>No.</w:t>
            </w:r>
          </w:p>
        </w:tc>
        <w:tc>
          <w:tcPr>
            <w:tcW w:w="4476" w:type="dxa"/>
            <w:vAlign w:val="center"/>
          </w:tcPr>
          <w:p>
            <w:pPr>
              <w:jc w:val="center"/>
            </w:pPr>
            <w:r>
              <w:t>Option</w:t>
            </w:r>
          </w:p>
        </w:tc>
        <w:tc>
          <w:tcPr>
            <w:tcW w:w="4704" w:type="dxa"/>
            <w:vAlign w:val="center"/>
          </w:tcPr>
          <w:p>
            <w:pPr>
              <w:jc w:val="center"/>
            </w:pPr>
            <w:r>
              <w:t>Description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710" w:type="dxa"/>
          </w:tcPr>
          <w:p>
            <w:pPr>
              <w:jc w:val="center"/>
            </w:pPr>
            <w:r>
              <w:t>1</w:t>
            </w:r>
          </w:p>
        </w:tc>
        <w:tc>
          <w:tcPr>
            <w:tcW w:w="4476" w:type="dxa"/>
          </w:tcPr>
          <w:p>
            <w:r>
              <w:t>-p</w:t>
            </w:r>
          </w:p>
        </w:tc>
        <w:tc>
          <w:tcPr>
            <w:tcW w:w="4704" w:type="dxa"/>
          </w:tcPr>
          <w:p>
            <w:r>
              <w:t>This flag allows you to remove not only the specified directory but also any necessary parent directories if they become empty after the removal.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710" w:type="dxa"/>
          </w:tcPr>
          <w:p>
            <w:pPr>
              <w:jc w:val="center"/>
            </w:pPr>
            <w:r>
              <w:t>2</w:t>
            </w:r>
          </w:p>
        </w:tc>
        <w:tc>
          <w:tcPr>
            <w:tcW w:w="4476" w:type="dxa"/>
          </w:tcPr>
          <w:p>
            <w:r>
              <w:t>--ignore-fail-on-non-empty</w:t>
            </w:r>
          </w:p>
        </w:tc>
        <w:tc>
          <w:tcPr>
            <w:tcW w:w="4704" w:type="dxa"/>
          </w:tcPr>
          <w:p>
            <w:r>
              <w:t xml:space="preserve">By default, </w:t>
            </w:r>
            <w:r>
              <w:rPr>
                <w:b/>
                <w:bCs/>
              </w:rPr>
              <w:t>rmdir</w:t>
            </w:r>
            <w:r>
              <w:t xml:space="preserve"> fails if the specified directory is not empty. This flag makes it ignore the failure and exit with a success status even if the directory is not empty.</w:t>
            </w:r>
          </w:p>
        </w:tc>
      </w:tr>
    </w:tbl>
    <w:p>
      <w:pPr>
        <w:pStyle w:val="4"/>
        <w:spacing w:before="120"/>
      </w:pPr>
      <w:r>
        <w:t>Implementation:</w:t>
      </w:r>
    </w:p>
    <w:p>
      <w:r>
        <w:drawing>
          <wp:inline distT="0" distB="0" distL="0" distR="0">
            <wp:extent cx="6286500" cy="2825115"/>
            <wp:effectExtent l="0" t="0" r="0" b="0"/>
            <wp:docPr id="20821640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164062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uppressAutoHyphens w:val="0"/>
      </w:pPr>
      <w:r>
        <w:br w:type="page"/>
      </w:r>
    </w:p>
    <w:p>
      <w:pPr>
        <w:pStyle w:val="3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RM</w:t>
      </w:r>
    </w:p>
    <w:p>
      <w:pPr>
        <w:pStyle w:val="4"/>
        <w:spacing w:before="0"/>
      </w:pPr>
      <w:r>
        <w:t>Description:</w:t>
      </w:r>
    </w:p>
    <w:p>
      <w:r>
        <w:t xml:space="preserve">The </w:t>
      </w:r>
      <w:r>
        <w:rPr>
          <w:b/>
          <w:bCs/>
        </w:rPr>
        <w:t>rm</w:t>
      </w:r>
      <w:r>
        <w:t xml:space="preserve"> command is used to remove files or directories. It has several flags or options that modify its behavior. </w:t>
      </w:r>
    </w:p>
    <w:tbl>
      <w:tblPr>
        <w:tblStyle w:val="9"/>
        <w:tblW w:w="9890" w:type="dxa"/>
        <w:tblInd w:w="-5" w:type="dxa"/>
        <w:tblBorders>
          <w:top w:val="single" w:color="999999" w:sz="4" w:space="0"/>
          <w:left w:val="single" w:color="999999" w:sz="4" w:space="0"/>
          <w:bottom w:val="single" w:color="999999" w:sz="4" w:space="0"/>
          <w:right w:val="single" w:color="999999" w:sz="4" w:space="0"/>
          <w:insideH w:val="single" w:color="999999" w:sz="4" w:space="0"/>
          <w:insideV w:val="single" w:color="9999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10"/>
        <w:gridCol w:w="4476"/>
        <w:gridCol w:w="4704"/>
      </w:tblGrid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710" w:type="dxa"/>
            <w:vAlign w:val="center"/>
          </w:tcPr>
          <w:p>
            <w:pPr>
              <w:jc w:val="center"/>
            </w:pPr>
            <w:r>
              <w:t>No.</w:t>
            </w:r>
          </w:p>
        </w:tc>
        <w:tc>
          <w:tcPr>
            <w:tcW w:w="4476" w:type="dxa"/>
            <w:vAlign w:val="center"/>
          </w:tcPr>
          <w:p>
            <w:pPr>
              <w:jc w:val="center"/>
            </w:pPr>
            <w:r>
              <w:t>Option</w:t>
            </w:r>
          </w:p>
        </w:tc>
        <w:tc>
          <w:tcPr>
            <w:tcW w:w="4704" w:type="dxa"/>
            <w:vAlign w:val="center"/>
          </w:tcPr>
          <w:p>
            <w:pPr>
              <w:jc w:val="center"/>
            </w:pPr>
            <w:r>
              <w:t>Description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710" w:type="dxa"/>
          </w:tcPr>
          <w:p>
            <w:pPr>
              <w:jc w:val="center"/>
            </w:pPr>
            <w:r>
              <w:t>1</w:t>
            </w:r>
          </w:p>
        </w:tc>
        <w:tc>
          <w:tcPr>
            <w:tcW w:w="4476" w:type="dxa"/>
          </w:tcPr>
          <w:p>
            <w:r>
              <w:t>-f</w:t>
            </w:r>
          </w:p>
        </w:tc>
        <w:tc>
          <w:tcPr>
            <w:tcW w:w="4704" w:type="dxa"/>
          </w:tcPr>
          <w:p>
            <w:r>
              <w:t xml:space="preserve">This flag suppresses most error messages and prompts, allowing </w:t>
            </w:r>
            <w:r>
              <w:rPr>
                <w:b/>
                <w:bCs/>
              </w:rPr>
              <w:t>rm</w:t>
            </w:r>
            <w:r>
              <w:t xml:space="preserve"> to continue removing files without asking for confirmation, even if files are write-protected.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710" w:type="dxa"/>
          </w:tcPr>
          <w:p>
            <w:pPr>
              <w:jc w:val="center"/>
            </w:pPr>
            <w:r>
              <w:t>2</w:t>
            </w:r>
          </w:p>
        </w:tc>
        <w:tc>
          <w:tcPr>
            <w:tcW w:w="4476" w:type="dxa"/>
          </w:tcPr>
          <w:p>
            <w:r>
              <w:t>-i</w:t>
            </w:r>
          </w:p>
        </w:tc>
        <w:tc>
          <w:tcPr>
            <w:tcW w:w="4704" w:type="dxa"/>
          </w:tcPr>
          <w:p>
            <w:r>
              <w:t>This flag prompts the user for confirmation before removing each file or directory, allowing you to verify before proceeding.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710" w:type="dxa"/>
          </w:tcPr>
          <w:p>
            <w:pPr>
              <w:jc w:val="center"/>
            </w:pPr>
            <w:r>
              <w:t>3</w:t>
            </w:r>
          </w:p>
        </w:tc>
        <w:tc>
          <w:tcPr>
            <w:tcW w:w="4476" w:type="dxa"/>
          </w:tcPr>
          <w:p>
            <w:r>
              <w:t>-r</w:t>
            </w:r>
          </w:p>
        </w:tc>
        <w:tc>
          <w:tcPr>
            <w:tcW w:w="4704" w:type="dxa"/>
          </w:tcPr>
          <w:p>
            <w:r>
              <w:t xml:space="preserve">This flag enables </w:t>
            </w:r>
            <w:r>
              <w:rPr>
                <w:b/>
                <w:bCs/>
              </w:rPr>
              <w:t>rm</w:t>
            </w:r>
            <w:r>
              <w:t xml:space="preserve"> to remove directories and their contents recursively. It's used when deleting directories and their contents instead of individual files.</w:t>
            </w:r>
          </w:p>
        </w:tc>
      </w:tr>
    </w:tbl>
    <w:p>
      <w:pPr>
        <w:pStyle w:val="4"/>
        <w:spacing w:before="120"/>
      </w:pPr>
      <w:r>
        <w:t>Implementation:</w:t>
      </w:r>
    </w:p>
    <w:p>
      <w:r>
        <w:drawing>
          <wp:inline distT="0" distB="0" distL="0" distR="0">
            <wp:extent cx="6286500" cy="2825115"/>
            <wp:effectExtent l="0" t="0" r="0" b="0"/>
            <wp:docPr id="3135170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51701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uppressAutoHyphens w:val="0"/>
      </w:pPr>
      <w:r>
        <w:br w:type="page"/>
      </w:r>
    </w:p>
    <w:p>
      <w:pPr>
        <w:pStyle w:val="3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MV</w:t>
      </w:r>
    </w:p>
    <w:p>
      <w:pPr>
        <w:pStyle w:val="4"/>
        <w:spacing w:before="0"/>
      </w:pPr>
      <w:r>
        <w:t>Description:</w:t>
      </w:r>
    </w:p>
    <w:p>
      <w:r>
        <w:t xml:space="preserve">The </w:t>
      </w:r>
      <w:r>
        <w:rPr>
          <w:b/>
          <w:bCs/>
        </w:rPr>
        <w:t>mv</w:t>
      </w:r>
      <w:r>
        <w:t xml:space="preserve"> command is used to move or rename files and directories.</w:t>
      </w:r>
    </w:p>
    <w:tbl>
      <w:tblPr>
        <w:tblStyle w:val="9"/>
        <w:tblW w:w="9890" w:type="dxa"/>
        <w:tblInd w:w="-5" w:type="dxa"/>
        <w:tblBorders>
          <w:top w:val="single" w:color="999999" w:sz="4" w:space="0"/>
          <w:left w:val="single" w:color="999999" w:sz="4" w:space="0"/>
          <w:bottom w:val="single" w:color="999999" w:sz="4" w:space="0"/>
          <w:right w:val="single" w:color="999999" w:sz="4" w:space="0"/>
          <w:insideH w:val="single" w:color="999999" w:sz="4" w:space="0"/>
          <w:insideV w:val="single" w:color="9999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10"/>
        <w:gridCol w:w="4476"/>
        <w:gridCol w:w="4704"/>
      </w:tblGrid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710" w:type="dxa"/>
            <w:vAlign w:val="center"/>
          </w:tcPr>
          <w:p>
            <w:pPr>
              <w:jc w:val="center"/>
            </w:pPr>
            <w:r>
              <w:t>No.</w:t>
            </w:r>
          </w:p>
        </w:tc>
        <w:tc>
          <w:tcPr>
            <w:tcW w:w="4476" w:type="dxa"/>
            <w:vAlign w:val="center"/>
          </w:tcPr>
          <w:p>
            <w:pPr>
              <w:jc w:val="center"/>
            </w:pPr>
            <w:r>
              <w:t>Option</w:t>
            </w:r>
          </w:p>
        </w:tc>
        <w:tc>
          <w:tcPr>
            <w:tcW w:w="4704" w:type="dxa"/>
            <w:vAlign w:val="center"/>
          </w:tcPr>
          <w:p>
            <w:pPr>
              <w:jc w:val="center"/>
            </w:pPr>
            <w:r>
              <w:t>Description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710" w:type="dxa"/>
          </w:tcPr>
          <w:p>
            <w:pPr>
              <w:jc w:val="center"/>
            </w:pPr>
            <w:r>
              <w:t>1</w:t>
            </w:r>
          </w:p>
        </w:tc>
        <w:tc>
          <w:tcPr>
            <w:tcW w:w="4476" w:type="dxa"/>
          </w:tcPr>
          <w:p>
            <w:r>
              <w:t>-i</w:t>
            </w:r>
          </w:p>
        </w:tc>
        <w:tc>
          <w:tcPr>
            <w:tcW w:w="4704" w:type="dxa"/>
          </w:tcPr>
          <w:p>
            <w:r>
              <w:t>This flag prompts the user for confirmation before overwriting existing destination files.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710" w:type="dxa"/>
          </w:tcPr>
          <w:p>
            <w:pPr>
              <w:jc w:val="center"/>
            </w:pPr>
            <w:r>
              <w:t>2</w:t>
            </w:r>
          </w:p>
        </w:tc>
        <w:tc>
          <w:tcPr>
            <w:tcW w:w="4476" w:type="dxa"/>
          </w:tcPr>
          <w:p>
            <w:r>
              <w:t>-f</w:t>
            </w:r>
          </w:p>
        </w:tc>
        <w:tc>
          <w:tcPr>
            <w:tcW w:w="4704" w:type="dxa"/>
          </w:tcPr>
          <w:p>
            <w:r>
              <w:t xml:space="preserve">This flag suppresses warnings and prompts, allowing </w:t>
            </w:r>
            <w:r>
              <w:rPr>
                <w:b/>
                <w:bCs/>
              </w:rPr>
              <w:t>mv</w:t>
            </w:r>
            <w:r>
              <w:t xml:space="preserve"> to overwrite existing destination files without asking for confirmation.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710" w:type="dxa"/>
          </w:tcPr>
          <w:p>
            <w:pPr>
              <w:jc w:val="center"/>
            </w:pPr>
            <w:r>
              <w:t>3</w:t>
            </w:r>
          </w:p>
        </w:tc>
        <w:tc>
          <w:tcPr>
            <w:tcW w:w="4476" w:type="dxa"/>
          </w:tcPr>
          <w:p>
            <w:r>
              <w:t>-n</w:t>
            </w:r>
          </w:p>
        </w:tc>
        <w:tc>
          <w:tcPr>
            <w:tcW w:w="4704" w:type="dxa"/>
          </w:tcPr>
          <w:p>
            <w:r>
              <w:t xml:space="preserve">This flag prevents </w:t>
            </w:r>
            <w:r>
              <w:rPr>
                <w:b/>
                <w:bCs/>
              </w:rPr>
              <w:t>mv</w:t>
            </w:r>
            <w:r>
              <w:t xml:space="preserve"> from overwriting existing destination files. If a file with the same name already exists, </w:t>
            </w:r>
            <w:r>
              <w:rPr>
                <w:b/>
                <w:bCs/>
              </w:rPr>
              <w:t>mv</w:t>
            </w:r>
            <w:r>
              <w:t xml:space="preserve"> will not overwrite it and will instead display an error message.</w:t>
            </w:r>
          </w:p>
        </w:tc>
      </w:tr>
    </w:tbl>
    <w:p>
      <w:pPr>
        <w:pStyle w:val="4"/>
        <w:spacing w:before="120"/>
      </w:pPr>
      <w:r>
        <w:t>Implementation:</w:t>
      </w:r>
    </w:p>
    <w:p>
      <w:r>
        <w:drawing>
          <wp:inline distT="0" distB="0" distL="0" distR="0">
            <wp:extent cx="6286500" cy="2825115"/>
            <wp:effectExtent l="0" t="0" r="0" b="0"/>
            <wp:docPr id="20699397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93977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uppressAutoHyphens w:val="0"/>
      </w:pPr>
      <w:r>
        <w:br w:type="page"/>
      </w:r>
    </w:p>
    <w:p>
      <w:pPr>
        <w:pStyle w:val="3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CP</w:t>
      </w:r>
    </w:p>
    <w:p>
      <w:pPr>
        <w:pStyle w:val="4"/>
        <w:spacing w:before="0"/>
      </w:pPr>
      <w:r>
        <w:t>Description:</w:t>
      </w:r>
    </w:p>
    <w:p>
      <w:r>
        <w:t xml:space="preserve">The </w:t>
      </w:r>
      <w:r>
        <w:rPr>
          <w:b/>
          <w:bCs/>
        </w:rPr>
        <w:t>cp</w:t>
      </w:r>
      <w:r>
        <w:t xml:space="preserve"> command is used to copy files and directories.</w:t>
      </w:r>
    </w:p>
    <w:tbl>
      <w:tblPr>
        <w:tblStyle w:val="9"/>
        <w:tblW w:w="9890" w:type="dxa"/>
        <w:tblInd w:w="-5" w:type="dxa"/>
        <w:tblBorders>
          <w:top w:val="single" w:color="999999" w:sz="4" w:space="0"/>
          <w:left w:val="single" w:color="999999" w:sz="4" w:space="0"/>
          <w:bottom w:val="single" w:color="999999" w:sz="4" w:space="0"/>
          <w:right w:val="single" w:color="999999" w:sz="4" w:space="0"/>
          <w:insideH w:val="single" w:color="999999" w:sz="4" w:space="0"/>
          <w:insideV w:val="single" w:color="9999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10"/>
        <w:gridCol w:w="4476"/>
        <w:gridCol w:w="4704"/>
      </w:tblGrid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710" w:type="dxa"/>
            <w:vAlign w:val="center"/>
          </w:tcPr>
          <w:p>
            <w:pPr>
              <w:jc w:val="center"/>
            </w:pPr>
            <w:r>
              <w:t>No.</w:t>
            </w:r>
          </w:p>
        </w:tc>
        <w:tc>
          <w:tcPr>
            <w:tcW w:w="4476" w:type="dxa"/>
            <w:vAlign w:val="center"/>
          </w:tcPr>
          <w:p>
            <w:pPr>
              <w:jc w:val="center"/>
            </w:pPr>
            <w:r>
              <w:t>Option</w:t>
            </w:r>
          </w:p>
        </w:tc>
        <w:tc>
          <w:tcPr>
            <w:tcW w:w="4704" w:type="dxa"/>
            <w:vAlign w:val="center"/>
          </w:tcPr>
          <w:p>
            <w:pPr>
              <w:jc w:val="center"/>
            </w:pPr>
            <w:r>
              <w:t>Description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710" w:type="dxa"/>
          </w:tcPr>
          <w:p>
            <w:pPr>
              <w:jc w:val="center"/>
            </w:pPr>
            <w:r>
              <w:t>1</w:t>
            </w:r>
          </w:p>
        </w:tc>
        <w:tc>
          <w:tcPr>
            <w:tcW w:w="4476" w:type="dxa"/>
          </w:tcPr>
          <w:p>
            <w:r>
              <w:t>-i</w:t>
            </w:r>
          </w:p>
        </w:tc>
        <w:tc>
          <w:tcPr>
            <w:tcW w:w="4704" w:type="dxa"/>
          </w:tcPr>
          <w:p>
            <w:r>
              <w:t>This flag prompts the user for confirmation before overwriting existing destination files.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710" w:type="dxa"/>
          </w:tcPr>
          <w:p>
            <w:pPr>
              <w:jc w:val="center"/>
            </w:pPr>
            <w:r>
              <w:t>2</w:t>
            </w:r>
          </w:p>
        </w:tc>
        <w:tc>
          <w:tcPr>
            <w:tcW w:w="4476" w:type="dxa"/>
          </w:tcPr>
          <w:p>
            <w:r>
              <w:t>-f</w:t>
            </w:r>
          </w:p>
        </w:tc>
        <w:tc>
          <w:tcPr>
            <w:tcW w:w="4704" w:type="dxa"/>
          </w:tcPr>
          <w:p>
            <w:r>
              <w:t xml:space="preserve">This flag suppresses warnings and prompts, allowing </w:t>
            </w:r>
            <w:r>
              <w:rPr>
                <w:b/>
                <w:bCs/>
              </w:rPr>
              <w:t>cp</w:t>
            </w:r>
            <w:r>
              <w:t xml:space="preserve"> to overwrite existing destination files without asking for confirmation.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710" w:type="dxa"/>
          </w:tcPr>
          <w:p>
            <w:pPr>
              <w:jc w:val="center"/>
            </w:pPr>
            <w:r>
              <w:t>3</w:t>
            </w:r>
          </w:p>
        </w:tc>
        <w:tc>
          <w:tcPr>
            <w:tcW w:w="4476" w:type="dxa"/>
          </w:tcPr>
          <w:p>
            <w:r>
              <w:t>-n</w:t>
            </w:r>
          </w:p>
        </w:tc>
        <w:tc>
          <w:tcPr>
            <w:tcW w:w="4704" w:type="dxa"/>
          </w:tcPr>
          <w:p>
            <w:r>
              <w:t xml:space="preserve">This flag prevents </w:t>
            </w:r>
            <w:r>
              <w:rPr>
                <w:b/>
                <w:bCs/>
              </w:rPr>
              <w:t>cp</w:t>
            </w:r>
            <w:r>
              <w:t xml:space="preserve"> from overwriting existing destination files. If a file with the same name already exists, </w:t>
            </w:r>
            <w:r>
              <w:rPr>
                <w:b/>
                <w:bCs/>
              </w:rPr>
              <w:t>cp</w:t>
            </w:r>
            <w:r>
              <w:t xml:space="preserve"> will not overwrite it and will instead display an error message.</w:t>
            </w:r>
          </w:p>
        </w:tc>
      </w:tr>
    </w:tbl>
    <w:p>
      <w:pPr>
        <w:pStyle w:val="4"/>
        <w:spacing w:before="120"/>
      </w:pPr>
      <w:r>
        <w:t>Implementation:</w:t>
      </w:r>
    </w:p>
    <w:p>
      <w:r>
        <w:drawing>
          <wp:inline distT="0" distB="0" distL="0" distR="0">
            <wp:extent cx="6286500" cy="2825115"/>
            <wp:effectExtent l="0" t="0" r="0" b="0"/>
            <wp:docPr id="17153561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356154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uppressAutoHyphens w:val="0"/>
      </w:pPr>
      <w:r>
        <w:br w:type="page"/>
      </w:r>
    </w:p>
    <w:p>
      <w:pPr>
        <w:pStyle w:val="3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HEAD</w:t>
      </w:r>
    </w:p>
    <w:p>
      <w:pPr>
        <w:pStyle w:val="4"/>
        <w:spacing w:before="0"/>
      </w:pPr>
      <w:r>
        <w:t>Description:</w:t>
      </w:r>
    </w:p>
    <w:p>
      <w:r>
        <w:t xml:space="preserve">The </w:t>
      </w:r>
      <w:r>
        <w:rPr>
          <w:b/>
          <w:bCs/>
        </w:rPr>
        <w:t>head</w:t>
      </w:r>
      <w:r>
        <w:t xml:space="preserve"> command is used to display the first few lines of a file. It is particularly useful for viewing the beginning of large files without having to load the entire file into memory.</w:t>
      </w:r>
    </w:p>
    <w:tbl>
      <w:tblPr>
        <w:tblStyle w:val="9"/>
        <w:tblW w:w="9890" w:type="dxa"/>
        <w:tblInd w:w="-5" w:type="dxa"/>
        <w:tblBorders>
          <w:top w:val="single" w:color="999999" w:sz="4" w:space="0"/>
          <w:left w:val="single" w:color="999999" w:sz="4" w:space="0"/>
          <w:bottom w:val="single" w:color="999999" w:sz="4" w:space="0"/>
          <w:right w:val="single" w:color="999999" w:sz="4" w:space="0"/>
          <w:insideH w:val="single" w:color="999999" w:sz="4" w:space="0"/>
          <w:insideV w:val="single" w:color="9999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10"/>
        <w:gridCol w:w="4476"/>
        <w:gridCol w:w="4704"/>
      </w:tblGrid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710" w:type="dxa"/>
            <w:vAlign w:val="center"/>
          </w:tcPr>
          <w:p>
            <w:pPr>
              <w:jc w:val="center"/>
            </w:pPr>
            <w:r>
              <w:t>No.</w:t>
            </w:r>
          </w:p>
        </w:tc>
        <w:tc>
          <w:tcPr>
            <w:tcW w:w="4476" w:type="dxa"/>
            <w:vAlign w:val="center"/>
          </w:tcPr>
          <w:p>
            <w:pPr>
              <w:jc w:val="center"/>
            </w:pPr>
            <w:r>
              <w:t>Option</w:t>
            </w:r>
          </w:p>
        </w:tc>
        <w:tc>
          <w:tcPr>
            <w:tcW w:w="4704" w:type="dxa"/>
            <w:vAlign w:val="center"/>
          </w:tcPr>
          <w:p>
            <w:pPr>
              <w:jc w:val="center"/>
            </w:pPr>
            <w:r>
              <w:t>Description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710" w:type="dxa"/>
          </w:tcPr>
          <w:p>
            <w:pPr>
              <w:jc w:val="center"/>
            </w:pPr>
            <w:r>
              <w:t>1</w:t>
            </w:r>
          </w:p>
        </w:tc>
        <w:tc>
          <w:tcPr>
            <w:tcW w:w="4476" w:type="dxa"/>
          </w:tcPr>
          <w:p>
            <w:r>
              <w:t>-n num</w:t>
            </w:r>
          </w:p>
        </w:tc>
        <w:tc>
          <w:tcPr>
            <w:tcW w:w="4704" w:type="dxa"/>
          </w:tcPr>
          <w:p>
            <w:r>
              <w:t xml:space="preserve">This flag specifies the number of lines to be displayed from the beginning of the file. By default, </w:t>
            </w:r>
            <w:r>
              <w:rPr>
                <w:b/>
                <w:bCs/>
              </w:rPr>
              <w:t>head</w:t>
            </w:r>
            <w:r>
              <w:t xml:space="preserve"> displays the first 10 lines.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710" w:type="dxa"/>
          </w:tcPr>
          <w:p>
            <w:pPr>
              <w:jc w:val="center"/>
            </w:pPr>
            <w:r>
              <w:t>2</w:t>
            </w:r>
          </w:p>
        </w:tc>
        <w:tc>
          <w:tcPr>
            <w:tcW w:w="4476" w:type="dxa"/>
          </w:tcPr>
          <w:p>
            <w:r>
              <w:t>-c num</w:t>
            </w:r>
          </w:p>
        </w:tc>
        <w:tc>
          <w:tcPr>
            <w:tcW w:w="4704" w:type="dxa"/>
          </w:tcPr>
          <w:p>
            <w:r>
              <w:t xml:space="preserve">This flag specifies the number of bytes to be displayed from the beginning of the file. It overrides the </w:t>
            </w:r>
            <w:r>
              <w:rPr>
                <w:b/>
                <w:bCs/>
              </w:rPr>
              <w:t>-n</w:t>
            </w:r>
            <w:r>
              <w:t xml:space="preserve"> flag.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710" w:type="dxa"/>
          </w:tcPr>
          <w:p>
            <w:pPr>
              <w:jc w:val="center"/>
            </w:pPr>
            <w:r>
              <w:t>3</w:t>
            </w:r>
          </w:p>
        </w:tc>
        <w:tc>
          <w:tcPr>
            <w:tcW w:w="4476" w:type="dxa"/>
          </w:tcPr>
          <w:p>
            <w:r>
              <w:t>-q</w:t>
            </w:r>
          </w:p>
        </w:tc>
        <w:tc>
          <w:tcPr>
            <w:tcW w:w="4704" w:type="dxa"/>
          </w:tcPr>
          <w:p>
            <w:r>
              <w:t>This flag suppresses the display of file names when multiple files are specified as arguments.</w:t>
            </w:r>
          </w:p>
        </w:tc>
      </w:tr>
    </w:tbl>
    <w:p>
      <w:pPr>
        <w:pStyle w:val="4"/>
        <w:spacing w:before="120"/>
      </w:pPr>
      <w:r>
        <w:t>Implementation:</w:t>
      </w:r>
    </w:p>
    <w:p>
      <w:r>
        <w:drawing>
          <wp:inline distT="0" distB="0" distL="0" distR="0">
            <wp:extent cx="6286500" cy="2825115"/>
            <wp:effectExtent l="0" t="0" r="0" b="0"/>
            <wp:docPr id="327759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595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uppressAutoHyphens w:val="0"/>
      </w:pPr>
      <w:r>
        <w:br w:type="page"/>
      </w:r>
    </w:p>
    <w:p>
      <w:pPr>
        <w:pStyle w:val="3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TAIL</w:t>
      </w:r>
    </w:p>
    <w:p>
      <w:pPr>
        <w:pStyle w:val="4"/>
        <w:spacing w:before="0"/>
      </w:pPr>
      <w:r>
        <w:t>Description:</w:t>
      </w:r>
    </w:p>
    <w:p>
      <w:r>
        <w:t xml:space="preserve">The </w:t>
      </w:r>
      <w:r>
        <w:rPr>
          <w:b/>
          <w:bCs/>
        </w:rPr>
        <w:t>tail</w:t>
      </w:r>
      <w:r>
        <w:t xml:space="preserve"> command is used to display the last few lines of a file. It is particularly useful for viewing the end of log files or continuously updated files.</w:t>
      </w:r>
    </w:p>
    <w:tbl>
      <w:tblPr>
        <w:tblStyle w:val="9"/>
        <w:tblW w:w="9890" w:type="dxa"/>
        <w:tblInd w:w="-5" w:type="dxa"/>
        <w:tblBorders>
          <w:top w:val="single" w:color="999999" w:sz="4" w:space="0"/>
          <w:left w:val="single" w:color="999999" w:sz="4" w:space="0"/>
          <w:bottom w:val="single" w:color="999999" w:sz="4" w:space="0"/>
          <w:right w:val="single" w:color="999999" w:sz="4" w:space="0"/>
          <w:insideH w:val="single" w:color="999999" w:sz="4" w:space="0"/>
          <w:insideV w:val="single" w:color="9999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10"/>
        <w:gridCol w:w="4476"/>
        <w:gridCol w:w="4704"/>
      </w:tblGrid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710" w:type="dxa"/>
            <w:vAlign w:val="center"/>
          </w:tcPr>
          <w:p>
            <w:pPr>
              <w:jc w:val="center"/>
            </w:pPr>
            <w:r>
              <w:t>No.</w:t>
            </w:r>
          </w:p>
        </w:tc>
        <w:tc>
          <w:tcPr>
            <w:tcW w:w="4476" w:type="dxa"/>
            <w:vAlign w:val="center"/>
          </w:tcPr>
          <w:p>
            <w:pPr>
              <w:jc w:val="center"/>
            </w:pPr>
            <w:r>
              <w:t>Option</w:t>
            </w:r>
          </w:p>
        </w:tc>
        <w:tc>
          <w:tcPr>
            <w:tcW w:w="4704" w:type="dxa"/>
            <w:vAlign w:val="center"/>
          </w:tcPr>
          <w:p>
            <w:pPr>
              <w:jc w:val="center"/>
            </w:pPr>
            <w:r>
              <w:t>Description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710" w:type="dxa"/>
          </w:tcPr>
          <w:p>
            <w:pPr>
              <w:jc w:val="center"/>
            </w:pPr>
            <w:r>
              <w:t>1</w:t>
            </w:r>
          </w:p>
        </w:tc>
        <w:tc>
          <w:tcPr>
            <w:tcW w:w="4476" w:type="dxa"/>
          </w:tcPr>
          <w:p>
            <w:r>
              <w:t>-n num</w:t>
            </w:r>
          </w:p>
        </w:tc>
        <w:tc>
          <w:tcPr>
            <w:tcW w:w="4704" w:type="dxa"/>
          </w:tcPr>
          <w:p>
            <w:r>
              <w:t xml:space="preserve">This flag specifies the number of lines to be displayed from the end of the file. By default, </w:t>
            </w:r>
            <w:r>
              <w:rPr>
                <w:b/>
                <w:bCs/>
              </w:rPr>
              <w:t>tail</w:t>
            </w:r>
            <w:r>
              <w:t xml:space="preserve"> displays the last 10 lines.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710" w:type="dxa"/>
          </w:tcPr>
          <w:p>
            <w:pPr>
              <w:jc w:val="center"/>
            </w:pPr>
            <w:r>
              <w:t>2</w:t>
            </w:r>
          </w:p>
        </w:tc>
        <w:tc>
          <w:tcPr>
            <w:tcW w:w="4476" w:type="dxa"/>
          </w:tcPr>
          <w:p>
            <w:r>
              <w:t>-c num</w:t>
            </w:r>
          </w:p>
        </w:tc>
        <w:tc>
          <w:tcPr>
            <w:tcW w:w="4704" w:type="dxa"/>
          </w:tcPr>
          <w:p>
            <w:r>
              <w:t xml:space="preserve">This flag specifies the number of bytes to be displayed from the end of the file. It overrides the </w:t>
            </w:r>
            <w:r>
              <w:rPr>
                <w:b/>
                <w:bCs/>
              </w:rPr>
              <w:t>-n</w:t>
            </w:r>
            <w:r>
              <w:t xml:space="preserve"> flag.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710" w:type="dxa"/>
          </w:tcPr>
          <w:p>
            <w:pPr>
              <w:jc w:val="center"/>
            </w:pPr>
            <w:r>
              <w:t>3</w:t>
            </w:r>
          </w:p>
        </w:tc>
        <w:tc>
          <w:tcPr>
            <w:tcW w:w="4476" w:type="dxa"/>
          </w:tcPr>
          <w:p>
            <w:r>
              <w:t>-f</w:t>
            </w:r>
          </w:p>
        </w:tc>
        <w:tc>
          <w:tcPr>
            <w:tcW w:w="4704" w:type="dxa"/>
          </w:tcPr>
          <w:p>
            <w:r>
              <w:t xml:space="preserve">This flag causes </w:t>
            </w:r>
            <w:r>
              <w:rPr>
                <w:b/>
                <w:bCs/>
              </w:rPr>
              <w:t>tail</w:t>
            </w:r>
            <w:r>
              <w:t xml:space="preserve"> to output appended data in real-time as the file grows. It is commonly used to monitor log files or other continuously updated files.</w:t>
            </w:r>
          </w:p>
        </w:tc>
      </w:tr>
    </w:tbl>
    <w:p>
      <w:pPr>
        <w:pStyle w:val="4"/>
        <w:spacing w:before="120"/>
      </w:pPr>
      <w:r>
        <w:t>Implementation:</w:t>
      </w:r>
    </w:p>
    <w:p>
      <w:r>
        <w:drawing>
          <wp:inline distT="0" distB="0" distL="0" distR="0">
            <wp:extent cx="6286500" cy="2825115"/>
            <wp:effectExtent l="0" t="0" r="0" b="0"/>
            <wp:docPr id="122703855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03855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uppressAutoHyphens w:val="0"/>
      </w:pPr>
      <w:r>
        <w:br w:type="page"/>
      </w:r>
    </w:p>
    <w:p>
      <w:pPr>
        <w:pStyle w:val="3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UNIQ</w:t>
      </w:r>
    </w:p>
    <w:p>
      <w:pPr>
        <w:pStyle w:val="4"/>
        <w:spacing w:before="0"/>
      </w:pPr>
      <w:r>
        <w:t>Description:</w:t>
      </w:r>
    </w:p>
    <w:p>
      <w:r>
        <w:t xml:space="preserve">The </w:t>
      </w:r>
      <w:r>
        <w:rPr>
          <w:b/>
          <w:bCs/>
        </w:rPr>
        <w:t>uniq</w:t>
      </w:r>
      <w:r>
        <w:t xml:space="preserve"> command is used to filter out adjacent duplicate lines in a file. It's often used in conjunction with other commands in shell scripts or pipelines to process text data.</w:t>
      </w:r>
    </w:p>
    <w:tbl>
      <w:tblPr>
        <w:tblStyle w:val="9"/>
        <w:tblW w:w="9890" w:type="dxa"/>
        <w:tblInd w:w="-5" w:type="dxa"/>
        <w:tblBorders>
          <w:top w:val="single" w:color="999999" w:sz="4" w:space="0"/>
          <w:left w:val="single" w:color="999999" w:sz="4" w:space="0"/>
          <w:bottom w:val="single" w:color="999999" w:sz="4" w:space="0"/>
          <w:right w:val="single" w:color="999999" w:sz="4" w:space="0"/>
          <w:insideH w:val="single" w:color="999999" w:sz="4" w:space="0"/>
          <w:insideV w:val="single" w:color="9999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10"/>
        <w:gridCol w:w="4476"/>
        <w:gridCol w:w="4704"/>
      </w:tblGrid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710" w:type="dxa"/>
            <w:vAlign w:val="center"/>
          </w:tcPr>
          <w:p>
            <w:pPr>
              <w:jc w:val="center"/>
            </w:pPr>
            <w:r>
              <w:t>No.</w:t>
            </w:r>
          </w:p>
        </w:tc>
        <w:tc>
          <w:tcPr>
            <w:tcW w:w="4476" w:type="dxa"/>
            <w:vAlign w:val="center"/>
          </w:tcPr>
          <w:p>
            <w:pPr>
              <w:jc w:val="center"/>
            </w:pPr>
            <w:r>
              <w:t>Option</w:t>
            </w:r>
          </w:p>
        </w:tc>
        <w:tc>
          <w:tcPr>
            <w:tcW w:w="4704" w:type="dxa"/>
            <w:vAlign w:val="center"/>
          </w:tcPr>
          <w:p>
            <w:pPr>
              <w:jc w:val="center"/>
            </w:pPr>
            <w:r>
              <w:t>Description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710" w:type="dxa"/>
          </w:tcPr>
          <w:p>
            <w:pPr>
              <w:jc w:val="center"/>
            </w:pPr>
            <w:r>
              <w:t>1</w:t>
            </w:r>
          </w:p>
        </w:tc>
        <w:tc>
          <w:tcPr>
            <w:tcW w:w="4476" w:type="dxa"/>
          </w:tcPr>
          <w:p>
            <w:r>
              <w:t>-c</w:t>
            </w:r>
          </w:p>
        </w:tc>
        <w:tc>
          <w:tcPr>
            <w:tcW w:w="4704" w:type="dxa"/>
          </w:tcPr>
          <w:p>
            <w:r>
              <w:t>This flag precedes each line with a count of the number of times it occurred in the input. It's useful for counting duplicate lines.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710" w:type="dxa"/>
          </w:tcPr>
          <w:p>
            <w:pPr>
              <w:jc w:val="center"/>
            </w:pPr>
            <w:r>
              <w:t>2</w:t>
            </w:r>
          </w:p>
        </w:tc>
        <w:tc>
          <w:tcPr>
            <w:tcW w:w="4476" w:type="dxa"/>
          </w:tcPr>
          <w:p>
            <w:r>
              <w:t>-d</w:t>
            </w:r>
          </w:p>
        </w:tc>
        <w:tc>
          <w:tcPr>
            <w:tcW w:w="4704" w:type="dxa"/>
          </w:tcPr>
          <w:p>
            <w:r>
              <w:t>This flag suppresses unique lines and displays only those lines that appear more than once in the input.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710" w:type="dxa"/>
          </w:tcPr>
          <w:p>
            <w:pPr>
              <w:jc w:val="center"/>
            </w:pPr>
            <w:r>
              <w:t>3</w:t>
            </w:r>
          </w:p>
        </w:tc>
        <w:tc>
          <w:tcPr>
            <w:tcW w:w="4476" w:type="dxa"/>
          </w:tcPr>
          <w:p>
            <w:r>
              <w:t>-i</w:t>
            </w:r>
          </w:p>
        </w:tc>
        <w:tc>
          <w:tcPr>
            <w:tcW w:w="4704" w:type="dxa"/>
          </w:tcPr>
          <w:p>
            <w:r>
              <w:t xml:space="preserve">This flag makes </w:t>
            </w:r>
            <w:r>
              <w:rPr>
                <w:b/>
                <w:bCs/>
              </w:rPr>
              <w:t>uniq</w:t>
            </w:r>
            <w:r>
              <w:t xml:space="preserve"> treat uppercase and lowercase letters as equivalent, effectively ignoring differences in case when determining uniqueness.</w:t>
            </w:r>
          </w:p>
        </w:tc>
      </w:tr>
    </w:tbl>
    <w:p>
      <w:pPr>
        <w:pStyle w:val="4"/>
        <w:spacing w:before="120"/>
      </w:pPr>
      <w:r>
        <w:t>Implementation:</w:t>
      </w:r>
    </w:p>
    <w:p>
      <w:r>
        <w:drawing>
          <wp:inline distT="0" distB="0" distL="0" distR="0">
            <wp:extent cx="6286500" cy="2825115"/>
            <wp:effectExtent l="0" t="0" r="0" b="0"/>
            <wp:docPr id="99191065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910653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uppressAutoHyphens w:val="0"/>
      </w:pPr>
      <w:r>
        <w:br w:type="page"/>
      </w:r>
    </w:p>
    <w:p>
      <w:pPr>
        <w:pStyle w:val="3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FIND</w:t>
      </w:r>
    </w:p>
    <w:p>
      <w:pPr>
        <w:pStyle w:val="4"/>
        <w:spacing w:before="0"/>
      </w:pPr>
      <w:r>
        <w:t>Description:</w:t>
      </w:r>
    </w:p>
    <w:p>
      <w:r>
        <w:t xml:space="preserve">The </w:t>
      </w:r>
      <w:r>
        <w:rPr>
          <w:b/>
          <w:bCs/>
        </w:rPr>
        <w:t>find</w:t>
      </w:r>
      <w:r>
        <w:t xml:space="preserve"> command is used to search for files and directories within a specified directory hierarchy. It offers a wide range of options to customize the search criteria.</w:t>
      </w:r>
    </w:p>
    <w:tbl>
      <w:tblPr>
        <w:tblStyle w:val="9"/>
        <w:tblW w:w="9890" w:type="dxa"/>
        <w:tblInd w:w="-5" w:type="dxa"/>
        <w:tblBorders>
          <w:top w:val="single" w:color="999999" w:sz="4" w:space="0"/>
          <w:left w:val="single" w:color="999999" w:sz="4" w:space="0"/>
          <w:bottom w:val="single" w:color="999999" w:sz="4" w:space="0"/>
          <w:right w:val="single" w:color="999999" w:sz="4" w:space="0"/>
          <w:insideH w:val="single" w:color="999999" w:sz="4" w:space="0"/>
          <w:insideV w:val="single" w:color="9999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10"/>
        <w:gridCol w:w="4476"/>
        <w:gridCol w:w="4704"/>
      </w:tblGrid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710" w:type="dxa"/>
            <w:vAlign w:val="center"/>
          </w:tcPr>
          <w:p>
            <w:pPr>
              <w:jc w:val="center"/>
            </w:pPr>
            <w:r>
              <w:t>No.</w:t>
            </w:r>
          </w:p>
        </w:tc>
        <w:tc>
          <w:tcPr>
            <w:tcW w:w="4476" w:type="dxa"/>
            <w:vAlign w:val="center"/>
          </w:tcPr>
          <w:p>
            <w:pPr>
              <w:jc w:val="center"/>
            </w:pPr>
            <w:r>
              <w:t>Option</w:t>
            </w:r>
          </w:p>
        </w:tc>
        <w:tc>
          <w:tcPr>
            <w:tcW w:w="4704" w:type="dxa"/>
            <w:vAlign w:val="center"/>
          </w:tcPr>
          <w:p>
            <w:pPr>
              <w:jc w:val="center"/>
            </w:pPr>
            <w:r>
              <w:t>Description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710" w:type="dxa"/>
          </w:tcPr>
          <w:p>
            <w:pPr>
              <w:jc w:val="center"/>
            </w:pPr>
            <w:r>
              <w:t>1</w:t>
            </w:r>
          </w:p>
        </w:tc>
        <w:tc>
          <w:tcPr>
            <w:tcW w:w="4476" w:type="dxa"/>
          </w:tcPr>
          <w:p>
            <w:r>
              <w:t>-name pattern</w:t>
            </w:r>
          </w:p>
        </w:tc>
        <w:tc>
          <w:tcPr>
            <w:tcW w:w="4704" w:type="dxa"/>
          </w:tcPr>
          <w:p>
            <w:r>
              <w:t xml:space="preserve">This flag specifies the name pattern to search for. It supports wildcard characters like </w:t>
            </w:r>
            <w:r>
              <w:rPr>
                <w:b/>
                <w:bCs/>
              </w:rPr>
              <w:t>*</w:t>
            </w:r>
            <w:r>
              <w:t xml:space="preserve"> and </w:t>
            </w:r>
            <w:r>
              <w:rPr>
                <w:b/>
                <w:bCs/>
              </w:rPr>
              <w:t>?</w:t>
            </w:r>
            <w:r>
              <w:t xml:space="preserve"> for matching.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710" w:type="dxa"/>
          </w:tcPr>
          <w:p>
            <w:pPr>
              <w:jc w:val="center"/>
            </w:pPr>
            <w:r>
              <w:t>2</w:t>
            </w:r>
          </w:p>
        </w:tc>
        <w:tc>
          <w:tcPr>
            <w:tcW w:w="4476" w:type="dxa"/>
          </w:tcPr>
          <w:p>
            <w:r>
              <w:t>-type type</w:t>
            </w:r>
          </w:p>
        </w:tc>
        <w:tc>
          <w:tcPr>
            <w:tcW w:w="4704" w:type="dxa"/>
          </w:tcPr>
          <w:p>
            <w:r>
              <w:t>This flag specifies whether to search for files (</w:t>
            </w:r>
            <w:r>
              <w:rPr>
                <w:b/>
                <w:bCs/>
              </w:rPr>
              <w:t>f</w:t>
            </w:r>
            <w:r>
              <w:t>) or directories (</w:t>
            </w:r>
            <w:r>
              <w:rPr>
                <w:b/>
                <w:bCs/>
              </w:rPr>
              <w:t>d</w:t>
            </w:r>
            <w:r>
              <w:t>).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710" w:type="dxa"/>
          </w:tcPr>
          <w:p>
            <w:pPr>
              <w:jc w:val="center"/>
            </w:pPr>
            <w:r>
              <w:t>3</w:t>
            </w:r>
          </w:p>
        </w:tc>
        <w:tc>
          <w:tcPr>
            <w:tcW w:w="4476" w:type="dxa"/>
          </w:tcPr>
          <w:p>
            <w:r>
              <w:t>-mtime n</w:t>
            </w:r>
          </w:p>
        </w:tc>
        <w:tc>
          <w:tcPr>
            <w:tcW w:w="4704" w:type="dxa"/>
          </w:tcPr>
          <w:p>
            <w:r>
              <w:t>This flag searches for files that were modified approximately n days ago.</w:t>
            </w:r>
          </w:p>
        </w:tc>
      </w:tr>
    </w:tbl>
    <w:p>
      <w:pPr>
        <w:pStyle w:val="4"/>
        <w:spacing w:before="120"/>
      </w:pPr>
      <w:r>
        <w:t>Implementation:</w:t>
      </w:r>
    </w:p>
    <w:p>
      <w:r>
        <w:drawing>
          <wp:inline distT="0" distB="0" distL="0" distR="0">
            <wp:extent cx="6286500" cy="2825115"/>
            <wp:effectExtent l="0" t="0" r="0" b="0"/>
            <wp:docPr id="167354773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547738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uppressAutoHyphens w:val="0"/>
      </w:pPr>
      <w:r>
        <w:br w:type="page"/>
      </w:r>
    </w:p>
    <w:p>
      <w:pPr>
        <w:pStyle w:val="3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GREP</w:t>
      </w:r>
    </w:p>
    <w:p>
      <w:pPr>
        <w:pStyle w:val="4"/>
        <w:spacing w:before="0"/>
      </w:pPr>
      <w:r>
        <w:t>Description:</w:t>
      </w:r>
    </w:p>
    <w:p>
      <w:r>
        <w:t xml:space="preserve">The </w:t>
      </w:r>
      <w:r>
        <w:rPr>
          <w:b/>
          <w:bCs/>
        </w:rPr>
        <w:t>grep</w:t>
      </w:r>
      <w:r>
        <w:t xml:space="preserve"> command is used to search for patterns in text files. It's a powerful tool for extracting information from files based on specific criteria. </w:t>
      </w:r>
    </w:p>
    <w:tbl>
      <w:tblPr>
        <w:tblStyle w:val="9"/>
        <w:tblW w:w="9890" w:type="dxa"/>
        <w:tblInd w:w="-5" w:type="dxa"/>
        <w:tblBorders>
          <w:top w:val="single" w:color="999999" w:sz="4" w:space="0"/>
          <w:left w:val="single" w:color="999999" w:sz="4" w:space="0"/>
          <w:bottom w:val="single" w:color="999999" w:sz="4" w:space="0"/>
          <w:right w:val="single" w:color="999999" w:sz="4" w:space="0"/>
          <w:insideH w:val="single" w:color="999999" w:sz="4" w:space="0"/>
          <w:insideV w:val="single" w:color="9999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10"/>
        <w:gridCol w:w="4476"/>
        <w:gridCol w:w="4704"/>
      </w:tblGrid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710" w:type="dxa"/>
            <w:vAlign w:val="center"/>
          </w:tcPr>
          <w:p>
            <w:pPr>
              <w:jc w:val="center"/>
            </w:pPr>
            <w:r>
              <w:t>No.</w:t>
            </w:r>
          </w:p>
        </w:tc>
        <w:tc>
          <w:tcPr>
            <w:tcW w:w="4476" w:type="dxa"/>
            <w:vAlign w:val="center"/>
          </w:tcPr>
          <w:p>
            <w:pPr>
              <w:jc w:val="center"/>
            </w:pPr>
            <w:r>
              <w:t>Option</w:t>
            </w:r>
          </w:p>
        </w:tc>
        <w:tc>
          <w:tcPr>
            <w:tcW w:w="4704" w:type="dxa"/>
            <w:vAlign w:val="center"/>
          </w:tcPr>
          <w:p>
            <w:pPr>
              <w:jc w:val="center"/>
            </w:pPr>
            <w:r>
              <w:t>Description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710" w:type="dxa"/>
          </w:tcPr>
          <w:p>
            <w:pPr>
              <w:jc w:val="center"/>
            </w:pPr>
            <w:r>
              <w:t>1</w:t>
            </w:r>
          </w:p>
        </w:tc>
        <w:tc>
          <w:tcPr>
            <w:tcW w:w="4476" w:type="dxa"/>
          </w:tcPr>
          <w:p>
            <w:r>
              <w:t>-i</w:t>
            </w:r>
          </w:p>
        </w:tc>
        <w:tc>
          <w:tcPr>
            <w:tcW w:w="4704" w:type="dxa"/>
          </w:tcPr>
          <w:p>
            <w:r>
              <w:t xml:space="preserve">This flag makes </w:t>
            </w:r>
            <w:r>
              <w:rPr>
                <w:b/>
                <w:bCs/>
              </w:rPr>
              <w:t>grep</w:t>
            </w:r>
            <w:r>
              <w:t xml:space="preserve"> ignore case distinctions when searching for patterns. It treats uppercase and lowercase letters as equivalent.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710" w:type="dxa"/>
          </w:tcPr>
          <w:p>
            <w:pPr>
              <w:jc w:val="center"/>
            </w:pPr>
            <w:r>
              <w:t>2</w:t>
            </w:r>
          </w:p>
        </w:tc>
        <w:tc>
          <w:tcPr>
            <w:tcW w:w="4476" w:type="dxa"/>
          </w:tcPr>
          <w:p>
            <w:r>
              <w:t>-v</w:t>
            </w:r>
          </w:p>
        </w:tc>
        <w:tc>
          <w:tcPr>
            <w:tcW w:w="4704" w:type="dxa"/>
          </w:tcPr>
          <w:p>
            <w:r>
              <w:t>This flag selects lines that do not match the specified pattern.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710" w:type="dxa"/>
          </w:tcPr>
          <w:p>
            <w:pPr>
              <w:jc w:val="center"/>
            </w:pPr>
            <w:r>
              <w:t>3</w:t>
            </w:r>
          </w:p>
        </w:tc>
        <w:tc>
          <w:tcPr>
            <w:tcW w:w="4476" w:type="dxa"/>
          </w:tcPr>
          <w:p>
            <w:r>
              <w:t>-n</w:t>
            </w:r>
          </w:p>
        </w:tc>
        <w:tc>
          <w:tcPr>
            <w:tcW w:w="4704" w:type="dxa"/>
          </w:tcPr>
          <w:p>
            <w:r>
              <w:t>Prefix each line of output with the 1-based line number within its input file</w:t>
            </w:r>
          </w:p>
        </w:tc>
      </w:tr>
    </w:tbl>
    <w:p>
      <w:pPr>
        <w:pStyle w:val="4"/>
        <w:spacing w:before="120"/>
      </w:pPr>
      <w:r>
        <w:t>Implementation:</w:t>
      </w:r>
    </w:p>
    <w:p>
      <w:r>
        <w:drawing>
          <wp:inline distT="0" distB="0" distL="0" distR="0">
            <wp:extent cx="6286500" cy="2825115"/>
            <wp:effectExtent l="0" t="0" r="0" b="0"/>
            <wp:docPr id="15353090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309023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uppressAutoHyphens w:val="0"/>
      </w:pPr>
      <w:r>
        <w:br w:type="page"/>
      </w:r>
    </w:p>
    <w:p>
      <w:pPr>
        <w:pStyle w:val="3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NANO</w:t>
      </w:r>
    </w:p>
    <w:p>
      <w:pPr>
        <w:pStyle w:val="4"/>
        <w:spacing w:before="0"/>
      </w:pPr>
      <w:r>
        <w:t>Description:</w:t>
      </w:r>
    </w:p>
    <w:p>
      <w:r>
        <w:t xml:space="preserve">The </w:t>
      </w:r>
      <w:r>
        <w:rPr>
          <w:b/>
          <w:bCs/>
        </w:rPr>
        <w:t>nano</w:t>
      </w:r>
      <w:r>
        <w:t xml:space="preserve"> command is a simple text editor, commonly used for editing configuration files and other plain text files. It's particularly popular for its user-friendly interface, making it accessible even to users with minimal experience in command-line text editing. </w:t>
      </w:r>
    </w:p>
    <w:tbl>
      <w:tblPr>
        <w:tblStyle w:val="9"/>
        <w:tblW w:w="9890" w:type="dxa"/>
        <w:tblInd w:w="-5" w:type="dxa"/>
        <w:tblBorders>
          <w:top w:val="single" w:color="999999" w:sz="4" w:space="0"/>
          <w:left w:val="single" w:color="999999" w:sz="4" w:space="0"/>
          <w:bottom w:val="single" w:color="999999" w:sz="4" w:space="0"/>
          <w:right w:val="single" w:color="999999" w:sz="4" w:space="0"/>
          <w:insideH w:val="single" w:color="999999" w:sz="4" w:space="0"/>
          <w:insideV w:val="single" w:color="9999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10"/>
        <w:gridCol w:w="4476"/>
        <w:gridCol w:w="4704"/>
      </w:tblGrid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710" w:type="dxa"/>
            <w:vAlign w:val="center"/>
          </w:tcPr>
          <w:p>
            <w:pPr>
              <w:jc w:val="center"/>
            </w:pPr>
            <w:r>
              <w:t>No.</w:t>
            </w:r>
          </w:p>
        </w:tc>
        <w:tc>
          <w:tcPr>
            <w:tcW w:w="4476" w:type="dxa"/>
            <w:vAlign w:val="center"/>
          </w:tcPr>
          <w:p>
            <w:pPr>
              <w:jc w:val="center"/>
            </w:pPr>
            <w:r>
              <w:t>Option</w:t>
            </w:r>
          </w:p>
        </w:tc>
        <w:tc>
          <w:tcPr>
            <w:tcW w:w="4704" w:type="dxa"/>
            <w:vAlign w:val="center"/>
          </w:tcPr>
          <w:p>
            <w:pPr>
              <w:jc w:val="center"/>
            </w:pPr>
            <w:r>
              <w:t>Description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710" w:type="dxa"/>
          </w:tcPr>
          <w:p>
            <w:pPr>
              <w:jc w:val="center"/>
            </w:pPr>
            <w:r>
              <w:t>1</w:t>
            </w:r>
          </w:p>
        </w:tc>
        <w:tc>
          <w:tcPr>
            <w:tcW w:w="4476" w:type="dxa"/>
          </w:tcPr>
          <w:p>
            <w:r>
              <w:t>-h</w:t>
            </w:r>
          </w:p>
        </w:tc>
        <w:tc>
          <w:tcPr>
            <w:tcW w:w="4704" w:type="dxa"/>
          </w:tcPr>
          <w:p>
            <w:r>
              <w:t xml:space="preserve">This flag prints a brief usage summary and a list of available options for the </w:t>
            </w:r>
            <w:r>
              <w:rPr>
                <w:b/>
                <w:bCs/>
              </w:rPr>
              <w:t>nano</w:t>
            </w:r>
            <w:r>
              <w:t xml:space="preserve"> command.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710" w:type="dxa"/>
          </w:tcPr>
          <w:p>
            <w:pPr>
              <w:jc w:val="center"/>
            </w:pPr>
            <w:r>
              <w:t>2</w:t>
            </w:r>
          </w:p>
        </w:tc>
        <w:tc>
          <w:tcPr>
            <w:tcW w:w="4476" w:type="dxa"/>
          </w:tcPr>
          <w:p>
            <w:r>
              <w:t>-V</w:t>
            </w:r>
          </w:p>
        </w:tc>
        <w:tc>
          <w:tcPr>
            <w:tcW w:w="4704" w:type="dxa"/>
          </w:tcPr>
          <w:p>
            <w:r>
              <w:t xml:space="preserve">This flag prints the version number of the </w:t>
            </w:r>
            <w:r>
              <w:rPr>
                <w:b/>
                <w:bCs/>
              </w:rPr>
              <w:t>nano</w:t>
            </w:r>
            <w:r>
              <w:t xml:space="preserve"> command.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710" w:type="dxa"/>
          </w:tcPr>
          <w:p>
            <w:pPr>
              <w:jc w:val="center"/>
            </w:pPr>
            <w:r>
              <w:t>3</w:t>
            </w:r>
          </w:p>
        </w:tc>
        <w:tc>
          <w:tcPr>
            <w:tcW w:w="4476" w:type="dxa"/>
          </w:tcPr>
          <w:p>
            <w:r>
              <w:t>-c</w:t>
            </w:r>
          </w:p>
        </w:tc>
        <w:tc>
          <w:tcPr>
            <w:tcW w:w="4704" w:type="dxa"/>
          </w:tcPr>
          <w:p>
            <w:r>
              <w:t xml:space="preserve">This flag makes </w:t>
            </w:r>
            <w:r>
              <w:rPr>
                <w:b/>
                <w:bCs/>
              </w:rPr>
              <w:t>nano</w:t>
            </w:r>
            <w:r>
              <w:t xml:space="preserve"> always display the current cursor position in the status bar.</w:t>
            </w:r>
          </w:p>
        </w:tc>
      </w:tr>
    </w:tbl>
    <w:p>
      <w:pPr>
        <w:pStyle w:val="4"/>
        <w:spacing w:before="120"/>
      </w:pPr>
      <w:r>
        <w:t>Implementation:</w:t>
      </w:r>
    </w:p>
    <w:p>
      <w:r>
        <w:drawing>
          <wp:inline distT="0" distB="0" distL="0" distR="0">
            <wp:extent cx="6286500" cy="2825115"/>
            <wp:effectExtent l="0" t="0" r="0" b="0"/>
            <wp:docPr id="196297287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972872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uppressAutoHyphens w:val="0"/>
      </w:pPr>
      <w:r>
        <w:br w:type="page"/>
      </w:r>
    </w:p>
    <w:p>
      <w:pPr>
        <w:pStyle w:val="3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SU</w:t>
      </w:r>
    </w:p>
    <w:p>
      <w:pPr>
        <w:pStyle w:val="4"/>
        <w:spacing w:before="0"/>
      </w:pPr>
      <w:r>
        <w:t>Description:</w:t>
      </w:r>
    </w:p>
    <w:p>
      <w:r>
        <w:t xml:space="preserve">The </w:t>
      </w:r>
      <w:r>
        <w:rPr>
          <w:b/>
          <w:bCs/>
        </w:rPr>
        <w:t>su</w:t>
      </w:r>
      <w:r>
        <w:t xml:space="preserve"> command is used to switch to another user account. It stands for "substitute user" or "switch user".</w:t>
      </w:r>
    </w:p>
    <w:tbl>
      <w:tblPr>
        <w:tblStyle w:val="9"/>
        <w:tblW w:w="9890" w:type="dxa"/>
        <w:tblInd w:w="-5" w:type="dxa"/>
        <w:tblBorders>
          <w:top w:val="single" w:color="999999" w:sz="4" w:space="0"/>
          <w:left w:val="single" w:color="999999" w:sz="4" w:space="0"/>
          <w:bottom w:val="single" w:color="999999" w:sz="4" w:space="0"/>
          <w:right w:val="single" w:color="999999" w:sz="4" w:space="0"/>
          <w:insideH w:val="single" w:color="999999" w:sz="4" w:space="0"/>
          <w:insideV w:val="single" w:color="9999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10"/>
        <w:gridCol w:w="4476"/>
        <w:gridCol w:w="4704"/>
      </w:tblGrid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710" w:type="dxa"/>
            <w:vAlign w:val="center"/>
          </w:tcPr>
          <w:p>
            <w:pPr>
              <w:jc w:val="center"/>
            </w:pPr>
            <w:r>
              <w:t>No.</w:t>
            </w:r>
          </w:p>
        </w:tc>
        <w:tc>
          <w:tcPr>
            <w:tcW w:w="4476" w:type="dxa"/>
            <w:vAlign w:val="center"/>
          </w:tcPr>
          <w:p>
            <w:pPr>
              <w:jc w:val="center"/>
            </w:pPr>
            <w:r>
              <w:t>Option</w:t>
            </w:r>
          </w:p>
        </w:tc>
        <w:tc>
          <w:tcPr>
            <w:tcW w:w="4704" w:type="dxa"/>
            <w:vAlign w:val="center"/>
          </w:tcPr>
          <w:p>
            <w:pPr>
              <w:jc w:val="center"/>
            </w:pPr>
            <w:r>
              <w:t>Description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710" w:type="dxa"/>
          </w:tcPr>
          <w:p>
            <w:pPr>
              <w:jc w:val="center"/>
            </w:pPr>
            <w:r>
              <w:t>1</w:t>
            </w:r>
          </w:p>
        </w:tc>
        <w:tc>
          <w:tcPr>
            <w:tcW w:w="4476" w:type="dxa"/>
          </w:tcPr>
          <w:p>
            <w:r>
              <w:t>-l</w:t>
            </w:r>
          </w:p>
        </w:tc>
        <w:tc>
          <w:tcPr>
            <w:tcW w:w="4704" w:type="dxa"/>
          </w:tcPr>
          <w:p>
            <w:r>
              <w:t xml:space="preserve">This flag starts a login shell with the target user's environment, similar to the </w:t>
            </w:r>
            <w:r>
              <w:rPr>
                <w:b/>
                <w:bCs/>
              </w:rPr>
              <w:t>-</w:t>
            </w:r>
            <w:r>
              <w:t xml:space="preserve"> flag. It's equivalent to </w:t>
            </w:r>
            <w:r>
              <w:rPr>
                <w:b/>
                <w:bCs/>
              </w:rPr>
              <w:t>su - username</w:t>
            </w:r>
            <w:r>
              <w:t>.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710" w:type="dxa"/>
          </w:tcPr>
          <w:p>
            <w:pPr>
              <w:jc w:val="center"/>
            </w:pPr>
            <w:r>
              <w:t>2</w:t>
            </w:r>
          </w:p>
        </w:tc>
        <w:tc>
          <w:tcPr>
            <w:tcW w:w="4476" w:type="dxa"/>
          </w:tcPr>
          <w:p>
            <w:r>
              <w:t>-m</w:t>
            </w:r>
          </w:p>
        </w:tc>
        <w:tc>
          <w:tcPr>
            <w:tcW w:w="4704" w:type="dxa"/>
          </w:tcPr>
          <w:p>
            <w:r>
              <w:t>This flag preserves the current environment variables when switching to the target user's account. It prevents the target user's environment variables from overriding the current ones.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710" w:type="dxa"/>
          </w:tcPr>
          <w:p>
            <w:pPr>
              <w:jc w:val="center"/>
            </w:pPr>
            <w:r>
              <w:t>3</w:t>
            </w:r>
          </w:p>
        </w:tc>
        <w:tc>
          <w:tcPr>
            <w:tcW w:w="4476" w:type="dxa"/>
          </w:tcPr>
          <w:p>
            <w:r>
              <w:t>-p</w:t>
            </w:r>
          </w:p>
        </w:tc>
        <w:tc>
          <w:tcPr>
            <w:tcW w:w="4704" w:type="dxa"/>
          </w:tcPr>
          <w:p>
            <w:r>
              <w:t>This flag uses the target user's login prompt when switching to their account, instead of the default prompt.</w:t>
            </w:r>
          </w:p>
        </w:tc>
      </w:tr>
    </w:tbl>
    <w:p>
      <w:pPr>
        <w:pStyle w:val="4"/>
        <w:spacing w:before="120"/>
      </w:pPr>
      <w:r>
        <w:t>Implementation:</w:t>
      </w:r>
    </w:p>
    <w:p>
      <w:r>
        <w:drawing>
          <wp:inline distT="0" distB="0" distL="0" distR="0">
            <wp:extent cx="6286500" cy="2825115"/>
            <wp:effectExtent l="0" t="0" r="0" b="0"/>
            <wp:docPr id="194126879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26879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color w:val="FF0000"/>
        </w:rPr>
      </w:pPr>
    </w:p>
    <w:p>
      <w:pPr>
        <w:rPr>
          <w:b/>
          <w:color w:val="FF0000"/>
        </w:rPr>
      </w:pPr>
    </w:p>
    <w:p>
      <w:pPr>
        <w:rPr>
          <w:b/>
          <w:color w:val="FF0000"/>
        </w:rPr>
      </w:pPr>
    </w:p>
    <w:p>
      <w:pPr>
        <w:rPr>
          <w:b/>
          <w:color w:val="FF0000"/>
        </w:rPr>
      </w:pPr>
    </w:p>
    <w:sectPr>
      <w:headerReference r:id="rId5" w:type="default"/>
      <w:footerReference r:id="rId6" w:type="default"/>
      <w:pgSz w:w="11909" w:h="16834"/>
      <w:pgMar w:top="1267" w:right="569" w:bottom="1080" w:left="1440" w:header="720" w:footer="144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Droid Sans Fallback">
    <w:altName w:val="Segoe UI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Franklin Gothic Heavy">
    <w:panose1 w:val="020B0903020102020204"/>
    <w:charset w:val="00"/>
    <w:family w:val="swiss"/>
    <w:pitch w:val="default"/>
    <w:sig w:usb0="00000287" w:usb1="00000000" w:usb2="00000000" w:usb3="00000000" w:csb0="2000009F" w:csb1="DFD7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after="0"/>
    </w:pPr>
  </w:p>
  <w:tbl>
    <w:tblPr>
      <w:tblStyle w:val="55"/>
      <w:tblW w:w="9900" w:type="dxa"/>
      <w:tblInd w:w="0" w:type="dxa"/>
      <w:tblBorders>
        <w:top w:val="single" w:color="808080" w:sz="18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single" w:color="808080" w:sz="18" w:space="0"/>
      </w:tblBorders>
      <w:tblLayout w:type="fixed"/>
      <w:tblCellMar>
        <w:top w:w="0" w:type="dxa"/>
        <w:left w:w="115" w:type="dxa"/>
        <w:bottom w:w="0" w:type="dxa"/>
        <w:right w:w="115" w:type="dxa"/>
      </w:tblCellMar>
    </w:tblPr>
    <w:tblGrid>
      <w:gridCol w:w="598"/>
      <w:gridCol w:w="9302"/>
    </w:tblGrid>
    <w:tr>
      <w:tblPrEx>
        <w:tblBorders>
          <w:top w:val="single" w:color="808080" w:sz="18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single" w:color="808080" w:sz="18" w:space="0"/>
        </w:tblBorders>
        <w:tblCellMar>
          <w:top w:w="0" w:type="dxa"/>
          <w:left w:w="115" w:type="dxa"/>
          <w:bottom w:w="0" w:type="dxa"/>
          <w:right w:w="115" w:type="dxa"/>
        </w:tblCellMar>
      </w:tblPrEx>
      <w:trPr>
        <w:trHeight w:val="402" w:hRule="atLeast"/>
      </w:trPr>
      <w:tc>
        <w:tcPr>
          <w:tcW w:w="598" w:type="dxa"/>
        </w:tcPr>
        <w:p>
          <w:pPr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eastAsia="Calibri"/>
              <w:b/>
              <w:color w:val="000000"/>
              <w:sz w:val="32"/>
              <w:szCs w:val="32"/>
            </w:rPr>
          </w:pPr>
          <w:r>
            <w:rPr>
              <w:rFonts w:eastAsia="Calibri"/>
              <w:color w:val="000000"/>
            </w:rPr>
            <w:fldChar w:fldCharType="begin"/>
          </w:r>
          <w:r>
            <w:rPr>
              <w:rFonts w:eastAsia="Calibri"/>
              <w:color w:val="000000"/>
            </w:rPr>
            <w:instrText xml:space="preserve">PAGE</w:instrText>
          </w:r>
          <w:r>
            <w:rPr>
              <w:rFonts w:eastAsia="Calibri"/>
              <w:color w:val="000000"/>
            </w:rPr>
            <w:fldChar w:fldCharType="separate"/>
          </w:r>
          <w:r>
            <w:rPr>
              <w:rFonts w:eastAsia="Calibri"/>
              <w:color w:val="000000"/>
            </w:rPr>
            <w:t>1</w:t>
          </w:r>
          <w:r>
            <w:rPr>
              <w:rFonts w:eastAsia="Calibri"/>
              <w:color w:val="000000"/>
            </w:rPr>
            <w:fldChar w:fldCharType="end"/>
          </w:r>
        </w:p>
      </w:tc>
      <w:tc>
        <w:tcPr>
          <w:tcW w:w="9302" w:type="dxa"/>
        </w:tcPr>
        <w:p>
          <w:pPr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tabs>
              <w:tab w:val="center" w:pos="4680"/>
              <w:tab w:val="right" w:pos="9360"/>
            </w:tabs>
            <w:spacing w:after="0" w:line="240" w:lineRule="auto"/>
            <w:jc w:val="center"/>
            <w:rPr>
              <w:rFonts w:eastAsia="Calibri"/>
              <w:color w:val="000000"/>
            </w:rPr>
          </w:pPr>
        </w:p>
      </w:tc>
    </w:tr>
  </w:tbl>
  <w:p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680"/>
        <w:tab w:val="right" w:pos="9360"/>
      </w:tabs>
      <w:spacing w:after="0" w:line="240" w:lineRule="auto"/>
      <w:rPr>
        <w:rFonts w:eastAsia="Calibri"/>
        <w:color w:val="000000"/>
      </w:rPr>
    </w:pPr>
    <w: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228600</wp:posOffset>
              </wp:positionH>
              <wp:positionV relativeFrom="paragraph">
                <wp:posOffset>-278765</wp:posOffset>
              </wp:positionV>
              <wp:extent cx="2840355" cy="352425"/>
              <wp:effectExtent l="0" t="0" r="0" b="0"/>
              <wp:wrapNone/>
              <wp:docPr id="16" name="Rectangle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930585" y="3608550"/>
                        <a:ext cx="283083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line="275" w:lineRule="auto"/>
                            <w:rPr>
                              <w:rFonts w:hint="default"/>
                              <w:lang w:val="en-US"/>
                            </w:rPr>
                          </w:pPr>
                          <w:r>
                            <w:rPr>
                              <w:rFonts w:eastAsia="Calibri"/>
                              <w:b/>
                              <w:color w:val="000000"/>
                            </w:rPr>
                            <w:t xml:space="preserve">   Enrollment No: - </w:t>
                          </w:r>
                          <w:r>
                            <w:rPr>
                              <w:rFonts w:eastAsia="Calibri"/>
                              <w:b/>
                              <w:color w:val="FF0000"/>
                            </w:rPr>
                            <w:t>2101010110</w:t>
                          </w:r>
                          <w:r>
                            <w:rPr>
                              <w:rFonts w:hint="default" w:eastAsia="Calibri"/>
                              <w:b/>
                              <w:color w:val="FF0000"/>
                              <w:lang w:val="en-US"/>
                            </w:rPr>
                            <w:t>8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16" o:spid="_x0000_s1026" o:spt="1" style="position:absolute;left:0pt;margin-left:18pt;margin-top:-21.95pt;height:27.75pt;width:223.65pt;z-index:251660288;mso-width-relative:page;mso-height-relative:page;" filled="f" stroked="f" coordsize="21600,21600" o:gfxdata="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A/Q/Uk1QAAAAkB&#10;AAAPAAAAAAAAAAEAIAAAACIAAABkcnMvZG93bnJldi54bWxQSwECFAAUAAAACACHTuJAuj677+UB&#10;AADQAwAADgAAAAAAAAABACAAAAAkAQAAZHJzL2Uyb0RvYy54bWxQSwUGAAAAAAYABgBZAQAAewUA&#10;AAAA&#10;">
              <v:fill on="f" focussize="0,0"/>
              <v:stroke on="f"/>
              <v:imagedata o:title=""/>
              <o:lock v:ext="edit" aspectratio="f"/>
              <v:textbox inset="7.1988188976378pt,3.59842519685039pt,7.1988188976378pt,3.59842519685039pt">
                <w:txbxContent>
                  <w:p>
                    <w:pPr>
                      <w:spacing w:line="275" w:lineRule="auto"/>
                      <w:rPr>
                        <w:rFonts w:hint="default"/>
                        <w:lang w:val="en-US"/>
                      </w:rPr>
                    </w:pPr>
                    <w:r>
                      <w:rPr>
                        <w:rFonts w:eastAsia="Calibri"/>
                        <w:b/>
                        <w:color w:val="000000"/>
                      </w:rPr>
                      <w:t xml:space="preserve">   Enrollment No: - </w:t>
                    </w:r>
                    <w:r>
                      <w:rPr>
                        <w:rFonts w:eastAsia="Calibri"/>
                        <w:b/>
                        <w:color w:val="FF0000"/>
                      </w:rPr>
                      <w:t>2101010110</w:t>
                    </w:r>
                    <w:r>
                      <w:rPr>
                        <w:rFonts w:hint="default" w:eastAsia="Calibri"/>
                        <w:b/>
                        <w:color w:val="FF0000"/>
                        <w:lang w:val="en-US"/>
                      </w:rPr>
                      <w:t>8</w:t>
                    </w:r>
                  </w:p>
                </w:txbxContent>
              </v:textbox>
            </v:rect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4076700</wp:posOffset>
              </wp:positionH>
              <wp:positionV relativeFrom="paragraph">
                <wp:posOffset>-278765</wp:posOffset>
              </wp:positionV>
              <wp:extent cx="2251710" cy="304800"/>
              <wp:effectExtent l="0" t="0" r="0" b="0"/>
              <wp:wrapNone/>
              <wp:docPr id="15" name="Rectangle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224908" y="3632363"/>
                        <a:ext cx="224218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line="275" w:lineRule="auto"/>
                            <w:jc w:val="center"/>
                          </w:pPr>
                          <w:r>
                            <w:rPr>
                              <w:rFonts w:eastAsia="Calibri"/>
                              <w:b/>
                              <w:color w:val="000000"/>
                            </w:rPr>
                            <w:t xml:space="preserve">| </w:t>
                          </w:r>
                          <w:r>
                            <w:rPr>
                              <w:rFonts w:eastAsia="Calibri"/>
                              <w:b/>
                              <w:color w:val="FF0000"/>
                            </w:rPr>
                            <w:t>CSE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15" o:spid="_x0000_s1026" o:spt="1" style="position:absolute;left:0pt;margin-left:321pt;margin-top:-21.95pt;height:24pt;width:177.3pt;z-index:251661312;mso-width-relative:page;mso-height-relative:page;" filled="f" stroked="f" coordsize="21600,21600" o:gfxdata="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ADl83zVAAAA&#10;CQEAAA8AAAAAAAAAAQAgAAAAIgAAAGRycy9kb3ducmV2LnhtbFBLAQIUABQAAAAIAIdO4kC1tY5h&#10;5wEAANADAAAOAAAAAAAAAAEAIAAAACQBAABkcnMvZTJvRG9jLnhtbFBLBQYAAAAABgAGAFkBAAB9&#10;BQAAAAA=&#10;">
              <v:fill on="f" focussize="0,0"/>
              <v:stroke on="f"/>
              <v:imagedata o:title=""/>
              <o:lock v:ext="edit" aspectratio="f"/>
              <v:textbox inset="7.1988188976378pt,3.59842519685039pt,7.1988188976378pt,3.59842519685039pt">
                <w:txbxContent>
                  <w:p>
                    <w:pPr>
                      <w:spacing w:line="275" w:lineRule="auto"/>
                      <w:jc w:val="center"/>
                    </w:pPr>
                    <w:r>
                      <w:rPr>
                        <w:rFonts w:eastAsia="Calibri"/>
                        <w:b/>
                        <w:color w:val="000000"/>
                      </w:rPr>
                      <w:t xml:space="preserve">| </w:t>
                    </w:r>
                    <w:r>
                      <w:rPr>
                        <w:rFonts w:eastAsia="Calibri"/>
                        <w:b/>
                        <w:color w:val="FF0000"/>
                      </w:rPr>
                      <w:t>CSE</w:t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jc w:val="center"/>
    </w:pPr>
    <w:r>
      <w:t>Darshan Institute of Engineering &amp; Technology</w:t>
    </w:r>
  </w:p>
  <w:p>
    <w:pPr>
      <w:pStyle w:val="2"/>
      <w:jc w:val="center"/>
      <w:rPr>
        <w:sz w:val="24"/>
        <w:szCs w:val="24"/>
      </w:rPr>
    </w:pPr>
    <w:r>
      <w:rPr>
        <w:sz w:val="24"/>
        <w:szCs w:val="24"/>
      </w:rPr>
      <w:t>Semester 6</w:t>
    </w:r>
    <w:r>
      <w:rPr>
        <w:sz w:val="24"/>
        <w:szCs w:val="24"/>
        <w:vertAlign w:val="superscript"/>
      </w:rPr>
      <w:t>th</w:t>
    </w:r>
    <w:r>
      <w:rPr>
        <w:sz w:val="24"/>
        <w:szCs w:val="24"/>
      </w:rPr>
      <w:t xml:space="preserve"> | Practical Assignment | Cyber Security (2101CS632)</w:t>
    </w:r>
  </w:p>
  <w:p>
    <w:pPr>
      <w:pStyle w:val="2"/>
      <w:jc w:val="center"/>
      <w:rPr>
        <w:sz w:val="24"/>
        <w:szCs w:val="24"/>
      </w:rPr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50800</wp:posOffset>
              </wp:positionV>
              <wp:extent cx="6278245" cy="50800"/>
              <wp:effectExtent l="0" t="0" r="0" b="0"/>
              <wp:wrapNone/>
              <wp:docPr id="17" name="Straight Arrow Connector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rot="10800000" flipH="1">
                        <a:off x="2216357" y="3764051"/>
                        <a:ext cx="6259286" cy="31898"/>
                      </a:xfrm>
                      <a:prstGeom prst="straightConnector1">
                        <a:avLst/>
                      </a:prstGeom>
                      <a:noFill/>
                      <a:ln w="19050" cap="flat" cmpd="sng">
                        <a:solidFill>
                          <a:schemeClr val="dk1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id="_x0000_s1026" o:spid="_x0000_s1026" o:spt="32" type="#_x0000_t32" style="position:absolute;left:0pt;flip:x;margin-left:0pt;margin-top:4pt;height:4pt;width:494.35pt;rotation:11796480f;z-index:251659264;mso-width-relative:page;mso-height-relative:page;" filled="f" stroked="t" coordsize="21600,21600" o:gfxdata="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I48B+NIAAAAFAQAADwAAAAAAAAABACAAAAAi&#10;AAAAZHJzL2Rvd25yZXYueG1sUEsBAhQAFAAAAAgAh07iQJnqQ7MQAgAALAQAAA4AAAAAAAAAAQAg&#10;AAAAIQEAAGRycy9lMm9Eb2MueG1sUEsFBgAAAAAGAAYAWQEAAKMFAAAAAA==&#10;">
              <v:fill on="f" focussize="0,0"/>
              <v:stroke weight="1.5pt" color="#000000 [3200]" joinstyle="round" startarrowwidth="narrow" startarrowlength="short" endarrowwidth="narrow" endarrowlength="short"/>
              <v:imagedata o:title=""/>
              <o:lock v:ext="edit" aspectratio="f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51A332F"/>
    <w:multiLevelType w:val="multilevel"/>
    <w:tmpl w:val="151A332F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4047544"/>
    <w:multiLevelType w:val="multilevel"/>
    <w:tmpl w:val="54047544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0">
      <w:start w:val="1"/>
      <w:numFmt w:val="lowerLetter"/>
      <w:lvlText w:val="%2."/>
      <w:lvlJc w:val="left"/>
      <w:pPr>
        <w:ind w:left="1080" w:hanging="360"/>
      </w:pPr>
    </w:lvl>
    <w:lvl w:ilvl="2" w:tentative="0">
      <w:start w:val="1"/>
      <w:numFmt w:val="lowerRoman"/>
      <w:lvlText w:val="%3."/>
      <w:lvlJc w:val="right"/>
      <w:pPr>
        <w:ind w:left="1800" w:hanging="180"/>
      </w:pPr>
    </w:lvl>
    <w:lvl w:ilvl="3" w:tentative="0">
      <w:start w:val="1"/>
      <w:numFmt w:val="decimal"/>
      <w:lvlText w:val="%4."/>
      <w:lvlJc w:val="left"/>
      <w:pPr>
        <w:ind w:left="2520" w:hanging="360"/>
      </w:pPr>
    </w:lvl>
    <w:lvl w:ilvl="4" w:tentative="0">
      <w:start w:val="1"/>
      <w:numFmt w:val="lowerLetter"/>
      <w:lvlText w:val="%5."/>
      <w:lvlJc w:val="left"/>
      <w:pPr>
        <w:ind w:left="3240" w:hanging="360"/>
      </w:pPr>
    </w:lvl>
    <w:lvl w:ilvl="5" w:tentative="0">
      <w:start w:val="1"/>
      <w:numFmt w:val="lowerRoman"/>
      <w:lvlText w:val="%6."/>
      <w:lvlJc w:val="right"/>
      <w:pPr>
        <w:ind w:left="3960" w:hanging="180"/>
      </w:pPr>
    </w:lvl>
    <w:lvl w:ilvl="6" w:tentative="0">
      <w:start w:val="1"/>
      <w:numFmt w:val="decimal"/>
      <w:lvlText w:val="%7."/>
      <w:lvlJc w:val="left"/>
      <w:pPr>
        <w:ind w:left="4680" w:hanging="360"/>
      </w:pPr>
    </w:lvl>
    <w:lvl w:ilvl="7" w:tentative="0">
      <w:start w:val="1"/>
      <w:numFmt w:val="lowerLetter"/>
      <w:lvlText w:val="%8."/>
      <w:lvlJc w:val="left"/>
      <w:pPr>
        <w:ind w:left="5400" w:hanging="360"/>
      </w:pPr>
    </w:lvl>
    <w:lvl w:ilvl="8" w:tentative="0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72D4"/>
    <w:rsid w:val="00011E2B"/>
    <w:rsid w:val="000423AD"/>
    <w:rsid w:val="00052BC9"/>
    <w:rsid w:val="0005473D"/>
    <w:rsid w:val="0008336B"/>
    <w:rsid w:val="00094EB7"/>
    <w:rsid w:val="0009737A"/>
    <w:rsid w:val="000B6155"/>
    <w:rsid w:val="000C6985"/>
    <w:rsid w:val="000C6D89"/>
    <w:rsid w:val="000C7579"/>
    <w:rsid w:val="000D7309"/>
    <w:rsid w:val="00106318"/>
    <w:rsid w:val="00140A4B"/>
    <w:rsid w:val="00171E21"/>
    <w:rsid w:val="00192B76"/>
    <w:rsid w:val="00197F1D"/>
    <w:rsid w:val="001A4CD6"/>
    <w:rsid w:val="001B1571"/>
    <w:rsid w:val="001B42F7"/>
    <w:rsid w:val="001B65C1"/>
    <w:rsid w:val="001B7182"/>
    <w:rsid w:val="001C3AA1"/>
    <w:rsid w:val="001D707E"/>
    <w:rsid w:val="001F2432"/>
    <w:rsid w:val="002054BB"/>
    <w:rsid w:val="00220F13"/>
    <w:rsid w:val="0027589D"/>
    <w:rsid w:val="0028366D"/>
    <w:rsid w:val="00283C11"/>
    <w:rsid w:val="00290C2F"/>
    <w:rsid w:val="002978B6"/>
    <w:rsid w:val="002B207E"/>
    <w:rsid w:val="002B6EC5"/>
    <w:rsid w:val="00315CB1"/>
    <w:rsid w:val="003215DC"/>
    <w:rsid w:val="00325696"/>
    <w:rsid w:val="00334684"/>
    <w:rsid w:val="003649AE"/>
    <w:rsid w:val="00382700"/>
    <w:rsid w:val="00397D32"/>
    <w:rsid w:val="003C4E31"/>
    <w:rsid w:val="003D1295"/>
    <w:rsid w:val="003E7538"/>
    <w:rsid w:val="003F4F39"/>
    <w:rsid w:val="0042550E"/>
    <w:rsid w:val="00435333"/>
    <w:rsid w:val="00440D95"/>
    <w:rsid w:val="00453884"/>
    <w:rsid w:val="00465664"/>
    <w:rsid w:val="00472E20"/>
    <w:rsid w:val="00476111"/>
    <w:rsid w:val="00485088"/>
    <w:rsid w:val="004E162E"/>
    <w:rsid w:val="004E579E"/>
    <w:rsid w:val="004E7CE4"/>
    <w:rsid w:val="0052164B"/>
    <w:rsid w:val="00545BB6"/>
    <w:rsid w:val="00583950"/>
    <w:rsid w:val="005B36C2"/>
    <w:rsid w:val="005B4C7D"/>
    <w:rsid w:val="005C054F"/>
    <w:rsid w:val="005C08E4"/>
    <w:rsid w:val="005D13E8"/>
    <w:rsid w:val="00627E8E"/>
    <w:rsid w:val="006479B6"/>
    <w:rsid w:val="00656906"/>
    <w:rsid w:val="00661007"/>
    <w:rsid w:val="006610C7"/>
    <w:rsid w:val="006B7022"/>
    <w:rsid w:val="006C28B3"/>
    <w:rsid w:val="006C41AE"/>
    <w:rsid w:val="006D5BF2"/>
    <w:rsid w:val="006E0E83"/>
    <w:rsid w:val="006E3FF4"/>
    <w:rsid w:val="006F2AED"/>
    <w:rsid w:val="006F3B95"/>
    <w:rsid w:val="0070565E"/>
    <w:rsid w:val="0072128D"/>
    <w:rsid w:val="00722762"/>
    <w:rsid w:val="00730317"/>
    <w:rsid w:val="007436B1"/>
    <w:rsid w:val="00753F66"/>
    <w:rsid w:val="00754A4D"/>
    <w:rsid w:val="007A51EA"/>
    <w:rsid w:val="007C3AA8"/>
    <w:rsid w:val="007E12DA"/>
    <w:rsid w:val="007E1F2F"/>
    <w:rsid w:val="007F7576"/>
    <w:rsid w:val="008236DC"/>
    <w:rsid w:val="00841D5D"/>
    <w:rsid w:val="00893FCA"/>
    <w:rsid w:val="008A0E43"/>
    <w:rsid w:val="008A4F10"/>
    <w:rsid w:val="008B43BA"/>
    <w:rsid w:val="008B74F4"/>
    <w:rsid w:val="008E2DC0"/>
    <w:rsid w:val="008F5E3E"/>
    <w:rsid w:val="0091230D"/>
    <w:rsid w:val="00926D81"/>
    <w:rsid w:val="009455BA"/>
    <w:rsid w:val="009542D4"/>
    <w:rsid w:val="009614D2"/>
    <w:rsid w:val="00980B0B"/>
    <w:rsid w:val="00986FF4"/>
    <w:rsid w:val="00996D25"/>
    <w:rsid w:val="009E2DB9"/>
    <w:rsid w:val="00A02ED0"/>
    <w:rsid w:val="00A037E5"/>
    <w:rsid w:val="00A1074A"/>
    <w:rsid w:val="00A14660"/>
    <w:rsid w:val="00A31EE3"/>
    <w:rsid w:val="00A323B5"/>
    <w:rsid w:val="00A333AF"/>
    <w:rsid w:val="00A4407E"/>
    <w:rsid w:val="00A45263"/>
    <w:rsid w:val="00A668F3"/>
    <w:rsid w:val="00A734AE"/>
    <w:rsid w:val="00AC32D6"/>
    <w:rsid w:val="00B005BE"/>
    <w:rsid w:val="00B101D0"/>
    <w:rsid w:val="00B15B30"/>
    <w:rsid w:val="00B22FB5"/>
    <w:rsid w:val="00B23E49"/>
    <w:rsid w:val="00B254F6"/>
    <w:rsid w:val="00B40CAF"/>
    <w:rsid w:val="00B5687E"/>
    <w:rsid w:val="00B6421E"/>
    <w:rsid w:val="00B72C88"/>
    <w:rsid w:val="00BD265D"/>
    <w:rsid w:val="00C01A53"/>
    <w:rsid w:val="00C15FA0"/>
    <w:rsid w:val="00C24165"/>
    <w:rsid w:val="00C25CE4"/>
    <w:rsid w:val="00C746BF"/>
    <w:rsid w:val="00C9307F"/>
    <w:rsid w:val="00CA1EA0"/>
    <w:rsid w:val="00CF20F7"/>
    <w:rsid w:val="00CF652D"/>
    <w:rsid w:val="00D12180"/>
    <w:rsid w:val="00D719EA"/>
    <w:rsid w:val="00D7727A"/>
    <w:rsid w:val="00D81E4C"/>
    <w:rsid w:val="00D872D4"/>
    <w:rsid w:val="00D92914"/>
    <w:rsid w:val="00D93961"/>
    <w:rsid w:val="00DA1BC5"/>
    <w:rsid w:val="00DC753A"/>
    <w:rsid w:val="00DD6072"/>
    <w:rsid w:val="00DE2E16"/>
    <w:rsid w:val="00DF15C8"/>
    <w:rsid w:val="00E336AB"/>
    <w:rsid w:val="00E477EC"/>
    <w:rsid w:val="00E55ED3"/>
    <w:rsid w:val="00E570AE"/>
    <w:rsid w:val="00E83BEF"/>
    <w:rsid w:val="00E93865"/>
    <w:rsid w:val="00EA1B37"/>
    <w:rsid w:val="00EB537F"/>
    <w:rsid w:val="00ED1C16"/>
    <w:rsid w:val="00ED21D5"/>
    <w:rsid w:val="00EF26AD"/>
    <w:rsid w:val="00F031ED"/>
    <w:rsid w:val="00F07FDA"/>
    <w:rsid w:val="00F15B76"/>
    <w:rsid w:val="00F500BC"/>
    <w:rsid w:val="00F52510"/>
    <w:rsid w:val="00F76821"/>
    <w:rsid w:val="00F76A97"/>
    <w:rsid w:val="00F76DD2"/>
    <w:rsid w:val="00F842D6"/>
    <w:rsid w:val="00F93746"/>
    <w:rsid w:val="00FA2059"/>
    <w:rsid w:val="00FE707A"/>
    <w:rsid w:val="00FF5AD5"/>
    <w:rsid w:val="19436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2767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Calibr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99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uppressAutoHyphens/>
      <w:spacing w:after="200" w:line="276" w:lineRule="auto"/>
    </w:pPr>
    <w:rPr>
      <w:rFonts w:ascii="Calibri" w:hAnsi="Calibri" w:eastAsia="Droid Sans Fallback" w:cs="Calibri"/>
      <w:sz w:val="22"/>
      <w:szCs w:val="22"/>
      <w:lang w:val="en-US" w:eastAsia="en-IN" w:bidi="ar-SA"/>
    </w:rPr>
  </w:style>
  <w:style w:type="paragraph" w:styleId="2">
    <w:name w:val="heading 1"/>
    <w:basedOn w:val="1"/>
    <w:next w:val="1"/>
    <w:link w:val="25"/>
    <w:qFormat/>
    <w:uiPriority w:val="9"/>
    <w:pPr>
      <w:keepNext/>
      <w:keepLines/>
      <w:suppressAutoHyphens w:val="0"/>
      <w:spacing w:before="120" w:after="120"/>
      <w:outlineLvl w:val="0"/>
    </w:pPr>
    <w:rPr>
      <w:rFonts w:asciiTheme="majorHAnsi" w:hAnsiTheme="majorHAnsi" w:eastAsiaTheme="majorEastAsia" w:cstheme="majorBidi"/>
      <w:b/>
      <w:bCs/>
      <w:color w:val="000000" w:themeColor="text1"/>
      <w:sz w:val="28"/>
      <w:szCs w:val="28"/>
      <w14:textFill>
        <w14:solidFill>
          <w14:schemeClr w14:val="tx1"/>
        </w14:solidFill>
      </w14:textFill>
    </w:rPr>
  </w:style>
  <w:style w:type="paragraph" w:styleId="3">
    <w:name w:val="heading 2"/>
    <w:basedOn w:val="1"/>
    <w:next w:val="1"/>
    <w:link w:val="27"/>
    <w:unhideWhenUsed/>
    <w:qFormat/>
    <w:uiPriority w:val="9"/>
    <w:pPr>
      <w:keepNext/>
      <w:keepLines/>
      <w:suppressAutoHyphens w:val="0"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000000" w:themeColor="text1"/>
      <w:sz w:val="26"/>
      <w:szCs w:val="26"/>
      <w14:textFill>
        <w14:solidFill>
          <w14:schemeClr w14:val="tx1"/>
        </w14:solidFill>
      </w14:textFill>
    </w:rPr>
  </w:style>
  <w:style w:type="paragraph" w:styleId="4">
    <w:name w:val="heading 3"/>
    <w:basedOn w:val="1"/>
    <w:next w:val="1"/>
    <w:link w:val="28"/>
    <w:unhideWhenUsed/>
    <w:qFormat/>
    <w:uiPriority w:val="9"/>
    <w:pPr>
      <w:keepNext/>
      <w:keepLines/>
      <w:suppressAutoHyphens w:val="0"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000000" w:themeColor="text1"/>
      <w14:textFill>
        <w14:solidFill>
          <w14:schemeClr w14:val="tx1"/>
        </w14:solidFill>
      </w14:textFill>
    </w:rPr>
  </w:style>
  <w:style w:type="paragraph" w:styleId="5">
    <w:name w:val="heading 4"/>
    <w:basedOn w:val="1"/>
    <w:next w:val="1"/>
    <w:link w:val="29"/>
    <w:semiHidden/>
    <w:unhideWhenUsed/>
    <w:qFormat/>
    <w:uiPriority w:val="9"/>
    <w:pPr>
      <w:keepNext/>
      <w:keepLines/>
      <w:suppressAutoHyphens w:val="0"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000000" w:themeColor="text1"/>
      <w14:textFill>
        <w14:solidFill>
          <w14:schemeClr w14:val="tx1"/>
        </w14:solidFill>
      </w14:textFill>
    </w:rPr>
  </w:style>
  <w:style w:type="paragraph" w:styleId="6">
    <w:name w:val="heading 5"/>
    <w:basedOn w:val="1"/>
    <w:next w:val="1"/>
    <w:semiHidden/>
    <w:unhideWhenUsed/>
    <w:qFormat/>
    <w:uiPriority w:val="9"/>
    <w:pPr>
      <w:keepNext/>
      <w:keepLines/>
      <w:spacing w:before="220" w:after="40"/>
      <w:outlineLvl w:val="4"/>
    </w:pPr>
    <w:rPr>
      <w:b/>
    </w:rPr>
  </w:style>
  <w:style w:type="paragraph" w:styleId="7">
    <w:name w:val="heading 6"/>
    <w:basedOn w:val="1"/>
    <w:next w:val="1"/>
    <w:semiHidden/>
    <w:unhideWhenUsed/>
    <w:qFormat/>
    <w:uiPriority w:val="9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8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Balloon Text"/>
    <w:basedOn w:val="1"/>
    <w:link w:val="31"/>
    <w:semiHidden/>
    <w:unhideWhenUsed/>
    <w:uiPriority w:val="99"/>
    <w:pPr>
      <w:suppressAutoHyphens w:val="0"/>
      <w:spacing w:after="0" w:line="240" w:lineRule="auto"/>
    </w:pPr>
    <w:rPr>
      <w:rFonts w:ascii="Tahoma" w:hAnsi="Tahoma" w:cs="Tahoma" w:eastAsiaTheme="minorHAnsi"/>
      <w:sz w:val="16"/>
      <w:szCs w:val="16"/>
    </w:rPr>
  </w:style>
  <w:style w:type="character" w:styleId="11">
    <w:name w:val="annotation reference"/>
    <w:basedOn w:val="8"/>
    <w:semiHidden/>
    <w:unhideWhenUsed/>
    <w:qFormat/>
    <w:uiPriority w:val="99"/>
    <w:rPr>
      <w:sz w:val="16"/>
      <w:szCs w:val="16"/>
    </w:rPr>
  </w:style>
  <w:style w:type="paragraph" w:styleId="12">
    <w:name w:val="annotation text"/>
    <w:basedOn w:val="1"/>
    <w:link w:val="42"/>
    <w:semiHidden/>
    <w:unhideWhenUsed/>
    <w:qFormat/>
    <w:uiPriority w:val="99"/>
    <w:pPr>
      <w:spacing w:line="240" w:lineRule="auto"/>
    </w:pPr>
    <w:rPr>
      <w:sz w:val="20"/>
      <w:szCs w:val="20"/>
    </w:rPr>
  </w:style>
  <w:style w:type="paragraph" w:styleId="13">
    <w:name w:val="annotation subject"/>
    <w:basedOn w:val="12"/>
    <w:next w:val="12"/>
    <w:link w:val="43"/>
    <w:semiHidden/>
    <w:unhideWhenUsed/>
    <w:qFormat/>
    <w:uiPriority w:val="99"/>
    <w:rPr>
      <w:b/>
      <w:bCs/>
    </w:rPr>
  </w:style>
  <w:style w:type="paragraph" w:styleId="14">
    <w:name w:val="footer"/>
    <w:basedOn w:val="1"/>
    <w:link w:val="40"/>
    <w:unhideWhenUsed/>
    <w:uiPriority w:val="9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hAnsiTheme="minorHAnsi" w:eastAsiaTheme="minorHAnsi" w:cstheme="minorBidi"/>
    </w:rPr>
  </w:style>
  <w:style w:type="paragraph" w:styleId="15">
    <w:name w:val="header"/>
    <w:basedOn w:val="1"/>
    <w:link w:val="39"/>
    <w:unhideWhenUsed/>
    <w:uiPriority w:val="9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hAnsiTheme="minorHAnsi" w:eastAsiaTheme="minorHAnsi" w:cstheme="minorBidi"/>
    </w:rPr>
  </w:style>
  <w:style w:type="character" w:styleId="16">
    <w:name w:val="HTML Code"/>
    <w:basedOn w:val="8"/>
    <w:semiHidden/>
    <w:unhideWhenUsed/>
    <w:qFormat/>
    <w:uiPriority w:val="99"/>
    <w:rPr>
      <w:rFonts w:ascii="Courier New" w:hAnsi="Courier New" w:eastAsia="Times New Roman" w:cs="Courier New"/>
      <w:sz w:val="20"/>
      <w:szCs w:val="20"/>
    </w:rPr>
  </w:style>
  <w:style w:type="paragraph" w:styleId="17">
    <w:name w:val="HTML Preformatted"/>
    <w:basedOn w:val="1"/>
    <w:link w:val="46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hAnsi="Courier New" w:eastAsia="Times New Roman" w:cs="Courier New"/>
      <w:sz w:val="20"/>
      <w:szCs w:val="20"/>
      <w:lang w:bidi="gu-IN"/>
    </w:rPr>
  </w:style>
  <w:style w:type="character" w:styleId="18">
    <w:name w:val="Hyperlink"/>
    <w:basedOn w:val="8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19">
    <w:name w:val="Normal (Web)"/>
    <w:basedOn w:val="1"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paragraph" w:styleId="20">
    <w:name w:val="Subtitle"/>
    <w:basedOn w:val="1"/>
    <w:next w:val="1"/>
    <w:qFormat/>
    <w:uiPriority w:val="11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21">
    <w:name w:val="Table Grid"/>
    <w:basedOn w:val="9"/>
    <w:uiPriority w:val="3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22">
    <w:name w:val="Title"/>
    <w:basedOn w:val="1"/>
    <w:next w:val="1"/>
    <w:qFormat/>
    <w:uiPriority w:val="10"/>
    <w:pPr>
      <w:keepNext/>
      <w:keepLines/>
      <w:spacing w:before="480" w:after="120"/>
    </w:pPr>
    <w:rPr>
      <w:b/>
      <w:sz w:val="72"/>
      <w:szCs w:val="72"/>
    </w:rPr>
  </w:style>
  <w:style w:type="paragraph" w:styleId="23">
    <w:name w:val="toc 2"/>
    <w:basedOn w:val="1"/>
    <w:next w:val="1"/>
    <w:unhideWhenUsed/>
    <w:qFormat/>
    <w:uiPriority w:val="39"/>
    <w:pPr>
      <w:spacing w:after="100"/>
      <w:ind w:left="220"/>
    </w:pPr>
  </w:style>
  <w:style w:type="paragraph" w:styleId="24">
    <w:name w:val="toc 3"/>
    <w:basedOn w:val="1"/>
    <w:next w:val="1"/>
    <w:unhideWhenUsed/>
    <w:qFormat/>
    <w:uiPriority w:val="39"/>
    <w:pPr>
      <w:spacing w:after="100"/>
      <w:ind w:left="440"/>
    </w:pPr>
  </w:style>
  <w:style w:type="character" w:customStyle="1" w:styleId="25">
    <w:name w:val="Heading 1 Char"/>
    <w:basedOn w:val="8"/>
    <w:link w:val="2"/>
    <w:uiPriority w:val="9"/>
    <w:rPr>
      <w:rFonts w:asciiTheme="majorHAnsi" w:hAnsiTheme="majorHAnsi" w:eastAsiaTheme="majorEastAsia" w:cstheme="majorBidi"/>
      <w:b/>
      <w:bCs/>
      <w:color w:val="000000" w:themeColor="text1"/>
      <w:sz w:val="28"/>
      <w:szCs w:val="28"/>
      <w14:textFill>
        <w14:solidFill>
          <w14:schemeClr w14:val="tx1"/>
        </w14:solidFill>
      </w14:textFill>
    </w:rPr>
  </w:style>
  <w:style w:type="paragraph" w:styleId="26">
    <w:name w:val="List Paragraph"/>
    <w:basedOn w:val="1"/>
    <w:qFormat/>
    <w:uiPriority w:val="34"/>
    <w:pPr>
      <w:suppressAutoHyphens w:val="0"/>
      <w:ind w:left="720"/>
      <w:contextualSpacing/>
    </w:pPr>
    <w:rPr>
      <w:rFonts w:asciiTheme="minorHAnsi" w:hAnsiTheme="minorHAnsi" w:eastAsiaTheme="minorHAnsi" w:cstheme="minorBidi"/>
    </w:rPr>
  </w:style>
  <w:style w:type="character" w:customStyle="1" w:styleId="27">
    <w:name w:val="Heading 2 Char"/>
    <w:basedOn w:val="8"/>
    <w:link w:val="3"/>
    <w:uiPriority w:val="9"/>
    <w:rPr>
      <w:rFonts w:asciiTheme="majorHAnsi" w:hAnsiTheme="majorHAnsi" w:eastAsiaTheme="majorEastAsia" w:cstheme="majorBidi"/>
      <w:b/>
      <w:bCs/>
      <w:color w:val="000000" w:themeColor="text1"/>
      <w:sz w:val="26"/>
      <w:szCs w:val="26"/>
      <w14:textFill>
        <w14:solidFill>
          <w14:schemeClr w14:val="tx1"/>
        </w14:solidFill>
      </w14:textFill>
    </w:rPr>
  </w:style>
  <w:style w:type="character" w:customStyle="1" w:styleId="28">
    <w:name w:val="Heading 3 Char"/>
    <w:basedOn w:val="8"/>
    <w:link w:val="4"/>
    <w:uiPriority w:val="9"/>
    <w:rPr>
      <w:rFonts w:asciiTheme="majorHAnsi" w:hAnsiTheme="majorHAnsi" w:eastAsiaTheme="majorEastAsia" w:cstheme="majorBidi"/>
      <w:b/>
      <w:bCs/>
      <w:color w:val="000000" w:themeColor="text1"/>
      <w14:textFill>
        <w14:solidFill>
          <w14:schemeClr w14:val="tx1"/>
        </w14:solidFill>
      </w14:textFill>
    </w:rPr>
  </w:style>
  <w:style w:type="character" w:customStyle="1" w:styleId="29">
    <w:name w:val="Heading 4 Char"/>
    <w:basedOn w:val="8"/>
    <w:link w:val="5"/>
    <w:uiPriority w:val="9"/>
    <w:rPr>
      <w:rFonts w:asciiTheme="majorHAnsi" w:hAnsiTheme="majorHAnsi" w:eastAsiaTheme="majorEastAsia" w:cstheme="majorBidi"/>
      <w:b/>
      <w:bCs/>
      <w:i/>
      <w:iCs/>
      <w:color w:val="000000" w:themeColor="text1"/>
      <w14:textFill>
        <w14:solidFill>
          <w14:schemeClr w14:val="tx1"/>
        </w14:solidFill>
      </w14:textFill>
    </w:rPr>
  </w:style>
  <w:style w:type="character" w:styleId="30">
    <w:name w:val="Placeholder Text"/>
    <w:basedOn w:val="8"/>
    <w:semiHidden/>
    <w:uiPriority w:val="99"/>
    <w:rPr>
      <w:color w:val="808080"/>
    </w:rPr>
  </w:style>
  <w:style w:type="character" w:customStyle="1" w:styleId="31">
    <w:name w:val="Balloon Text Char"/>
    <w:basedOn w:val="8"/>
    <w:link w:val="10"/>
    <w:semiHidden/>
    <w:uiPriority w:val="99"/>
    <w:rPr>
      <w:rFonts w:ascii="Tahoma" w:hAnsi="Tahoma" w:cs="Tahoma"/>
      <w:sz w:val="16"/>
      <w:szCs w:val="16"/>
    </w:rPr>
  </w:style>
  <w:style w:type="character" w:customStyle="1" w:styleId="32">
    <w:name w:val="Body text (49)_"/>
    <w:basedOn w:val="8"/>
    <w:link w:val="33"/>
    <w:qFormat/>
    <w:uiPriority w:val="99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paragraph" w:customStyle="1" w:styleId="33">
    <w:name w:val="Body text (49)1"/>
    <w:basedOn w:val="1"/>
    <w:link w:val="32"/>
    <w:qFormat/>
    <w:uiPriority w:val="99"/>
    <w:pPr>
      <w:shd w:val="clear" w:color="auto" w:fill="FFFFFF"/>
      <w:suppressAutoHyphens w:val="0"/>
      <w:spacing w:before="180" w:after="180" w:line="240" w:lineRule="atLeast"/>
      <w:ind w:hanging="340"/>
    </w:pPr>
    <w:rPr>
      <w:rFonts w:ascii="Times New Roman" w:hAnsi="Times New Roman" w:cs="Times New Roman" w:eastAsiaTheme="minorHAnsi"/>
      <w:b/>
      <w:bCs/>
      <w:sz w:val="19"/>
      <w:szCs w:val="19"/>
    </w:rPr>
  </w:style>
  <w:style w:type="character" w:customStyle="1" w:styleId="34">
    <w:name w:val="Body text (59)_"/>
    <w:basedOn w:val="8"/>
    <w:link w:val="35"/>
    <w:uiPriority w:val="99"/>
    <w:rPr>
      <w:rFonts w:ascii="Franklin Gothic Heavy" w:hAnsi="Franklin Gothic Heavy" w:cs="Franklin Gothic Heavy"/>
      <w:sz w:val="19"/>
      <w:szCs w:val="19"/>
      <w:shd w:val="clear" w:color="auto" w:fill="FFFFFF"/>
    </w:rPr>
  </w:style>
  <w:style w:type="paragraph" w:customStyle="1" w:styleId="35">
    <w:name w:val="Body text (59)"/>
    <w:basedOn w:val="1"/>
    <w:link w:val="34"/>
    <w:uiPriority w:val="99"/>
    <w:pPr>
      <w:shd w:val="clear" w:color="auto" w:fill="FFFFFF"/>
      <w:suppressAutoHyphens w:val="0"/>
      <w:spacing w:after="120" w:line="240" w:lineRule="atLeast"/>
      <w:ind w:hanging="380"/>
    </w:pPr>
    <w:rPr>
      <w:rFonts w:ascii="Franklin Gothic Heavy" w:hAnsi="Franklin Gothic Heavy" w:cs="Franklin Gothic Heavy" w:eastAsiaTheme="minorHAnsi"/>
      <w:sz w:val="19"/>
      <w:szCs w:val="19"/>
    </w:rPr>
  </w:style>
  <w:style w:type="character" w:customStyle="1" w:styleId="36">
    <w:name w:val="Body text (49)5"/>
    <w:basedOn w:val="32"/>
    <w:uiPriority w:val="99"/>
    <w:rPr>
      <w:rFonts w:ascii="Times New Roman" w:hAnsi="Times New Roman" w:cs="Times New Roman"/>
      <w:sz w:val="19"/>
      <w:szCs w:val="19"/>
      <w:shd w:val="clear" w:color="auto" w:fill="FFFFFF"/>
    </w:rPr>
  </w:style>
  <w:style w:type="character" w:customStyle="1" w:styleId="37">
    <w:name w:val="Body text (59) + Times New Roman10"/>
    <w:basedOn w:val="34"/>
    <w:uiPriority w:val="99"/>
    <w:rPr>
      <w:rFonts w:ascii="Times New Roman" w:hAnsi="Times New Roman" w:cs="Times New Roman"/>
      <w:sz w:val="19"/>
      <w:szCs w:val="19"/>
      <w:shd w:val="clear" w:color="auto" w:fill="FFFFFF"/>
    </w:rPr>
  </w:style>
  <w:style w:type="paragraph" w:styleId="38">
    <w:name w:val="No Spacing"/>
    <w:qFormat/>
    <w:uiPriority w:val="1"/>
    <w:pPr>
      <w:spacing w:after="0" w:line="240" w:lineRule="auto"/>
    </w:pPr>
    <w:rPr>
      <w:rFonts w:ascii="Calibri" w:hAnsi="Calibri" w:eastAsia="Calibri" w:cs="Calibri"/>
      <w:sz w:val="22"/>
      <w:szCs w:val="22"/>
      <w:lang w:val="en-US" w:eastAsia="en-IN" w:bidi="ar-SA"/>
    </w:rPr>
  </w:style>
  <w:style w:type="character" w:customStyle="1" w:styleId="39">
    <w:name w:val="Header Char"/>
    <w:basedOn w:val="8"/>
    <w:link w:val="15"/>
    <w:uiPriority w:val="99"/>
  </w:style>
  <w:style w:type="character" w:customStyle="1" w:styleId="40">
    <w:name w:val="Footer Char"/>
    <w:basedOn w:val="8"/>
    <w:link w:val="14"/>
    <w:qFormat/>
    <w:uiPriority w:val="99"/>
  </w:style>
  <w:style w:type="character" w:customStyle="1" w:styleId="41">
    <w:name w:val="goog-inline-block"/>
    <w:basedOn w:val="8"/>
    <w:uiPriority w:val="0"/>
  </w:style>
  <w:style w:type="character" w:customStyle="1" w:styleId="42">
    <w:name w:val="Comment Text Char"/>
    <w:basedOn w:val="8"/>
    <w:link w:val="12"/>
    <w:semiHidden/>
    <w:qFormat/>
    <w:uiPriority w:val="99"/>
    <w:rPr>
      <w:rFonts w:ascii="Calibri" w:hAnsi="Calibri" w:eastAsia="Droid Sans Fallback" w:cs="Calibri"/>
      <w:sz w:val="20"/>
      <w:szCs w:val="20"/>
      <w:lang w:bidi="ar-SA"/>
    </w:rPr>
  </w:style>
  <w:style w:type="character" w:customStyle="1" w:styleId="43">
    <w:name w:val="Comment Subject Char"/>
    <w:basedOn w:val="42"/>
    <w:link w:val="13"/>
    <w:semiHidden/>
    <w:qFormat/>
    <w:uiPriority w:val="99"/>
    <w:rPr>
      <w:rFonts w:ascii="Calibri" w:hAnsi="Calibri" w:eastAsia="Droid Sans Fallback" w:cs="Calibri"/>
      <w:b/>
      <w:bCs/>
      <w:sz w:val="20"/>
      <w:szCs w:val="20"/>
      <w:lang w:bidi="ar-SA"/>
    </w:rPr>
  </w:style>
  <w:style w:type="paragraph" w:customStyle="1" w:styleId="44">
    <w:name w:val="Default"/>
    <w:qFormat/>
    <w:uiPriority w:val="0"/>
    <w:pPr>
      <w:autoSpaceDE w:val="0"/>
      <w:autoSpaceDN w:val="0"/>
      <w:adjustRightInd w:val="0"/>
      <w:spacing w:after="0" w:line="240" w:lineRule="auto"/>
    </w:pPr>
    <w:rPr>
      <w:rFonts w:ascii="Times New Roman" w:hAnsi="Times New Roman" w:eastAsia="Calibri" w:cs="Times New Roman"/>
      <w:color w:val="000000"/>
      <w:sz w:val="24"/>
      <w:szCs w:val="24"/>
      <w:lang w:val="en-US" w:eastAsia="en-IN" w:bidi="ar-SA"/>
    </w:rPr>
  </w:style>
  <w:style w:type="paragraph" w:customStyle="1" w:styleId="45">
    <w:name w:val="para"/>
    <w:basedOn w:val="1"/>
    <w:qFormat/>
    <w:uiPriority w:val="0"/>
    <w:pPr>
      <w:suppressAutoHyphens w:val="0"/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bidi="gu-IN"/>
    </w:rPr>
  </w:style>
  <w:style w:type="character" w:customStyle="1" w:styleId="46">
    <w:name w:val="HTML Preformatted Char"/>
    <w:basedOn w:val="8"/>
    <w:link w:val="17"/>
    <w:semiHidden/>
    <w:qFormat/>
    <w:uiPriority w:val="99"/>
    <w:rPr>
      <w:rFonts w:ascii="Courier New" w:hAnsi="Courier New" w:eastAsia="Times New Roman" w:cs="Courier New"/>
      <w:sz w:val="20"/>
      <w:szCs w:val="20"/>
    </w:rPr>
  </w:style>
  <w:style w:type="character" w:customStyle="1" w:styleId="47">
    <w:name w:val="cmd"/>
    <w:basedOn w:val="8"/>
    <w:qFormat/>
    <w:uiPriority w:val="0"/>
  </w:style>
  <w:style w:type="character" w:customStyle="1" w:styleId="48">
    <w:name w:val="apple-converted-space"/>
    <w:basedOn w:val="8"/>
    <w:qFormat/>
    <w:uiPriority w:val="0"/>
  </w:style>
  <w:style w:type="character" w:customStyle="1" w:styleId="49">
    <w:name w:val="file"/>
    <w:basedOn w:val="8"/>
    <w:qFormat/>
    <w:uiPriority w:val="0"/>
  </w:style>
  <w:style w:type="character" w:customStyle="1" w:styleId="50">
    <w:name w:val="app"/>
    <w:basedOn w:val="8"/>
    <w:qFormat/>
    <w:uiPriority w:val="0"/>
  </w:style>
  <w:style w:type="character" w:customStyle="1" w:styleId="51">
    <w:name w:val="text_header"/>
    <w:basedOn w:val="8"/>
    <w:qFormat/>
    <w:uiPriority w:val="0"/>
  </w:style>
  <w:style w:type="table" w:customStyle="1" w:styleId="52">
    <w:name w:val="Grid Table 1 Light"/>
    <w:basedOn w:val="9"/>
    <w:qFormat/>
    <w:uiPriority w:val="46"/>
    <w:pPr>
      <w:spacing w:after="0" w:line="240" w:lineRule="auto"/>
    </w:pPr>
    <w:tblPr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53">
    <w:name w:val="_Style 49"/>
    <w:basedOn w:val="9"/>
    <w:qFormat/>
    <w:uiPriority w:val="0"/>
    <w:pPr>
      <w:spacing w:after="0" w:line="240" w:lineRule="auto"/>
    </w:pPr>
    <w:tblStylePr w:type="firstRow">
      <w:rPr>
        <w:b/>
      </w:rPr>
      <w:tcPr>
        <w:tcBorders>
          <w:bottom w:val="single" w:color="666666" w:sz="12" w:space="0"/>
        </w:tcBorders>
      </w:tcPr>
    </w:tblStylePr>
    <w:tblStylePr w:type="lastRow">
      <w:rPr>
        <w:b/>
      </w:rPr>
      <w:tcPr>
        <w:tcBorders>
          <w:top w:val="single" w:color="666666" w:sz="4" w:space="0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54">
    <w:name w:val="_Style 50"/>
    <w:basedOn w:val="9"/>
    <w:qFormat/>
    <w:uiPriority w:val="0"/>
    <w:pPr>
      <w:spacing w:after="0" w:line="240" w:lineRule="auto"/>
    </w:pPr>
    <w:tblStylePr w:type="firstRow">
      <w:rPr>
        <w:b/>
      </w:rPr>
      <w:tcPr>
        <w:tcBorders>
          <w:bottom w:val="single" w:color="666666" w:sz="12" w:space="0"/>
        </w:tcBorders>
      </w:tcPr>
    </w:tblStylePr>
    <w:tblStylePr w:type="lastRow">
      <w:rPr>
        <w:b/>
      </w:rPr>
      <w:tcPr>
        <w:tcBorders>
          <w:top w:val="single" w:color="666666" w:sz="4" w:space="0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55">
    <w:name w:val="_Style 51"/>
    <w:basedOn w:val="9"/>
    <w:qFormat/>
    <w:uiPriority w:val="0"/>
    <w:tblPr>
      <w:tblCellMar>
        <w:left w:w="115" w:type="dxa"/>
        <w:right w:w="115" w:type="dxa"/>
      </w:tblCellMar>
    </w:tblPr>
  </w:style>
  <w:style w:type="paragraph" w:customStyle="1" w:styleId="56">
    <w:name w:val="TOC Heading"/>
    <w:basedOn w:val="2"/>
    <w:next w:val="1"/>
    <w:unhideWhenUsed/>
    <w:qFormat/>
    <w:uiPriority w:val="39"/>
    <w:pPr>
      <w:spacing w:before="240" w:after="0" w:line="259" w:lineRule="auto"/>
      <w:outlineLvl w:val="9"/>
    </w:pPr>
    <w:rPr>
      <w:b w:val="0"/>
      <w:bCs w:val="0"/>
      <w:color w:val="376092" w:themeColor="accent1" w:themeShade="BF"/>
      <w:sz w:val="32"/>
      <w:szCs w:val="32"/>
      <w:lang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1" Type="http://schemas.openxmlformats.org/officeDocument/2006/relationships/fontTable" Target="fontTable.xml"/><Relationship Id="rId30" Type="http://schemas.openxmlformats.org/officeDocument/2006/relationships/customXml" Target="../customXml/item3.xml"/><Relationship Id="rId3" Type="http://schemas.openxmlformats.org/officeDocument/2006/relationships/footnotes" Target="footnotes.xml"/><Relationship Id="rId29" Type="http://schemas.openxmlformats.org/officeDocument/2006/relationships/customXml" Target="../customXml/item2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MqS05qtEHREhnQjhr9kJVzpvCkg==">CgMxLjA4AHIhMVFKTHNSUXdzOEhKUDR3aHBHSGhSYUlkdkdsczI4UEQw</go:docsCustomData>
</go:gDocsCustomXmlDataStorage>
</file>

<file path=customXml/item3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/>
</ds:datastoreItem>
</file>

<file path=customXml/itemProps3.xml><?xml version="1.0" encoding="utf-8"?>
<ds:datastoreItem xmlns:ds="http://schemas.openxmlformats.org/officeDocument/2006/customXml" ds:itemID="{CD39F738-C2CC-42F8-AAA3-D4A6F008EBA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1509</Words>
  <Characters>8603</Characters>
  <Lines>71</Lines>
  <Paragraphs>20</Paragraphs>
  <TotalTime>9</TotalTime>
  <ScaleCrop>false</ScaleCrop>
  <LinksUpToDate>false</LinksUpToDate>
  <CharactersWithSpaces>10092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2024-02-25T07:09:00Z</dcterms:created>
  <dc:creator>puj</dc:creator>
  <cp:lastModifiedBy>Apex</cp:lastModifiedBy>
  <cp:lastPrinted>2024-02-25T07:09:00Z</cp:lastPrinted>
  <dcterms:modified xsi:type="dcterms:W3CDTF">2024-03-07T06:50:53Z</dcterms:modified>
  <cp:revision>22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1D015F8BA95149AB9C2E65FF75727266_12</vt:lpwstr>
  </property>
</Properties>
</file>