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692" w:rsidRPr="00687692" w:rsidRDefault="00687692" w:rsidP="00687692">
      <w:pPr>
        <w:spacing w:before="100" w:beforeAutospacing="1" w:after="100" w:afterAutospacing="1" w:line="240" w:lineRule="auto"/>
        <w:outlineLvl w:val="0"/>
        <w:rPr>
          <w:rFonts w:ascii="Times New Roman" w:eastAsia="Times New Roman" w:hAnsi="Times New Roman" w:cs="Times New Roman"/>
          <w:b/>
          <w:bCs/>
          <w:kern w:val="36"/>
          <w:sz w:val="24"/>
          <w:szCs w:val="24"/>
          <w:lang w:val="en-US"/>
        </w:rPr>
      </w:pPr>
      <w:r>
        <w:rPr>
          <w:rFonts w:ascii="Times New Roman" w:eastAsia="Times New Roman" w:hAnsi="Times New Roman" w:cs="Times New Roman"/>
          <w:b/>
          <w:bCs/>
          <w:kern w:val="36"/>
          <w:sz w:val="24"/>
          <w:szCs w:val="24"/>
        </w:rPr>
        <w:t>CLEANING.md</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r w:rsidRPr="00687692">
        <w:rPr>
          <w:rFonts w:ascii="Times New Roman" w:eastAsia="Times New Roman" w:hAnsi="Times New Roman" w:cs="Times New Roman"/>
          <w:b/>
          <w:bCs/>
          <w:sz w:val="24"/>
          <w:szCs w:val="24"/>
        </w:rPr>
        <w:t xml:space="preserve">Placeholders that are held as text. </w:t>
      </w:r>
      <w:r w:rsidRPr="00687692">
        <w:rPr>
          <w:rFonts w:ascii="Times New Roman" w:eastAsia="Times New Roman" w:hAnsi="Times New Roman" w:cs="Times New Roman"/>
          <w:bCs/>
          <w:sz w:val="24"/>
          <w:szCs w:val="24"/>
        </w:rPr>
        <w:t>There were 34 cells with no numbers in the raw data set: 32 of which in education expenditure, one in food imports, and one in fuel imports. All the 36 year columns had a mix of text and numbers as these placeholders were present. For the 34 placeholders I replaced them with real missing values, and removed the year headers, e.g. 1990 [YR1990] with just the year number. Even if the script encounters non-numeric values that it doesn't expect, it will stop, instead of guessing what they might mean. I did not change the value of . to 0 as that would imply that they had reserves or import shares of zero, which is not necessarily correct.</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
          <w:bCs/>
          <w:sz w:val="24"/>
          <w:szCs w:val="24"/>
        </w:rPr>
      </w:pP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r w:rsidRPr="00687692">
        <w:rPr>
          <w:rFonts w:ascii="Times New Roman" w:eastAsia="Times New Roman" w:hAnsi="Times New Roman" w:cs="Times New Roman"/>
          <w:b/>
          <w:bCs/>
          <w:sz w:val="24"/>
          <w:szCs w:val="24"/>
        </w:rPr>
        <w:t xml:space="preserve">2. An empty series. </w:t>
      </w:r>
      <w:r w:rsidRPr="00687692">
        <w:rPr>
          <w:rFonts w:ascii="Times New Roman" w:eastAsia="Times New Roman" w:hAnsi="Times New Roman" w:cs="Times New Roman"/>
          <w:bCs/>
          <w:sz w:val="24"/>
          <w:szCs w:val="24"/>
        </w:rPr>
        <w:t>The education expenditure series has only four values for 36 years (2005, 2006, 2007 and 2013). It is also not directly linked with the main focus of this project, external economic vulnerability. I therefore dropped this series, as there were 6 indicators remaining in the cleaned data set. This deleted 36 cells from the first table. I didn't interpolate the missing years 2008-2012 because there were so few numbers in the series that it would be creating imaginary numbers.</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
          <w:bCs/>
          <w:sz w:val="24"/>
          <w:szCs w:val="24"/>
        </w:rPr>
      </w:pP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r w:rsidRPr="00687692">
        <w:rPr>
          <w:rFonts w:ascii="Times New Roman" w:eastAsia="Times New Roman" w:hAnsi="Times New Roman" w:cs="Times New Roman"/>
          <w:b/>
          <w:bCs/>
          <w:sz w:val="24"/>
          <w:szCs w:val="24"/>
        </w:rPr>
        <w:t>3. The 1994 gap (not changed</w:t>
      </w:r>
      <w:r w:rsidRPr="00687692">
        <w:rPr>
          <w:rFonts w:ascii="Times New Roman" w:eastAsia="Times New Roman" w:hAnsi="Times New Roman" w:cs="Times New Roman"/>
          <w:bCs/>
          <w:sz w:val="24"/>
          <w:szCs w:val="24"/>
        </w:rPr>
        <w:t>). There are 216 core data cells, and 2 missing cells, both food imports and fuel imports are missing for 1994. The other indicators are not unusual for that year with percentile ranks from 0.36 to 0.58. This indicates that the missing data is not necessarily the result of an unusual economic event, but may be a result of missing data from the original trade data. I did not estimate both of the values, leaving them blank. I didn't try linear interpolation, since the share of imports can vary significantly from one year to another. For example, fuel imports increased from 16.15% in 1995 to 20.05% in 1996.</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r w:rsidRPr="00687692">
        <w:rPr>
          <w:rFonts w:ascii="Times New Roman" w:eastAsia="Times New Roman" w:hAnsi="Times New Roman" w:cs="Times New Roman"/>
          <w:b/>
          <w:bCs/>
          <w:sz w:val="24"/>
          <w:szCs w:val="24"/>
        </w:rPr>
        <w:t xml:space="preserve">4. The 2002–03 reserves spike (not changed). </w:t>
      </w:r>
      <w:r w:rsidRPr="00687692">
        <w:rPr>
          <w:rFonts w:ascii="Times New Roman" w:eastAsia="Times New Roman" w:hAnsi="Times New Roman" w:cs="Times New Roman"/>
          <w:bCs/>
          <w:sz w:val="24"/>
          <w:szCs w:val="24"/>
        </w:rPr>
        <w:t>The reserve coverage of the economy has gone up from 3.58 months in 2001 to 7.05 months in 2002 and 8.05 months in 2003. The year-to-year change in the series is the largest in 2002 (+3.47 months). Its z score of +2.49 is high but not exceptional (+3.5) though. The current account balance and remittances were also higher in the same period, indicating that this change is likely not a typing mistake but a real event in the economy. However, it was decided not to change these values as their removal or a constraint might obscure an important change in the economic conditions in Pakistan which is relevant to this project.</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
          <w:bCs/>
          <w:sz w:val="24"/>
          <w:szCs w:val="24"/>
        </w:rPr>
      </w:pP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r w:rsidRPr="00687692">
        <w:rPr>
          <w:rFonts w:ascii="Times New Roman" w:eastAsia="Times New Roman" w:hAnsi="Times New Roman" w:cs="Times New Roman"/>
          <w:b/>
          <w:bCs/>
          <w:sz w:val="24"/>
          <w:szCs w:val="24"/>
        </w:rPr>
        <w:t xml:space="preserve">6. The period of the era change is not included in the pre-2005 data (not changed). </w:t>
      </w:r>
      <w:r w:rsidRPr="00687692">
        <w:rPr>
          <w:rFonts w:ascii="Times New Roman" w:eastAsia="Times New Roman" w:hAnsi="Times New Roman" w:cs="Times New Roman"/>
          <w:bCs/>
          <w:sz w:val="24"/>
          <w:szCs w:val="24"/>
        </w:rPr>
        <w:t>The current account metadata says that the data is only available from 2005 onwards, but the file contains values from 1990. This raises questions whether the earlier 15 observations are completely comparable to later data. The Mann–Whitney test p-values for each of the five indicators are also statistically significant (p-value of 0.023 or less) when comparing the periods 1990–2000 and 2001–2025. The exception is GDP growth which has a p-value of 0.89 and median values over both periods. All years in the data</w:t>
      </w:r>
      <w:r w:rsidRPr="00687692">
        <w:rPr>
          <w:rFonts w:ascii="Times New Roman" w:eastAsia="Times New Roman" w:hAnsi="Times New Roman" w:cs="Times New Roman"/>
          <w:b/>
          <w:bCs/>
          <w:sz w:val="24"/>
          <w:szCs w:val="24"/>
        </w:rPr>
        <w:t xml:space="preserve"> </w:t>
      </w:r>
      <w:r w:rsidRPr="00687692">
        <w:rPr>
          <w:rFonts w:ascii="Times New Roman" w:eastAsia="Times New Roman" w:hAnsi="Times New Roman" w:cs="Times New Roman"/>
          <w:bCs/>
          <w:sz w:val="24"/>
          <w:szCs w:val="24"/>
        </w:rPr>
        <w:t xml:space="preserve">set were retained and will be </w:t>
      </w:r>
      <w:r w:rsidRPr="00687692">
        <w:rPr>
          <w:rFonts w:ascii="Times New Roman" w:eastAsia="Times New Roman" w:hAnsi="Times New Roman" w:cs="Times New Roman"/>
          <w:bCs/>
          <w:sz w:val="24"/>
          <w:szCs w:val="24"/>
        </w:rPr>
        <w:lastRenderedPageBreak/>
        <w:t>explained as differences between years by dividing the data set into historical periods. I did not limit the data to 2005 onwards because it would lose much of the important data in the 1990s, including 9 of the 15 low-reserve labels that were positive.</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
          <w:bCs/>
          <w:sz w:val="24"/>
          <w:szCs w:val="24"/>
        </w:rPr>
      </w:pP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lang w:val="en-US"/>
        </w:rPr>
      </w:pPr>
      <w:r w:rsidRPr="00687692">
        <w:rPr>
          <w:rFonts w:ascii="Times New Roman" w:eastAsia="Times New Roman" w:hAnsi="Times New Roman" w:cs="Times New Roman"/>
          <w:b/>
          <w:bCs/>
          <w:sz w:val="24"/>
          <w:szCs w:val="24"/>
        </w:rPr>
        <w:t xml:space="preserve">6. Two sets of data (not used). </w:t>
      </w:r>
      <w:r w:rsidRPr="00687692">
        <w:rPr>
          <w:rFonts w:ascii="Times New Roman" w:eastAsia="Times New Roman" w:hAnsi="Times New Roman" w:cs="Times New Roman"/>
          <w:bCs/>
          <w:sz w:val="24"/>
          <w:szCs w:val="24"/>
        </w:rPr>
        <w:t>There is a second sheet of the workbook with six indicators. The missing values are also found in the same cells.</w:t>
      </w:r>
      <w:r w:rsidRPr="00687692">
        <w:rPr>
          <w:rFonts w:ascii="Times New Roman" w:eastAsia="Times New Roman" w:hAnsi="Times New Roman" w:cs="Times New Roman"/>
          <w:bCs/>
          <w:sz w:val="24"/>
          <w:szCs w:val="24"/>
          <w:lang w:val="en-US"/>
        </w:rPr>
        <w:t xml:space="preserve"> The data was not used due to lack of data as well as lack of </w:t>
      </w: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
          <w:bCs/>
          <w:sz w:val="24"/>
          <w:szCs w:val="24"/>
        </w:rPr>
      </w:pPr>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Cs/>
          <w:sz w:val="24"/>
          <w:szCs w:val="24"/>
        </w:rPr>
      </w:pPr>
      <w:r w:rsidRPr="00687692">
        <w:rPr>
          <w:rFonts w:ascii="Times New Roman" w:eastAsia="Times New Roman" w:hAnsi="Times New Roman" w:cs="Times New Roman"/>
          <w:b/>
          <w:bCs/>
          <w:sz w:val="24"/>
          <w:szCs w:val="24"/>
        </w:rPr>
        <w:t xml:space="preserve">7. Odd characters in the documentation (not changed). </w:t>
      </w:r>
      <w:r w:rsidRPr="00687692">
        <w:rPr>
          <w:rFonts w:ascii="Times New Roman" w:eastAsia="Times New Roman" w:hAnsi="Times New Roman" w:cs="Times New Roman"/>
          <w:bCs/>
          <w:sz w:val="24"/>
          <w:szCs w:val="24"/>
        </w:rPr>
        <w:t>The scan identified the following non-ASCII characters: dashes, apostrophe. None of the six were found in the column header or in the data cell, but in the metadata text. I also noticed that there were two cells with extra white space, which the script took off of the labels, but not the actual cells. I didn't change any of the other characters because they are normal characters of written text and if they are replaced it would have no benefit and may change quoted documentation.The six things</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Missing.</w:t>
      </w:r>
      <w:r w:rsidRPr="00687692">
        <w:rPr>
          <w:rFonts w:ascii="Times New Roman" w:eastAsia="Times New Roman" w:hAnsi="Times New Roman" w:cs="Times New Roman"/>
          <w:sz w:val="24"/>
          <w:szCs w:val="24"/>
        </w:rPr>
        <w:t xml:space="preserve"> Missing values were found. The original dataset contained 34 cells with ..: 32 in education expenditure, one in food imports and one in fuel imports. After converting these placeholders into proper missing values and removing education expenditure, two missing values remain in the cleaned dataset. Both are from 1994, one in food imports and one in fuel imports.</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Duplicates.</w:t>
      </w:r>
      <w:r w:rsidRPr="00687692">
        <w:rPr>
          <w:rFonts w:ascii="Times New Roman" w:eastAsia="Times New Roman" w:hAnsi="Times New Roman" w:cs="Times New Roman"/>
          <w:sz w:val="24"/>
          <w:szCs w:val="24"/>
        </w:rPr>
        <w:t xml:space="preserve"> No duplicates were found. I checked that all seven indicator codes and all 36 year columns were unique, that no indicator-year combination appeared more than once, and that no entire row was duplicated. I also checked whether any two indicators had identical values and found no matches. In addition, I checked for consecutive repeated values that might suggest that missing observations had been filled by copying values from nearby years. None were found. However, this does not prove that no values were filled in the original data, since the documentation mentions that carry-forward and carry-backward methods may have been used.</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Wrong types.</w:t>
      </w:r>
      <w:r w:rsidRPr="00687692">
        <w:rPr>
          <w:rFonts w:ascii="Times New Roman" w:eastAsia="Times New Roman" w:hAnsi="Times New Roman" w:cs="Times New Roman"/>
          <w:sz w:val="24"/>
          <w:szCs w:val="24"/>
        </w:rPr>
        <w:t xml:space="preserve"> Incorrect data types were found. The .. placeholders caused the year columns to contain a mixture of text and numbers. After cleaning, all values in these columns were converted to floating-point numbers. I also checked the cells individually and found no numbers that remained stored as text.</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Wrong units.</w:t>
      </w:r>
      <w:r w:rsidRPr="00687692">
        <w:rPr>
          <w:rFonts w:ascii="Times New Roman" w:eastAsia="Times New Roman" w:hAnsi="Times New Roman" w:cs="Times New Roman"/>
          <w:sz w:val="24"/>
          <w:szCs w:val="24"/>
        </w:rPr>
        <w:t xml:space="preserve"> No clear unit errors were found, although one issue requires attention. I checked each indicator against reasonable value ranges and found no out-of-range values. I also searched for unusual placeholder numbers, such as −999 and 99, and found none. The percentage indicators did not appear to have been incorrectly stored as fractions. Food and fuel imports together account for between 30.0% and 49.6% of merchandise imports, so their combined share never exceeds 100%. However, the remittances indicator has no unit specified in its metadata. I interpreted it as a percentage of GDP based on the indicator name, but this should be verified. The dataset also contains different types of measurements by design, including months, percentages of imports, percentages of GDP and annual GDP growth rates.</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lastRenderedPageBreak/>
        <w:t>Encoding.</w:t>
      </w:r>
      <w:r w:rsidRPr="00687692">
        <w:rPr>
          <w:rFonts w:ascii="Times New Roman" w:eastAsia="Times New Roman" w:hAnsi="Times New Roman" w:cs="Times New Roman"/>
          <w:sz w:val="24"/>
          <w:szCs w:val="24"/>
        </w:rPr>
        <w:t xml:space="preserve"> No encoding problems were found in the actual data. I scanned both sheets for non-ASCII characters, control characters and corrupted text. Six non-ASCII characters were found, all within the documentation. Two cells also contained extra whitespace, which was removed from labels only. No changes were needed to the numerical values or column headings.</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Drift.</w:t>
      </w:r>
      <w:r w:rsidRPr="00687692">
        <w:rPr>
          <w:rFonts w:ascii="Times New Roman" w:eastAsia="Times New Roman" w:hAnsi="Times New Roman" w:cs="Times New Roman"/>
          <w:sz w:val="24"/>
          <w:szCs w:val="24"/>
        </w:rPr>
        <w:t xml:space="preserve"> Changes in the data over time were identified, but their causes are not fully clear. The metadata mentions several changes that may affect comparability, including the introduction of the sixth Balance of Payments Manual in 2005, changes to trade classifications and the adoption of a 2015 GDP base year. Statistical analysis identified possible break years of 2001 for reserves and food imports, 2000 for fuel imports, 1997 for the current account, 2008 for GDP growth and 2020 for remittances. The GDP growth break is relatively weak, with a test statistic of −1.63, while the remittances break may reflect a longer-term upward trend rather than a sudden change. No year-to-year change exceeded the robust z-score threshold of 3.5. The largest change was an 11.85 percentage-point increase in fuel imports in 2000, with a robust z-score of +3.05. This coincides with the detected break year, but it is unclear whether the change reflects actual economic conditions or a revision in trade classification. </w:t>
      </w:r>
      <w:bookmarkStart w:id="0" w:name="_GoBack"/>
      <w:bookmarkEnd w:id="0"/>
    </w:p>
    <w:p w:rsidR="00687692" w:rsidRPr="00687692" w:rsidRDefault="00687692" w:rsidP="00687692">
      <w:pPr>
        <w:spacing w:before="100" w:beforeAutospacing="1" w:after="100" w:afterAutospacing="1" w:line="240" w:lineRule="auto"/>
        <w:outlineLvl w:val="2"/>
        <w:rPr>
          <w:rFonts w:ascii="Times New Roman" w:eastAsia="Times New Roman" w:hAnsi="Times New Roman" w:cs="Times New Roman"/>
          <w:b/>
          <w:bCs/>
          <w:sz w:val="24"/>
          <w:szCs w:val="24"/>
        </w:rPr>
      </w:pPr>
      <w:r w:rsidRPr="00687692">
        <w:rPr>
          <w:rFonts w:ascii="Times New Roman" w:eastAsia="Times New Roman" w:hAnsi="Times New Roman" w:cs="Times New Roman"/>
          <w:b/>
          <w:bCs/>
          <w:sz w:val="24"/>
          <w:szCs w:val="24"/>
        </w:rPr>
        <w:t>Data dictionary</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sz w:val="24"/>
          <w:szCs w:val="24"/>
        </w:rPr>
        <w:t>The main cleaned file is</w:t>
      </w:r>
      <w:r w:rsidRPr="00687692">
        <w:rPr>
          <w:rFonts w:ascii="Times New Roman" w:eastAsia="Times New Roman" w:hAnsi="Times New Roman" w:cs="Times New Roman"/>
          <w:sz w:val="24"/>
          <w:szCs w:val="24"/>
          <w:lang w:val="en-US"/>
        </w:rPr>
        <w:t xml:space="preserve"> </w:t>
      </w:r>
      <w:r w:rsidR="0017765A">
        <w:rPr>
          <w:rFonts w:ascii="Times New Roman" w:eastAsia="Times New Roman" w:hAnsi="Times New Roman" w:cs="Times New Roman"/>
          <w:b/>
          <w:sz w:val="24"/>
          <w:szCs w:val="24"/>
          <w:lang w:val="en-US"/>
        </w:rPr>
        <w:t>data_ clean_</w:t>
      </w:r>
      <w:r w:rsidRPr="00687692">
        <w:rPr>
          <w:rFonts w:ascii="Times New Roman" w:eastAsia="Times New Roman" w:hAnsi="Times New Roman" w:cs="Times New Roman"/>
          <w:b/>
          <w:sz w:val="24"/>
          <w:szCs w:val="24"/>
          <w:lang w:val="en-US"/>
        </w:rPr>
        <w:t xml:space="preserve"> long_form.csv</w:t>
      </w:r>
      <w:r w:rsidRPr="00687692">
        <w:rPr>
          <w:rFonts w:ascii="Times New Roman" w:eastAsia="Times New Roman" w:hAnsi="Times New Roman" w:cs="Times New Roman"/>
          <w:b/>
          <w:sz w:val="24"/>
          <w:szCs w:val="24"/>
        </w:rPr>
        <w:t>.</w:t>
      </w:r>
      <w:r w:rsidRPr="00687692">
        <w:rPr>
          <w:rFonts w:ascii="Times New Roman" w:eastAsia="Times New Roman" w:hAnsi="Times New Roman" w:cs="Times New Roman"/>
          <w:sz w:val="24"/>
          <w:szCs w:val="24"/>
        </w:rPr>
        <w:t xml:space="preserve"> It contains 36 rows, representing the years 1990–2025, and seven columns: one for the year and six for the economic indicators.</w:t>
      </w:r>
    </w:p>
    <w:p w:rsidR="00687692" w:rsidRP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year</w:t>
      </w:r>
      <w:r w:rsidRPr="00687692">
        <w:rPr>
          <w:rFonts w:ascii="Times New Roman" w:eastAsia="Times New Roman" w:hAnsi="Times New Roman" w:cs="Times New Roman"/>
          <w:sz w:val="24"/>
          <w:szCs w:val="24"/>
        </w:rPr>
        <w:t xml:space="preserve"> (integer, 1990–2025): The year associated with each observation, taken from the original World Development Indicators (WDI) column headings. The dataset does not specify whether these are calendar years or fiscal years.</w:t>
      </w:r>
    </w:p>
    <w:p w:rsidR="00687692" w:rsidRPr="00687692" w:rsidRDefault="00687692" w:rsidP="00687692">
      <w:pPr>
        <w:spacing w:before="100" w:beforeAutospacing="1" w:after="100" w:afterAutospacing="1" w:line="240" w:lineRule="auto"/>
        <w:ind w:left="720"/>
        <w:rPr>
          <w:rFonts w:ascii="Times New Roman" w:eastAsia="Times New Roman" w:hAnsi="Times New Roman" w:cs="Times New Roman"/>
          <w:sz w:val="24"/>
          <w:szCs w:val="24"/>
        </w:rPr>
      </w:pPr>
    </w:p>
    <w:p w:rsidR="00687692" w:rsidRP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food_imports_pct_merch</w:t>
      </w:r>
      <w:r w:rsidRPr="00687692">
        <w:rPr>
          <w:rFonts w:ascii="Times New Roman" w:eastAsia="Times New Roman" w:hAnsi="Times New Roman" w:cs="Times New Roman"/>
          <w:sz w:val="24"/>
          <w:szCs w:val="24"/>
        </w:rPr>
        <w:t xml:space="preserve"> (float, % of merchandise imports; series TM.VAL.FOOD.ZS.UN): Measures the share of merchandise imports made up of food, beverages and tobacco, oils and fats, and oilseeds. It covers SITC sections 0, 1 and 4, along with division 22. The data comes from UN Comtrade/WITS, with estimates from World Bank staff. Values range from 8.86% to 20.29%, with a missing value in 1994. An important limitation is that earlier versions of the data used a different classification system, and the shares may not add up to 100% because some trade may be unclassified.</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p>
    <w:p w:rsidR="00687692" w:rsidRP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fuel_imports_pct_merch</w:t>
      </w:r>
      <w:r w:rsidRPr="00687692">
        <w:rPr>
          <w:rFonts w:ascii="Times New Roman" w:eastAsia="Times New Roman" w:hAnsi="Times New Roman" w:cs="Times New Roman"/>
          <w:sz w:val="24"/>
          <w:szCs w:val="24"/>
        </w:rPr>
        <w:t xml:space="preserve"> (float, % of merchandise imports; TM.VAL.FUEL.ZS.UN): Measures the share of merchandise imports made up of mineral fuels and lubricants, classified under SITC section 3. The data comes from the same sources as the food imports indicator. Values range from 15.90% to 36.40%, with a missing value in 1994. One important issue is the sharp increase of 11.85 percentage points in 2000, which may reflect an economic change or a change in classification.</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p>
    <w:p w:rsid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lastRenderedPageBreak/>
        <w:t>reserves_months</w:t>
      </w:r>
      <w:r w:rsidRPr="00687692">
        <w:rPr>
          <w:rFonts w:ascii="Times New Roman" w:eastAsia="Times New Roman" w:hAnsi="Times New Roman" w:cs="Times New Roman"/>
          <w:sz w:val="24"/>
          <w:szCs w:val="24"/>
        </w:rPr>
        <w:t xml:space="preserve"> (float, months; FI.RES.TOTL.MO): Measures how many months of imports of goods and services could be covered by a country's total reserves, including gold. The data comes from the IMF's International Financial Statistics. Values range from 0.88 to 8.05 months, with no missing values. The dataset does not clarify whether the figures represent end-of-year reserves or annual averages. The three-month threshold used to classify low-reserve years comes from the course brief, not from the indicator itself.</w:t>
      </w:r>
    </w:p>
    <w:p w:rsidR="009D069B" w:rsidRPr="00687692" w:rsidRDefault="009D069B" w:rsidP="009D069B">
      <w:pPr>
        <w:spacing w:before="100" w:beforeAutospacing="1" w:after="100" w:afterAutospacing="1" w:line="240" w:lineRule="auto"/>
        <w:rPr>
          <w:rFonts w:ascii="Times New Roman" w:eastAsia="Times New Roman" w:hAnsi="Times New Roman" w:cs="Times New Roman"/>
          <w:sz w:val="24"/>
          <w:szCs w:val="24"/>
        </w:rPr>
      </w:pPr>
    </w:p>
    <w:p w:rsidR="00687692" w:rsidRP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current_account_pct_gdp</w:t>
      </w:r>
      <w:r w:rsidRPr="00687692">
        <w:rPr>
          <w:rFonts w:ascii="Times New Roman" w:eastAsia="Times New Roman" w:hAnsi="Times New Roman" w:cs="Times New Roman"/>
          <w:sz w:val="24"/>
          <w:szCs w:val="24"/>
        </w:rPr>
        <w:t xml:space="preserve"> (float, % of GDP; BN.CAB.XOKA.GD.ZS): Measures the current account balance as a percentage of GDP. It includes trade in goods and services, income and transfers. Negative values indicate a deficit, while positive values indicate a surplus. The data comes mainly from the IMF's balance-of-payments statistics, with World Bank and OECD data also listed as sources. Values range from −7.74% to +3.94%. The metadata states that data is available only from 2005 onwards, even though the file contains earlier observations. This creates uncertainty about the comparability of the earlier data. Pakistan recorded a current account surplus in only four years: 2001, 2002, 2003 and 2024.</w:t>
      </w:r>
    </w:p>
    <w:p w:rsidR="00687692" w:rsidRPr="00687692" w:rsidRDefault="00687692" w:rsidP="00687692">
      <w:pPr>
        <w:spacing w:before="100" w:beforeAutospacing="1" w:after="100" w:afterAutospacing="1" w:line="240" w:lineRule="auto"/>
        <w:ind w:left="720"/>
        <w:rPr>
          <w:rFonts w:ascii="Times New Roman" w:eastAsia="Times New Roman" w:hAnsi="Times New Roman" w:cs="Times New Roman"/>
          <w:sz w:val="24"/>
          <w:szCs w:val="24"/>
        </w:rPr>
      </w:pPr>
    </w:p>
    <w:p w:rsidR="00687692" w:rsidRP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remittances_pct_gdp</w:t>
      </w:r>
      <w:r w:rsidRPr="00687692">
        <w:rPr>
          <w:rFonts w:ascii="Times New Roman" w:eastAsia="Times New Roman" w:hAnsi="Times New Roman" w:cs="Times New Roman"/>
          <w:sz w:val="24"/>
          <w:szCs w:val="24"/>
        </w:rPr>
        <w:t xml:space="preserve"> (float, % of GDP; BX.TRF.PWKR.DT.GD.ZS): Measures personal transfers and employee compensation received from abroad as a percentage of GDP. The data comes from IMF balance-of-payments statistics and World Bank staff estimates. Values range from 1.08% to 9.94%. Although the metadata does not specify the unit, the indicator name suggests that it is measured as a percentage of GDP. The documentation also states that some missing values have been filled using carry-forward and carry-backward methods, while others have been estimated from historical ratios. However, the dataset does not identify which individual values were filled or estimated. It also does not explain how informal remittance channels are treated.</w:t>
      </w:r>
    </w:p>
    <w:p w:rsidR="00687692" w:rsidRPr="00687692" w:rsidRDefault="00687692" w:rsidP="00687692">
      <w:pPr>
        <w:spacing w:before="100" w:beforeAutospacing="1" w:after="100" w:afterAutospacing="1" w:line="240" w:lineRule="auto"/>
        <w:rPr>
          <w:rFonts w:ascii="Times New Roman" w:eastAsia="Times New Roman" w:hAnsi="Times New Roman" w:cs="Times New Roman"/>
          <w:sz w:val="24"/>
          <w:szCs w:val="24"/>
        </w:rPr>
      </w:pPr>
    </w:p>
    <w:p w:rsidR="00687692" w:rsidRPr="00687692" w:rsidRDefault="00687692" w:rsidP="00687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692">
        <w:rPr>
          <w:rFonts w:ascii="Times New Roman" w:eastAsia="Times New Roman" w:hAnsi="Times New Roman" w:cs="Times New Roman"/>
          <w:b/>
          <w:bCs/>
          <w:sz w:val="24"/>
          <w:szCs w:val="24"/>
        </w:rPr>
        <w:t>gdp_growth_pct</w:t>
      </w:r>
      <w:r w:rsidRPr="00687692">
        <w:rPr>
          <w:rFonts w:ascii="Times New Roman" w:eastAsia="Times New Roman" w:hAnsi="Times New Roman" w:cs="Times New Roman"/>
          <w:sz w:val="24"/>
          <w:szCs w:val="24"/>
        </w:rPr>
        <w:t xml:space="preserve"> (float, annual %; NY.GDP.MKTP.KD.ZG): Measures the annual growth rate of real GDP using constant 2015 US dollars. The data is based on national statistical offices, the OECD and World Bank staff estimates. Values range from −1.27% to +7.83%. One limitation is that these figures may differ from growth rates published by Pakistan's own statistical authorities. Changes in the GDP base year may also affect comparisons across time.</w:t>
      </w:r>
    </w:p>
    <w:p w:rsidR="00D57F61" w:rsidRPr="00687692" w:rsidRDefault="00D57F61">
      <w:pPr>
        <w:rPr>
          <w:rFonts w:ascii="Times New Roman" w:hAnsi="Times New Roman" w:cs="Times New Roman"/>
          <w:sz w:val="24"/>
          <w:szCs w:val="24"/>
        </w:rPr>
      </w:pPr>
    </w:p>
    <w:sectPr w:rsidR="00D57F61" w:rsidRPr="00687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Mono Medium">
    <w:panose1 w:val="020B0309030602030204"/>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6032AA"/>
    <w:multiLevelType w:val="multilevel"/>
    <w:tmpl w:val="AA2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692"/>
    <w:rsid w:val="0017765A"/>
    <w:rsid w:val="00687692"/>
    <w:rsid w:val="00746880"/>
    <w:rsid w:val="009D069B"/>
    <w:rsid w:val="00D57F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36F98D-F376-4E68-A9D7-BCDC21F1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76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876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69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876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76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7692"/>
    <w:rPr>
      <w:b/>
      <w:bCs/>
    </w:rPr>
  </w:style>
  <w:style w:type="character" w:styleId="HTMLCode">
    <w:name w:val="HTML Code"/>
    <w:basedOn w:val="DefaultParagraphFont"/>
    <w:uiPriority w:val="99"/>
    <w:semiHidden/>
    <w:unhideWhenUsed/>
    <w:rsid w:val="00687692"/>
    <w:rPr>
      <w:rFonts w:ascii="Courier New" w:eastAsia="Times New Roman" w:hAnsi="Courier New" w:cs="Courier New"/>
      <w:sz w:val="20"/>
      <w:szCs w:val="20"/>
    </w:rPr>
  </w:style>
  <w:style w:type="paragraph" w:styleId="ListParagraph">
    <w:name w:val="List Paragraph"/>
    <w:basedOn w:val="Normal"/>
    <w:uiPriority w:val="34"/>
    <w:qFormat/>
    <w:rsid w:val="006876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1098824">
      <w:bodyDiv w:val="1"/>
      <w:marLeft w:val="0"/>
      <w:marRight w:val="0"/>
      <w:marTop w:val="0"/>
      <w:marBottom w:val="0"/>
      <w:divBdr>
        <w:top w:val="none" w:sz="0" w:space="0" w:color="auto"/>
        <w:left w:val="none" w:sz="0" w:space="0" w:color="auto"/>
        <w:bottom w:val="none" w:sz="0" w:space="0" w:color="auto"/>
        <w:right w:val="none" w:sz="0" w:space="0" w:color="auto"/>
      </w:divBdr>
      <w:divsChild>
        <w:div w:id="2108576744">
          <w:marLeft w:val="0"/>
          <w:marRight w:val="0"/>
          <w:marTop w:val="0"/>
          <w:marBottom w:val="0"/>
          <w:divBdr>
            <w:top w:val="none" w:sz="0" w:space="0" w:color="auto"/>
            <w:left w:val="none" w:sz="0" w:space="0" w:color="auto"/>
            <w:bottom w:val="none" w:sz="0" w:space="0" w:color="auto"/>
            <w:right w:val="none" w:sz="0" w:space="0" w:color="auto"/>
          </w:divBdr>
          <w:divsChild>
            <w:div w:id="835537365">
              <w:marLeft w:val="0"/>
              <w:marRight w:val="0"/>
              <w:marTop w:val="0"/>
              <w:marBottom w:val="0"/>
              <w:divBdr>
                <w:top w:val="none" w:sz="0" w:space="0" w:color="auto"/>
                <w:left w:val="none" w:sz="0" w:space="0" w:color="auto"/>
                <w:bottom w:val="none" w:sz="0" w:space="0" w:color="auto"/>
                <w:right w:val="none" w:sz="0" w:space="0" w:color="auto"/>
              </w:divBdr>
              <w:divsChild>
                <w:div w:id="1608925056">
                  <w:marLeft w:val="0"/>
                  <w:marRight w:val="0"/>
                  <w:marTop w:val="0"/>
                  <w:marBottom w:val="0"/>
                  <w:divBdr>
                    <w:top w:val="none" w:sz="0" w:space="0" w:color="auto"/>
                    <w:left w:val="none" w:sz="0" w:space="0" w:color="auto"/>
                    <w:bottom w:val="none" w:sz="0" w:space="0" w:color="auto"/>
                    <w:right w:val="none" w:sz="0" w:space="0" w:color="auto"/>
                  </w:divBdr>
                  <w:divsChild>
                    <w:div w:id="1466586164">
                      <w:marLeft w:val="0"/>
                      <w:marRight w:val="0"/>
                      <w:marTop w:val="0"/>
                      <w:marBottom w:val="0"/>
                      <w:divBdr>
                        <w:top w:val="none" w:sz="0" w:space="0" w:color="auto"/>
                        <w:left w:val="none" w:sz="0" w:space="0" w:color="auto"/>
                        <w:bottom w:val="none" w:sz="0" w:space="0" w:color="auto"/>
                        <w:right w:val="none" w:sz="0" w:space="0" w:color="auto"/>
                      </w:divBdr>
                      <w:divsChild>
                        <w:div w:id="501822657">
                          <w:marLeft w:val="0"/>
                          <w:marRight w:val="0"/>
                          <w:marTop w:val="0"/>
                          <w:marBottom w:val="0"/>
                          <w:divBdr>
                            <w:top w:val="none" w:sz="0" w:space="0" w:color="auto"/>
                            <w:left w:val="none" w:sz="0" w:space="0" w:color="auto"/>
                            <w:bottom w:val="none" w:sz="0" w:space="0" w:color="auto"/>
                            <w:right w:val="none" w:sz="0" w:space="0" w:color="auto"/>
                          </w:divBdr>
                          <w:divsChild>
                            <w:div w:id="1552693092">
                              <w:marLeft w:val="0"/>
                              <w:marRight w:val="0"/>
                              <w:marTop w:val="0"/>
                              <w:marBottom w:val="0"/>
                              <w:divBdr>
                                <w:top w:val="none" w:sz="0" w:space="0" w:color="auto"/>
                                <w:left w:val="none" w:sz="0" w:space="0" w:color="auto"/>
                                <w:bottom w:val="none" w:sz="0" w:space="0" w:color="auto"/>
                                <w:right w:val="none" w:sz="0" w:space="0" w:color="auto"/>
                              </w:divBdr>
                              <w:divsChild>
                                <w:div w:id="1430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1070">
                          <w:marLeft w:val="0"/>
                          <w:marRight w:val="0"/>
                          <w:marTop w:val="0"/>
                          <w:marBottom w:val="0"/>
                          <w:divBdr>
                            <w:top w:val="none" w:sz="0" w:space="0" w:color="auto"/>
                            <w:left w:val="none" w:sz="0" w:space="0" w:color="auto"/>
                            <w:bottom w:val="none" w:sz="0" w:space="0" w:color="auto"/>
                            <w:right w:val="none" w:sz="0" w:space="0" w:color="auto"/>
                          </w:divBdr>
                          <w:divsChild>
                            <w:div w:id="1732800732">
                              <w:marLeft w:val="0"/>
                              <w:marRight w:val="0"/>
                              <w:marTop w:val="0"/>
                              <w:marBottom w:val="0"/>
                              <w:divBdr>
                                <w:top w:val="none" w:sz="0" w:space="0" w:color="auto"/>
                                <w:left w:val="none" w:sz="0" w:space="0" w:color="auto"/>
                                <w:bottom w:val="none" w:sz="0" w:space="0" w:color="auto"/>
                                <w:right w:val="none" w:sz="0" w:space="0" w:color="auto"/>
                              </w:divBdr>
                              <w:divsChild>
                                <w:div w:id="17253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2026-10-11T16:27:00Z</dcterms:created>
  <dcterms:modified xsi:type="dcterms:W3CDTF">2026-10-11T16:42:00Z</dcterms:modified>
</cp:coreProperties>
</file>