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469" w:rsidRPr="009B0469" w:rsidRDefault="009B0469" w:rsidP="009B0469">
      <w:pPr>
        <w:rPr>
          <w:rFonts w:ascii="Times New Roman" w:hAnsi="Times New Roman" w:cs="Times New Roman"/>
          <w:b/>
          <w:sz w:val="24"/>
          <w:szCs w:val="24"/>
        </w:rPr>
      </w:pPr>
      <w:r w:rsidRPr="009B0469">
        <w:rPr>
          <w:rFonts w:ascii="Times New Roman" w:hAnsi="Times New Roman" w:cs="Times New Roman"/>
          <w:b/>
          <w:sz w:val="24"/>
          <w:szCs w:val="24"/>
        </w:rPr>
        <w:t>The five que</w:t>
      </w:r>
      <w:bookmarkStart w:id="0" w:name="_GoBack"/>
      <w:bookmarkEnd w:id="0"/>
      <w:r w:rsidRPr="009B0469">
        <w:rPr>
          <w:rFonts w:ascii="Times New Roman" w:hAnsi="Times New Roman" w:cs="Times New Roman"/>
          <w:b/>
          <w:sz w:val="24"/>
          <w:szCs w:val="24"/>
        </w:rPr>
        <w:t>stions</w:t>
      </w:r>
    </w:p>
    <w:p w:rsidR="009B0469" w:rsidRPr="009B0469" w:rsidRDefault="009B0469" w:rsidP="009B0469">
      <w:pPr>
        <w:rPr>
          <w:rFonts w:ascii="Times New Roman" w:hAnsi="Times New Roman" w:cs="Times New Roman"/>
          <w:sz w:val="24"/>
          <w:szCs w:val="24"/>
        </w:rPr>
      </w:pPr>
    </w:p>
    <w:p w:rsidR="009B0469" w:rsidRPr="009B0469" w:rsidRDefault="009B0469" w:rsidP="009B0469">
      <w:pPr>
        <w:rPr>
          <w:rFonts w:ascii="Times New Roman" w:hAnsi="Times New Roman" w:cs="Times New Roman"/>
          <w:b/>
          <w:sz w:val="24"/>
          <w:szCs w:val="24"/>
        </w:rPr>
      </w:pPr>
      <w:r>
        <w:rPr>
          <w:rFonts w:ascii="Times New Roman" w:hAnsi="Times New Roman" w:cs="Times New Roman"/>
          <w:b/>
          <w:sz w:val="24"/>
          <w:szCs w:val="24"/>
        </w:rPr>
        <w:t>1. What is a row?</w:t>
      </w:r>
    </w:p>
    <w:p w:rsidR="009B0469" w:rsidRDefault="009B0469" w:rsidP="009B0469">
      <w:pPr>
        <w:rPr>
          <w:rFonts w:ascii="Times New Roman" w:hAnsi="Times New Roman" w:cs="Times New Roman"/>
          <w:sz w:val="24"/>
          <w:szCs w:val="24"/>
        </w:rPr>
      </w:pPr>
      <w:r w:rsidRPr="009B0469">
        <w:rPr>
          <w:rFonts w:ascii="Times New Roman" w:hAnsi="Times New Roman" w:cs="Times New Roman"/>
          <w:sz w:val="24"/>
          <w:szCs w:val="24"/>
        </w:rPr>
        <w:t>The original dataset contains seven indicator rows, each covering 36 years from 1990 to 2025. All seven indicators belong to Pakistan, as confirmed by the country code PAK. No regional or income-group aggregates are included, meaning that the dataset contains only country-level observations. After cleaning, the data is organised into a table covering 36 years and six indicator series. Therefore, the unit of observation is country-year, representing Pakistan's economic indicators for a particular year. Since the dataset ends in 2025, the following year's outcome can only be calculated for 35 years, as no subsequent observation is available for 2025. The years are consecutive, with no gaps in the sequence.</w:t>
      </w:r>
    </w:p>
    <w:p w:rsidR="009B0469" w:rsidRPr="009B0469" w:rsidRDefault="009B0469" w:rsidP="009B0469">
      <w:pPr>
        <w:rPr>
          <w:rFonts w:ascii="Times New Roman" w:hAnsi="Times New Roman" w:cs="Times New Roman"/>
          <w:sz w:val="24"/>
          <w:szCs w:val="24"/>
        </w:rPr>
      </w:pPr>
    </w:p>
    <w:p w:rsidR="009B0469" w:rsidRPr="009B0469" w:rsidRDefault="009B0469" w:rsidP="009B0469">
      <w:pPr>
        <w:rPr>
          <w:rFonts w:ascii="Times New Roman" w:hAnsi="Times New Roman" w:cs="Times New Roman"/>
          <w:b/>
          <w:sz w:val="24"/>
          <w:szCs w:val="24"/>
        </w:rPr>
      </w:pPr>
      <w:r w:rsidRPr="009B0469">
        <w:rPr>
          <w:rFonts w:ascii="Times New Roman" w:hAnsi="Times New Roman" w:cs="Times New Roman"/>
          <w:b/>
          <w:sz w:val="24"/>
          <w:szCs w:val="24"/>
        </w:rPr>
        <w:t>2. Wh</w:t>
      </w:r>
      <w:r>
        <w:rPr>
          <w:rFonts w:ascii="Times New Roman" w:hAnsi="Times New Roman" w:cs="Times New Roman"/>
          <w:b/>
          <w:sz w:val="24"/>
          <w:szCs w:val="24"/>
        </w:rPr>
        <w:t>at are the units of the result?</w:t>
      </w:r>
    </w:p>
    <w:p w:rsidR="009B0469" w:rsidRDefault="009B0469" w:rsidP="009B0469">
      <w:pPr>
        <w:rPr>
          <w:rFonts w:ascii="Times New Roman" w:hAnsi="Times New Roman" w:cs="Times New Roman"/>
          <w:sz w:val="24"/>
          <w:szCs w:val="24"/>
        </w:rPr>
      </w:pPr>
      <w:r w:rsidRPr="009B0469">
        <w:rPr>
          <w:rFonts w:ascii="Times New Roman" w:hAnsi="Times New Roman" w:cs="Times New Roman"/>
          <w:sz w:val="24"/>
          <w:szCs w:val="24"/>
        </w:rPr>
        <w:t>The indicator used in this analysis is Reserves in Months of Imports (FI.RES.TOTL.MO). It measures how many months a country's imports of goods and services could be covered by its foreign reserves. The metadata lists the unit as months, although it also refers to monetary gold. The values range from 0.88 months in 1996 to 8.05 months in 2003, with a median of 3.09 months. For this project, I have classified a year as having low reserves if the value is below three months, following the threshold provided in the course brief. Based on this definition, 16 out of 36 years are classified as low-reserve years. Of the 35 years for which the following year's outcome can be calculated, 15 are followed by another low-reserve year. However, this threshold is not derived from the data, and changing it affects the results: a threshold of 2.5 months identifies 14 low-reserve years, while 3.5 months identifies 22. This sensitivity raises questions about whether a fixed threshold is the most appropriate way to measure economic vulnerability.</w:t>
      </w:r>
    </w:p>
    <w:p w:rsidR="009B0469" w:rsidRPr="009B0469" w:rsidRDefault="009B0469" w:rsidP="009B0469">
      <w:pPr>
        <w:rPr>
          <w:rFonts w:ascii="Times New Roman" w:hAnsi="Times New Roman" w:cs="Times New Roman"/>
          <w:sz w:val="24"/>
          <w:szCs w:val="24"/>
        </w:rPr>
      </w:pPr>
    </w:p>
    <w:p w:rsidR="009B0469" w:rsidRPr="009B0469" w:rsidRDefault="009B0469" w:rsidP="009B0469">
      <w:pPr>
        <w:rPr>
          <w:rFonts w:ascii="Times New Roman" w:hAnsi="Times New Roman" w:cs="Times New Roman"/>
          <w:b/>
          <w:sz w:val="24"/>
          <w:szCs w:val="24"/>
        </w:rPr>
      </w:pPr>
      <w:r>
        <w:rPr>
          <w:rFonts w:ascii="Times New Roman" w:hAnsi="Times New Roman" w:cs="Times New Roman"/>
          <w:b/>
          <w:sz w:val="24"/>
          <w:szCs w:val="24"/>
          <w:lang w:val="en-US"/>
        </w:rPr>
        <w:t xml:space="preserve">3. </w:t>
      </w:r>
      <w:r w:rsidRPr="009B0469">
        <w:rPr>
          <w:rFonts w:ascii="Times New Roman" w:hAnsi="Times New Roman" w:cs="Times New Roman"/>
          <w:b/>
          <w:sz w:val="24"/>
          <w:szCs w:val="24"/>
        </w:rPr>
        <w:t xml:space="preserve">What are the </w:t>
      </w:r>
      <w:r>
        <w:rPr>
          <w:rFonts w:ascii="Times New Roman" w:hAnsi="Times New Roman" w:cs="Times New Roman"/>
          <w:b/>
          <w:sz w:val="24"/>
          <w:szCs w:val="24"/>
        </w:rPr>
        <w:t>time dimensions for this story?</w:t>
      </w:r>
    </w:p>
    <w:p w:rsidR="009B0469" w:rsidRDefault="009B0469" w:rsidP="009B0469">
      <w:pPr>
        <w:rPr>
          <w:rFonts w:ascii="Times New Roman" w:hAnsi="Times New Roman" w:cs="Times New Roman"/>
          <w:sz w:val="24"/>
          <w:szCs w:val="24"/>
        </w:rPr>
      </w:pPr>
      <w:r w:rsidRPr="009B0469">
        <w:rPr>
          <w:rFonts w:ascii="Times New Roman" w:hAnsi="Times New Roman" w:cs="Times New Roman"/>
          <w:sz w:val="24"/>
          <w:szCs w:val="24"/>
        </w:rPr>
        <w:t>The dataset covers the period from 1990 to 2025, while the metadata lists different starting years for the indicators, ranging from 1960 to 1970. The footer states "Last Updated: 10/08/2026", which refers to the database's latest update rather than the date the data was downloaded. One concern is that the documentation states that data is available only from 2005 onwards, even though the file contains observations from 1990. This raises questions about the comparability of the first 15 observations and whether they should be included in the analysis. Additionally, the metadata does not clarify whether the annual figures represent calendar years, fiscal years, or end-of-year values versus annual averages. These uncertainties are particularly important for 2025, the most recent observation, which may be subject to revisions or reflect rapidly changing economic conditions. These limitations should be considered when interpreting the results and using the indicators to predict economic vulnerability.</w:t>
      </w:r>
    </w:p>
    <w:p w:rsidR="009B0469" w:rsidRDefault="009B0469" w:rsidP="009B0469">
      <w:pPr>
        <w:rPr>
          <w:rFonts w:ascii="Times New Roman" w:hAnsi="Times New Roman" w:cs="Times New Roman"/>
          <w:sz w:val="24"/>
          <w:szCs w:val="24"/>
        </w:rPr>
      </w:pPr>
    </w:p>
    <w:p w:rsidR="009B0469" w:rsidRPr="009B0469" w:rsidRDefault="009B0469" w:rsidP="009B0469">
      <w:pPr>
        <w:rPr>
          <w:rFonts w:ascii="Times New Roman" w:hAnsi="Times New Roman" w:cs="Times New Roman"/>
          <w:sz w:val="24"/>
          <w:szCs w:val="24"/>
        </w:rPr>
      </w:pPr>
    </w:p>
    <w:p w:rsidR="009B0469" w:rsidRPr="009B0469" w:rsidRDefault="009B0469" w:rsidP="009B0469">
      <w:pPr>
        <w:rPr>
          <w:rFonts w:ascii="Times New Roman" w:hAnsi="Times New Roman" w:cs="Times New Roman"/>
          <w:b/>
          <w:sz w:val="24"/>
          <w:szCs w:val="24"/>
        </w:rPr>
      </w:pPr>
      <w:r>
        <w:rPr>
          <w:rFonts w:ascii="Times New Roman" w:hAnsi="Times New Roman" w:cs="Times New Roman"/>
          <w:b/>
          <w:sz w:val="24"/>
          <w:szCs w:val="24"/>
        </w:rPr>
        <w:lastRenderedPageBreak/>
        <w:t>4. Who is missing?</w:t>
      </w:r>
    </w:p>
    <w:p w:rsidR="009B0469" w:rsidRPr="009B0469" w:rsidRDefault="009B0469" w:rsidP="009B0469">
      <w:pPr>
        <w:rPr>
          <w:rFonts w:ascii="Times New Roman" w:hAnsi="Times New Roman" w:cs="Times New Roman"/>
          <w:sz w:val="24"/>
          <w:szCs w:val="24"/>
          <w:lang w:val="en-US"/>
        </w:rPr>
      </w:pPr>
      <w:r w:rsidRPr="009B0469">
        <w:rPr>
          <w:rFonts w:ascii="Times New Roman" w:hAnsi="Times New Roman" w:cs="Times New Roman"/>
          <w:b/>
          <w:sz w:val="24"/>
          <w:szCs w:val="24"/>
        </w:rPr>
        <w:t>All countries except Pakistan.</w:t>
      </w:r>
      <w:r w:rsidRPr="009B0469">
        <w:rPr>
          <w:rFonts w:ascii="Times New Roman" w:hAnsi="Times New Roman" w:cs="Times New Roman"/>
          <w:sz w:val="24"/>
          <w:szCs w:val="24"/>
        </w:rPr>
        <w:t xml:space="preserve"> I counted country codes: 7 PAK country codes were counted. There are no natural comparison economies (except India, Bangladesh, Sri Lanka, Egypt, Turkey and Indonesia). These are my suggested peers not those in the file.</w:t>
      </w:r>
      <w:r>
        <w:rPr>
          <w:rFonts w:ascii="Times New Roman" w:hAnsi="Times New Roman" w:cs="Times New Roman"/>
          <w:sz w:val="24"/>
          <w:szCs w:val="24"/>
          <w:lang w:val="en-US"/>
        </w:rPr>
        <w:t xml:space="preserve"> But these are viable for future model trainings. </w:t>
      </w:r>
    </w:p>
    <w:p w:rsidR="009B0469" w:rsidRPr="009B0469" w:rsidRDefault="009B0469" w:rsidP="009B0469">
      <w:pPr>
        <w:rPr>
          <w:rFonts w:ascii="Times New Roman" w:hAnsi="Times New Roman" w:cs="Times New Roman"/>
          <w:sz w:val="24"/>
          <w:szCs w:val="24"/>
        </w:rPr>
      </w:pPr>
      <w:r w:rsidRPr="009B0469">
        <w:rPr>
          <w:rFonts w:ascii="Times New Roman" w:hAnsi="Times New Roman" w:cs="Times New Roman"/>
          <w:b/>
          <w:sz w:val="24"/>
          <w:szCs w:val="24"/>
        </w:rPr>
        <w:t>The majority of import basket</w:t>
      </w:r>
      <w:r w:rsidRPr="009B0469">
        <w:rPr>
          <w:rFonts w:ascii="Times New Roman" w:hAnsi="Times New Roman" w:cs="Times New Roman"/>
          <w:sz w:val="24"/>
          <w:szCs w:val="24"/>
        </w:rPr>
        <w:t>. The average share of food plus fuel imports in merchandise imports is 38.7%. (range 30.0-49.6%) which means 70% of imports, including machinery and production inputs, are unobserved. The metadata even contains a warning that “merchandise import shares may not add up to 100 percent due to unclassified trade.” Services imports are not included in these shares, but the reserves measure are split by imports of goods and services.</w:t>
      </w:r>
    </w:p>
    <w:p w:rsidR="009B0469" w:rsidRPr="009B0469" w:rsidRDefault="009B0469" w:rsidP="009B0469">
      <w:pPr>
        <w:rPr>
          <w:rFonts w:ascii="Times New Roman" w:hAnsi="Times New Roman" w:cs="Times New Roman"/>
          <w:sz w:val="24"/>
          <w:szCs w:val="24"/>
        </w:rPr>
      </w:pPr>
      <w:r w:rsidRPr="009B0469">
        <w:rPr>
          <w:rFonts w:ascii="Times New Roman" w:hAnsi="Times New Roman" w:cs="Times New Roman"/>
          <w:b/>
          <w:sz w:val="24"/>
          <w:szCs w:val="24"/>
        </w:rPr>
        <w:t>Firms and SMEs</w:t>
      </w:r>
      <w:r w:rsidRPr="009B0469">
        <w:rPr>
          <w:rFonts w:ascii="Times New Roman" w:hAnsi="Times New Roman" w:cs="Times New Roman"/>
          <w:sz w:val="24"/>
          <w:szCs w:val="24"/>
        </w:rPr>
        <w:t>. There is no payment timing, or hedging or any kind of import bill on any firm because the aggregates are national. That's the same frame that your Week 1 frame allowed.</w:t>
      </w:r>
    </w:p>
    <w:p w:rsidR="009B0469" w:rsidRPr="009B0469" w:rsidRDefault="009B0469" w:rsidP="009B0469">
      <w:pPr>
        <w:rPr>
          <w:rFonts w:ascii="Times New Roman" w:hAnsi="Times New Roman" w:cs="Times New Roman"/>
          <w:sz w:val="24"/>
          <w:szCs w:val="24"/>
        </w:rPr>
      </w:pPr>
      <w:r w:rsidRPr="009B0469">
        <w:rPr>
          <w:rFonts w:ascii="Times New Roman" w:hAnsi="Times New Roman" w:cs="Times New Roman"/>
          <w:b/>
          <w:sz w:val="24"/>
          <w:szCs w:val="24"/>
        </w:rPr>
        <w:t>Informal remittances</w:t>
      </w:r>
      <w:r w:rsidRPr="009B0469">
        <w:rPr>
          <w:rFonts w:ascii="Times New Roman" w:hAnsi="Times New Roman" w:cs="Times New Roman"/>
          <w:sz w:val="24"/>
          <w:szCs w:val="24"/>
        </w:rPr>
        <w:t xml:space="preserve">. The definition of remittances provided in the metadata describes personal transfers or employee compensation and does not refer to any informal channels. The trend of record in FY2025 was attributed to the narrowing gap between the formal and informal rates and the official rate series may in part reflect a channel shift. Externally - not from a file. </w:t>
      </w:r>
    </w:p>
    <w:p w:rsidR="009B0469" w:rsidRPr="009B0469" w:rsidRDefault="009B0469" w:rsidP="009B0469">
      <w:pPr>
        <w:rPr>
          <w:rFonts w:ascii="Times New Roman" w:hAnsi="Times New Roman" w:cs="Times New Roman"/>
          <w:sz w:val="24"/>
          <w:szCs w:val="24"/>
        </w:rPr>
      </w:pPr>
      <w:r w:rsidRPr="009B0469">
        <w:rPr>
          <w:rFonts w:ascii="Times New Roman" w:hAnsi="Times New Roman" w:cs="Times New Roman"/>
          <w:b/>
          <w:sz w:val="24"/>
          <w:szCs w:val="24"/>
        </w:rPr>
        <w:t>Within-year movement.</w:t>
      </w:r>
      <w:r w:rsidRPr="009B0469">
        <w:rPr>
          <w:rFonts w:ascii="Times New Roman" w:hAnsi="Times New Roman" w:cs="Times New Roman"/>
          <w:sz w:val="24"/>
          <w:szCs w:val="24"/>
        </w:rPr>
        <w:t xml:space="preserve"> One number per year, so dips that occur within a year are not visible.</w:t>
      </w:r>
    </w:p>
    <w:p w:rsidR="009B0469" w:rsidRPr="009B0469" w:rsidRDefault="009B0469" w:rsidP="009B0469">
      <w:pPr>
        <w:rPr>
          <w:rFonts w:ascii="Times New Roman" w:hAnsi="Times New Roman" w:cs="Times New Roman"/>
          <w:sz w:val="24"/>
          <w:szCs w:val="24"/>
        </w:rPr>
      </w:pPr>
      <w:r w:rsidRPr="009B0469">
        <w:rPr>
          <w:rFonts w:ascii="Times New Roman" w:hAnsi="Times New Roman" w:cs="Times New Roman"/>
          <w:b/>
          <w:sz w:val="24"/>
          <w:szCs w:val="24"/>
          <w:lang w:val="en-US"/>
        </w:rPr>
        <w:t>T</w:t>
      </w:r>
      <w:r w:rsidRPr="009B0469">
        <w:rPr>
          <w:rFonts w:ascii="Times New Roman" w:hAnsi="Times New Roman" w:cs="Times New Roman"/>
          <w:b/>
          <w:sz w:val="24"/>
          <w:szCs w:val="24"/>
        </w:rPr>
        <w:t>he missing cells are</w:t>
      </w:r>
      <w:r w:rsidRPr="009B0469">
        <w:rPr>
          <w:rFonts w:ascii="Times New Roman" w:hAnsi="Times New Roman" w:cs="Times New Roman"/>
          <w:sz w:val="24"/>
          <w:szCs w:val="24"/>
        </w:rPr>
        <w:t>: Food in 1994, and Expenditure on education (dropped) in 32 of 36 years.</w:t>
      </w:r>
    </w:p>
    <w:p w:rsidR="009B0469" w:rsidRPr="009B0469" w:rsidRDefault="009B0469" w:rsidP="009B0469">
      <w:pPr>
        <w:rPr>
          <w:rFonts w:ascii="Times New Roman" w:hAnsi="Times New Roman" w:cs="Times New Roman"/>
          <w:sz w:val="24"/>
          <w:szCs w:val="24"/>
        </w:rPr>
      </w:pPr>
    </w:p>
    <w:p w:rsidR="009B0469" w:rsidRPr="009B0469" w:rsidRDefault="009B0469" w:rsidP="009B0469">
      <w:pPr>
        <w:rPr>
          <w:rFonts w:ascii="Times New Roman" w:hAnsi="Times New Roman" w:cs="Times New Roman"/>
          <w:b/>
          <w:sz w:val="24"/>
          <w:szCs w:val="24"/>
        </w:rPr>
      </w:pPr>
      <w:r w:rsidRPr="009B0469">
        <w:rPr>
          <w:rFonts w:ascii="Times New Roman" w:hAnsi="Times New Roman" w:cs="Times New Roman"/>
          <w:b/>
          <w:sz w:val="24"/>
          <w:szCs w:val="24"/>
        </w:rPr>
        <w:t>5. What was the</w:t>
      </w:r>
      <w:r>
        <w:rPr>
          <w:rFonts w:ascii="Times New Roman" w:hAnsi="Times New Roman" w:cs="Times New Roman"/>
          <w:b/>
          <w:sz w:val="24"/>
          <w:szCs w:val="24"/>
        </w:rPr>
        <w:t xml:space="preserve"> sampling frame for this study?</w:t>
      </w:r>
    </w:p>
    <w:p w:rsidR="00D57F61" w:rsidRPr="009B0469" w:rsidRDefault="009B0469" w:rsidP="009B0469">
      <w:pPr>
        <w:rPr>
          <w:rFonts w:ascii="Times New Roman" w:hAnsi="Times New Roman" w:cs="Times New Roman"/>
          <w:sz w:val="24"/>
          <w:szCs w:val="24"/>
        </w:rPr>
      </w:pPr>
      <w:r w:rsidRPr="009B0469">
        <w:rPr>
          <w:rFonts w:ascii="Times New Roman" w:hAnsi="Times New Roman" w:cs="Times New Roman"/>
          <w:sz w:val="24"/>
          <w:szCs w:val="24"/>
        </w:rPr>
        <w:t>This is aggregated data, so the frame is how each figure was produced. None of the documentation mentions a sample survey, so there is no sampling error, but there are compilation and revision risks. The metadata attributes reserves to the IMF's International Financial Statistics (reserve assets "controlled by monetary authorities", so central-bank records, though the text never says "administrative records"). Trade shares come from UN Comtrade/WITS, and the docs say only that "specific information on how countries compile their merchandise trade statistics" is on the IMF website, so Pakistan's own method is not in the file. Current account and remittances come from IMF balance-of-payments data, and the remittances note admits that missing values are filled by "Last Observation Carried Forward (LOCF) and Next Observation Carried Backward (NOCB)" and that "estimates are created based on historical ratios and trends", so some values are model-filled and the file doesn't say which. GDP growth comes from national accounts, and the docs concede that "informal economic activities pose a particular measurement problem" and that rebasing can break series.</w:t>
      </w:r>
    </w:p>
    <w:sectPr w:rsidR="00D57F61" w:rsidRPr="009B0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Medium">
    <w:panose1 w:val="020B0309030602030204"/>
    <w:charset w:val="00"/>
    <w:family w:val="modern"/>
    <w:pitch w:val="fixed"/>
    <w:sig w:usb0="E00002FF" w:usb1="5000205B"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469"/>
    <w:rsid w:val="009B0469"/>
    <w:rsid w:val="00D57F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BFC2F3-BF26-44A7-98B3-A6F904CD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2026-10-11T16:14:00Z</dcterms:created>
  <dcterms:modified xsi:type="dcterms:W3CDTF">2026-10-11T16:24:00Z</dcterms:modified>
</cp:coreProperties>
</file>