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581A" w14:textId="41F66A55" w:rsidR="00134A69" w:rsidRDefault="00BA1543" w:rsidP="00BA1543">
      <w:pPr>
        <w:spacing w:after="0"/>
        <w:jc w:val="center"/>
        <w:rPr>
          <w:b/>
          <w:bCs/>
          <w:sz w:val="30"/>
          <w:szCs w:val="30"/>
        </w:rPr>
      </w:pPr>
      <w:r w:rsidRPr="00BA1543">
        <w:rPr>
          <w:b/>
          <w:bCs/>
          <w:sz w:val="30"/>
          <w:szCs w:val="30"/>
        </w:rPr>
        <w:t>MIPS Scoring Writeup</w:t>
      </w:r>
    </w:p>
    <w:p w14:paraId="255A13C6" w14:textId="0BB5650E" w:rsidR="00BA1543" w:rsidRDefault="00BA1543" w:rsidP="00BA1543">
      <w:pPr>
        <w:spacing w:after="0"/>
        <w:jc w:val="both"/>
        <w:rPr>
          <w:b/>
          <w:bCs/>
        </w:rPr>
      </w:pPr>
    </w:p>
    <w:p w14:paraId="48F2808F" w14:textId="057E0532" w:rsidR="00BA1543" w:rsidRPr="00BA1543" w:rsidRDefault="00BA1543" w:rsidP="00BA1543">
      <w:pPr>
        <w:pStyle w:val="ListParagraph"/>
        <w:numPr>
          <w:ilvl w:val="0"/>
          <w:numId w:val="2"/>
        </w:numPr>
        <w:spacing w:after="0"/>
        <w:jc w:val="both"/>
      </w:pPr>
      <w:r>
        <w:rPr>
          <w:b/>
          <w:bCs/>
        </w:rPr>
        <w:t>Background</w:t>
      </w:r>
    </w:p>
    <w:p w14:paraId="4E9A1153" w14:textId="685B22D8" w:rsidR="00BA1543" w:rsidRDefault="00BA1543" w:rsidP="00BA1543">
      <w:pPr>
        <w:spacing w:after="0"/>
        <w:ind w:left="360"/>
        <w:jc w:val="both"/>
      </w:pPr>
      <w:r>
        <w:t>Following the 2015 Medicare Access and CHIP Reauthorization Act</w:t>
      </w:r>
      <w:r w:rsidR="00D402E3">
        <w:t>, t</w:t>
      </w:r>
      <w:r>
        <w:t>he CMS established the Quality Payment Program</w:t>
      </w:r>
      <w:r w:rsidR="00D402E3">
        <w:t xml:space="preserve"> in 2017 to incentivize high-value and high-quality care. Clinicians have two tracks in the program to</w:t>
      </w:r>
      <w:r w:rsidR="004521FE">
        <w:t xml:space="preserve"> choose from: the Advanced Alter</w:t>
      </w:r>
      <w:r w:rsidR="00BD54C3">
        <w:t>native Payment Models (AAPM) track and the Merit-based Incentive Payment System (MIPS) track.</w:t>
      </w:r>
    </w:p>
    <w:p w14:paraId="22F659AB" w14:textId="77777777" w:rsidR="0087179C" w:rsidRDefault="0087179C" w:rsidP="00BA1543">
      <w:pPr>
        <w:spacing w:after="0"/>
        <w:ind w:left="360"/>
        <w:jc w:val="both"/>
      </w:pPr>
    </w:p>
    <w:p w14:paraId="64AD8E4B" w14:textId="4F72BA51" w:rsidR="0087179C" w:rsidRPr="0086665E" w:rsidRDefault="0086665E" w:rsidP="0087179C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Eligibility</w:t>
      </w:r>
    </w:p>
    <w:p w14:paraId="03611268" w14:textId="74AF2D0E" w:rsidR="0086665E" w:rsidRDefault="0086665E" w:rsidP="00F82909">
      <w:pPr>
        <w:spacing w:after="0"/>
        <w:ind w:left="360"/>
        <w:jc w:val="both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1"/>
        <w:gridCol w:w="2982"/>
        <w:gridCol w:w="3007"/>
      </w:tblGrid>
      <w:tr w:rsidR="00881733" w14:paraId="03BA9467" w14:textId="77777777" w:rsidTr="00881733">
        <w:tc>
          <w:tcPr>
            <w:tcW w:w="3001" w:type="dxa"/>
          </w:tcPr>
          <w:p w14:paraId="5F73034F" w14:textId="01D847C7" w:rsidR="00536412" w:rsidRDefault="00536412" w:rsidP="00F8290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Individuals</w:t>
            </w:r>
          </w:p>
        </w:tc>
        <w:tc>
          <w:tcPr>
            <w:tcW w:w="2982" w:type="dxa"/>
          </w:tcPr>
          <w:p w14:paraId="5A52CA29" w14:textId="7EFE1EE5" w:rsidR="00536412" w:rsidRDefault="00664CFA" w:rsidP="00F8290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Groups</w:t>
            </w:r>
          </w:p>
        </w:tc>
        <w:tc>
          <w:tcPr>
            <w:tcW w:w="3007" w:type="dxa"/>
          </w:tcPr>
          <w:p w14:paraId="35226647" w14:textId="5C0DFDB6" w:rsidR="00536412" w:rsidRDefault="00664CFA" w:rsidP="00F8290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MIPS APM</w:t>
            </w:r>
            <w:r w:rsidR="00F8409B">
              <w:rPr>
                <w:b/>
                <w:bCs/>
              </w:rPr>
              <w:t xml:space="preserve"> Entities</w:t>
            </w:r>
          </w:p>
        </w:tc>
      </w:tr>
      <w:tr w:rsidR="00881733" w14:paraId="3690EA21" w14:textId="77777777" w:rsidTr="00881733">
        <w:tc>
          <w:tcPr>
            <w:tcW w:w="3001" w:type="dxa"/>
          </w:tcPr>
          <w:p w14:paraId="27DBE865" w14:textId="7803A139" w:rsidR="00881733" w:rsidRPr="00A01361" w:rsidRDefault="00881733" w:rsidP="00F82909">
            <w:pPr>
              <w:jc w:val="both"/>
            </w:pPr>
            <w:r>
              <w:t xml:space="preserve">Eligible “type” (physicians, NPs, PAs, etc.) </w:t>
            </w:r>
          </w:p>
        </w:tc>
        <w:tc>
          <w:tcPr>
            <w:tcW w:w="2982" w:type="dxa"/>
            <w:vMerge w:val="restart"/>
          </w:tcPr>
          <w:p w14:paraId="422DA077" w14:textId="77C827DC" w:rsidR="00881733" w:rsidRDefault="005B11E7" w:rsidP="00F82909">
            <w:pPr>
              <w:jc w:val="both"/>
            </w:pPr>
            <w:r>
              <w:t>At least one member must satisfy the three conditions on the left</w:t>
            </w:r>
          </w:p>
          <w:p w14:paraId="06670B22" w14:textId="77777777" w:rsidR="00AE0038" w:rsidRDefault="00AE0038" w:rsidP="00F82909">
            <w:pPr>
              <w:jc w:val="both"/>
            </w:pPr>
          </w:p>
          <w:p w14:paraId="3A6F2E47" w14:textId="34EF788C" w:rsidR="00AE0038" w:rsidRPr="00D704B4" w:rsidRDefault="00AE0038" w:rsidP="00F82909">
            <w:pPr>
              <w:jc w:val="both"/>
            </w:pPr>
          </w:p>
        </w:tc>
        <w:tc>
          <w:tcPr>
            <w:tcW w:w="3007" w:type="dxa"/>
          </w:tcPr>
          <w:p w14:paraId="564F2D7D" w14:textId="04E3FF83" w:rsidR="00881733" w:rsidRPr="00AA2CC1" w:rsidRDefault="000F7111" w:rsidP="00F82909">
            <w:pPr>
              <w:jc w:val="both"/>
            </w:pPr>
            <w:r>
              <w:t xml:space="preserve">Participates under a legal </w:t>
            </w:r>
            <w:r w:rsidR="00B644D9">
              <w:t>agreement with CMS</w:t>
            </w:r>
          </w:p>
        </w:tc>
      </w:tr>
      <w:tr w:rsidR="00881733" w14:paraId="77FA0B77" w14:textId="77777777" w:rsidTr="00881733">
        <w:tc>
          <w:tcPr>
            <w:tcW w:w="3001" w:type="dxa"/>
          </w:tcPr>
          <w:p w14:paraId="7072C608" w14:textId="23EA6926" w:rsidR="00881733" w:rsidRPr="00CA07C8" w:rsidRDefault="00881733" w:rsidP="00F82909">
            <w:pPr>
              <w:jc w:val="both"/>
            </w:pPr>
            <w:r w:rsidRPr="00CA07C8">
              <w:t>Previously enrolled as a Medicare provider</w:t>
            </w:r>
          </w:p>
        </w:tc>
        <w:tc>
          <w:tcPr>
            <w:tcW w:w="2982" w:type="dxa"/>
            <w:vMerge/>
          </w:tcPr>
          <w:p w14:paraId="7E241D22" w14:textId="77777777" w:rsidR="00881733" w:rsidRDefault="00881733" w:rsidP="00F82909">
            <w:pPr>
              <w:jc w:val="both"/>
              <w:rPr>
                <w:b/>
                <w:bCs/>
              </w:rPr>
            </w:pPr>
          </w:p>
        </w:tc>
        <w:tc>
          <w:tcPr>
            <w:tcW w:w="3007" w:type="dxa"/>
          </w:tcPr>
          <w:p w14:paraId="4A7EA7D9" w14:textId="46908950" w:rsidR="00881733" w:rsidRPr="005E1DC1" w:rsidRDefault="0058223E" w:rsidP="00F82909">
            <w:pPr>
              <w:jc w:val="both"/>
            </w:pPr>
            <w:r>
              <w:t xml:space="preserve">At least one </w:t>
            </w:r>
            <w:r w:rsidR="00257381">
              <w:t>MIPS-eligible physician</w:t>
            </w:r>
            <w:r w:rsidR="00922C4C">
              <w:t xml:space="preserve"> on the participation list</w:t>
            </w:r>
          </w:p>
        </w:tc>
      </w:tr>
      <w:tr w:rsidR="00881733" w14:paraId="547B6CC2" w14:textId="77777777" w:rsidTr="00881733">
        <w:tc>
          <w:tcPr>
            <w:tcW w:w="3001" w:type="dxa"/>
          </w:tcPr>
          <w:p w14:paraId="4E96DA0D" w14:textId="7DD02E07" w:rsidR="00881733" w:rsidRPr="001C516E" w:rsidRDefault="00B57464" w:rsidP="00F82909">
            <w:pPr>
              <w:jc w:val="both"/>
            </w:pPr>
            <w:r>
              <w:t>Cannot be a Qualifying APM Participant in the AAPM track</w:t>
            </w:r>
          </w:p>
        </w:tc>
        <w:tc>
          <w:tcPr>
            <w:tcW w:w="2982" w:type="dxa"/>
            <w:vMerge/>
          </w:tcPr>
          <w:p w14:paraId="0C380E73" w14:textId="77777777" w:rsidR="00881733" w:rsidRDefault="00881733" w:rsidP="00F82909">
            <w:pPr>
              <w:jc w:val="both"/>
              <w:rPr>
                <w:b/>
                <w:bCs/>
              </w:rPr>
            </w:pPr>
          </w:p>
        </w:tc>
        <w:tc>
          <w:tcPr>
            <w:tcW w:w="3007" w:type="dxa"/>
          </w:tcPr>
          <w:p w14:paraId="5D8F1091" w14:textId="731ADD3D" w:rsidR="00881733" w:rsidRPr="00341339" w:rsidRDefault="00341339" w:rsidP="00F82909">
            <w:pPr>
              <w:jc w:val="both"/>
            </w:pPr>
            <w:r>
              <w:t>APM must base</w:t>
            </w:r>
            <w:r w:rsidR="00B0079E">
              <w:t xml:space="preserve"> own</w:t>
            </w:r>
            <w:r w:rsidR="00CE6A49">
              <w:t xml:space="preserve"> payment incentiv</w:t>
            </w:r>
            <w:r w:rsidR="00514F9E">
              <w:t xml:space="preserve">es on </w:t>
            </w:r>
            <w:r w:rsidR="005E18A5">
              <w:t xml:space="preserve">performance </w:t>
            </w:r>
            <w:r w:rsidR="00E014BF">
              <w:t>on cost/utilization and quality measures</w:t>
            </w:r>
          </w:p>
        </w:tc>
      </w:tr>
      <w:tr w:rsidR="00881733" w14:paraId="4A1F050D" w14:textId="77777777" w:rsidTr="00881733">
        <w:tc>
          <w:tcPr>
            <w:tcW w:w="3001" w:type="dxa"/>
          </w:tcPr>
          <w:p w14:paraId="1E081F67" w14:textId="19247FB0" w:rsidR="002E1008" w:rsidRPr="002E1008" w:rsidRDefault="002E1008" w:rsidP="00F82909">
            <w:pPr>
              <w:jc w:val="both"/>
            </w:pPr>
            <w:r>
              <w:rPr>
                <w:u w:val="single"/>
              </w:rPr>
              <w:t>Low volume threshold</w:t>
            </w:r>
            <w:r>
              <w:t xml:space="preserve">: </w:t>
            </w:r>
            <w:r w:rsidR="003C5246">
              <w:t xml:space="preserve">(1) </w:t>
            </w:r>
            <w:r w:rsidR="007E239F">
              <w:t>Bill more than</w:t>
            </w:r>
            <w:r w:rsidR="000A5C12">
              <w:t xml:space="preserve"> $90,000</w:t>
            </w:r>
            <w:r w:rsidR="00F27EE9">
              <w:t xml:space="preserve"> for Part B</w:t>
            </w:r>
            <w:r w:rsidR="005F28B4">
              <w:t xml:space="preserve"> services</w:t>
            </w:r>
            <w:r w:rsidR="005437A0">
              <w:t>;</w:t>
            </w:r>
            <w:r w:rsidR="005F28B4">
              <w:t xml:space="preserve"> (2) </w:t>
            </w:r>
            <w:r w:rsidR="005437A0">
              <w:t>S</w:t>
            </w:r>
            <w:r w:rsidR="001408CA">
              <w:t xml:space="preserve">erve </w:t>
            </w:r>
            <w:r w:rsidR="007B1527">
              <w:t>&gt;200 Part B patients</w:t>
            </w:r>
            <w:r w:rsidR="005437A0">
              <w:t>;</w:t>
            </w:r>
            <w:r w:rsidR="005E6A0F">
              <w:t xml:space="preserve"> and </w:t>
            </w:r>
            <w:r w:rsidR="007B1527">
              <w:t xml:space="preserve">(3) </w:t>
            </w:r>
            <w:r w:rsidR="00D06E09">
              <w:t xml:space="preserve">Provide &gt;200 </w:t>
            </w:r>
            <w:r w:rsidR="00DC6DF2">
              <w:t xml:space="preserve">services to </w:t>
            </w:r>
            <w:r w:rsidR="00764074">
              <w:t>Part B patients.</w:t>
            </w:r>
          </w:p>
        </w:tc>
        <w:tc>
          <w:tcPr>
            <w:tcW w:w="2982" w:type="dxa"/>
          </w:tcPr>
          <w:p w14:paraId="38A96C7D" w14:textId="27AD3FC4" w:rsidR="00536412" w:rsidRPr="008E6F0E" w:rsidRDefault="0039114D" w:rsidP="00F82909">
            <w:pPr>
              <w:jc w:val="both"/>
            </w:pPr>
            <w:r>
              <w:t>Exceeds</w:t>
            </w:r>
            <w:r w:rsidR="008E6F0E">
              <w:t xml:space="preserve"> the low-volume threshold as a group</w:t>
            </w:r>
          </w:p>
        </w:tc>
        <w:tc>
          <w:tcPr>
            <w:tcW w:w="3007" w:type="dxa"/>
          </w:tcPr>
          <w:p w14:paraId="56B3C87B" w14:textId="4F428108" w:rsidR="00536412" w:rsidRPr="0039114D" w:rsidRDefault="0039114D" w:rsidP="00F82909">
            <w:pPr>
              <w:jc w:val="both"/>
            </w:pPr>
            <w:r>
              <w:t>Exceeds the low-volume threshold as a group</w:t>
            </w:r>
            <w:r w:rsidR="00CA7BE5">
              <w:t xml:space="preserve"> (no longer the case starting 2021). </w:t>
            </w:r>
          </w:p>
        </w:tc>
      </w:tr>
    </w:tbl>
    <w:p w14:paraId="4794C1B5" w14:textId="77777777" w:rsidR="00CF4038" w:rsidRDefault="00CF4038" w:rsidP="00CF4038">
      <w:pPr>
        <w:spacing w:after="0"/>
        <w:jc w:val="both"/>
      </w:pPr>
    </w:p>
    <w:p w14:paraId="2589B10C" w14:textId="61824624" w:rsidR="007D2E4E" w:rsidRDefault="00C33E7C" w:rsidP="00CF4038">
      <w:pPr>
        <w:spacing w:after="0"/>
        <w:jc w:val="both"/>
      </w:pPr>
      <w:r>
        <w:t>MIPS APMs</w:t>
      </w:r>
      <w:r w:rsidR="004F64E2">
        <w:t xml:space="preserve"> could</w:t>
      </w:r>
      <w:r>
        <w:t xml:space="preserve"> </w:t>
      </w:r>
      <w:r w:rsidR="00311CD1">
        <w:t>include</w:t>
      </w:r>
      <w:r w:rsidR="00C54C66">
        <w:t xml:space="preserve"> </w:t>
      </w:r>
      <w:r w:rsidR="00073192">
        <w:t xml:space="preserve">AAPMs </w:t>
      </w:r>
      <w:r w:rsidR="00427B7E">
        <w:t xml:space="preserve">but also </w:t>
      </w:r>
      <w:r w:rsidR="002E1AD2">
        <w:t>APM</w:t>
      </w:r>
      <w:r w:rsidR="0044488B">
        <w:t xml:space="preserve">s that </w:t>
      </w:r>
      <w:r w:rsidR="004F64E2">
        <w:t>do not qualify as AAPMs due to no risk-sharing.</w:t>
      </w:r>
      <w:r w:rsidR="0048372C">
        <w:t xml:space="preserve"> APMs that are not MIPS APMs can report in a group.</w:t>
      </w:r>
      <w:r w:rsidR="00134399">
        <w:t xml:space="preserve"> </w:t>
      </w:r>
      <w:r w:rsidR="007D2E4E">
        <w:t>There is also</w:t>
      </w:r>
      <w:r w:rsidR="00EC42BC">
        <w:t xml:space="preserve"> a</w:t>
      </w:r>
      <w:r w:rsidR="007D2E4E">
        <w:t xml:space="preserve"> “virtual group”</w:t>
      </w:r>
      <w:r w:rsidR="00EC42BC">
        <w:t xml:space="preserve"> category</w:t>
      </w:r>
      <w:r w:rsidR="007D2E4E">
        <w:t xml:space="preserve">, but these </w:t>
      </w:r>
      <w:r w:rsidR="00BA1B7B">
        <w:t>a</w:t>
      </w:r>
      <w:r w:rsidR="00EC42BC">
        <w:t xml:space="preserve">ppear very </w:t>
      </w:r>
      <w:r w:rsidR="00BA1B7B">
        <w:t>few</w:t>
      </w:r>
      <w:r w:rsidR="00EC42BC">
        <w:t xml:space="preserve"> times</w:t>
      </w:r>
      <w:r w:rsidR="00BA1B7B">
        <w:t xml:space="preserve"> in the data. </w:t>
      </w:r>
    </w:p>
    <w:p w14:paraId="632DA625" w14:textId="77777777" w:rsidR="00C93D71" w:rsidRPr="007D2E4E" w:rsidRDefault="00C93D71" w:rsidP="00C93D71">
      <w:pPr>
        <w:spacing w:after="0"/>
        <w:ind w:firstLine="360"/>
        <w:jc w:val="both"/>
      </w:pPr>
    </w:p>
    <w:p w14:paraId="64E3169E" w14:textId="0053A325" w:rsidR="00E35452" w:rsidRPr="00931F42" w:rsidRDefault="00931F42" w:rsidP="00931F42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Reporting requirements</w:t>
      </w:r>
    </w:p>
    <w:p w14:paraId="5E86DD16" w14:textId="1F73986C" w:rsidR="00296ADF" w:rsidRDefault="00A859DE" w:rsidP="00F82909">
      <w:pPr>
        <w:spacing w:after="0"/>
        <w:ind w:left="360"/>
        <w:jc w:val="both"/>
      </w:pPr>
      <w:r>
        <w:t>All</w:t>
      </w:r>
      <w:r w:rsidR="00565B57">
        <w:t xml:space="preserve"> MIPS eligible clinicians must participate as</w:t>
      </w:r>
      <w:r w:rsidR="009A1B60">
        <w:t xml:space="preserve"> </w:t>
      </w:r>
      <w:r w:rsidR="00565B57">
        <w:t>individual</w:t>
      </w:r>
      <w:r w:rsidR="009A1B60">
        <w:t>s</w:t>
      </w:r>
      <w:r w:rsidR="00565B57">
        <w:t>,</w:t>
      </w:r>
      <w:r w:rsidR="00494578">
        <w:t xml:space="preserve"> </w:t>
      </w:r>
      <w:r w:rsidR="00730859">
        <w:t>in a</w:t>
      </w:r>
      <w:r w:rsidR="009A1B60">
        <w:t xml:space="preserve"> MIP</w:t>
      </w:r>
      <w:r w:rsidR="00E35452">
        <w:t>S</w:t>
      </w:r>
      <w:r w:rsidR="009A1B60">
        <w:t>-eligible</w:t>
      </w:r>
      <w:r w:rsidR="00730859">
        <w:t xml:space="preserve"> group</w:t>
      </w:r>
      <w:r w:rsidR="009A1B60">
        <w:t xml:space="preserve"> </w:t>
      </w:r>
      <w:r w:rsidR="00E35452">
        <w:t xml:space="preserve">(if </w:t>
      </w:r>
      <w:r w:rsidR="009A1B60">
        <w:t>affiliated</w:t>
      </w:r>
      <w:r w:rsidR="005A449A">
        <w:t xml:space="preserve"> with it</w:t>
      </w:r>
      <w:r w:rsidR="00E35452">
        <w:t>)</w:t>
      </w:r>
      <w:r w:rsidR="00730859">
        <w:t>, or in a MIPS APM</w:t>
      </w:r>
      <w:r w:rsidR="00DE73BA">
        <w:t xml:space="preserve">; </w:t>
      </w:r>
      <w:r w:rsidR="006375C5">
        <w:t xml:space="preserve">or </w:t>
      </w:r>
      <w:r w:rsidR="00D02701">
        <w:t>as</w:t>
      </w:r>
      <w:r w:rsidR="0062646B">
        <w:t xml:space="preserve"> both</w:t>
      </w:r>
      <w:r w:rsidR="00D02701">
        <w:t xml:space="preserve"> individuals and group (and receive adjustments based on the higher score)</w:t>
      </w:r>
      <w:r w:rsidR="00730859">
        <w:t xml:space="preserve">. </w:t>
      </w:r>
      <w:r w:rsidR="00592AFE">
        <w:t>MIPS eligible groups are not required to participate as a group</w:t>
      </w:r>
      <w:r w:rsidR="00E91DE3">
        <w:t xml:space="preserve">. </w:t>
      </w:r>
      <w:r w:rsidR="003F6FF5">
        <w:t xml:space="preserve">Clinicians who </w:t>
      </w:r>
      <w:r w:rsidR="005B225F">
        <w:t xml:space="preserve">satisfy one </w:t>
      </w:r>
      <w:r w:rsidR="00EB3F64">
        <w:t xml:space="preserve">or two </w:t>
      </w:r>
      <w:r w:rsidR="00285A81">
        <w:t>of the three thresholds</w:t>
      </w:r>
      <w:r w:rsidR="00C259D1">
        <w:t xml:space="preserve"> </w:t>
      </w:r>
      <w:r w:rsidR="00E91DE3">
        <w:t>can also opt-in (</w:t>
      </w:r>
      <w:r w:rsidR="00D35AA9">
        <w:t xml:space="preserve">and receive payment adjustments) </w:t>
      </w:r>
      <w:r w:rsidR="00E91DE3">
        <w:t xml:space="preserve">and </w:t>
      </w:r>
      <w:r w:rsidR="00D35AA9">
        <w:t>or voluntarily report</w:t>
      </w:r>
      <w:r w:rsidR="00B5172C">
        <w:t xml:space="preserve"> (and not receive)</w:t>
      </w:r>
      <w:r w:rsidR="00D35AA9">
        <w:t>.</w:t>
      </w:r>
      <w:r w:rsidR="007D2E4E">
        <w:t xml:space="preserve"> </w:t>
      </w:r>
    </w:p>
    <w:p w14:paraId="7A28B077" w14:textId="77777777" w:rsidR="00286603" w:rsidRDefault="00286603" w:rsidP="00F82909">
      <w:pPr>
        <w:spacing w:after="0"/>
        <w:ind w:left="360"/>
        <w:jc w:val="both"/>
      </w:pPr>
    </w:p>
    <w:p w14:paraId="4C584A81" w14:textId="0293AC74" w:rsidR="00286603" w:rsidRPr="00286603" w:rsidRDefault="00286603" w:rsidP="0028660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Scoring</w:t>
      </w:r>
    </w:p>
    <w:p w14:paraId="6ACA5E2B" w14:textId="7C6F44DC" w:rsidR="002B3230" w:rsidRDefault="00377853" w:rsidP="002B3230">
      <w:pPr>
        <w:spacing w:after="0"/>
        <w:ind w:left="360"/>
        <w:jc w:val="both"/>
      </w:pPr>
      <w:r>
        <w:t xml:space="preserve">Each MIPS-eligible clinician in </w:t>
      </w:r>
      <w:r w:rsidR="0014318C">
        <w:t>a</w:t>
      </w:r>
      <w:r>
        <w:t xml:space="preserve"> group</w:t>
      </w:r>
      <w:r w:rsidR="00C437DC">
        <w:t>/</w:t>
      </w:r>
      <w:r w:rsidR="00D132F4">
        <w:t>MIPS APM</w:t>
      </w:r>
      <w:r>
        <w:t xml:space="preserve"> will receive the same </w:t>
      </w:r>
      <w:r w:rsidR="0014318C">
        <w:t xml:space="preserve">aggregate </w:t>
      </w:r>
      <w:r>
        <w:t>group</w:t>
      </w:r>
      <w:r w:rsidR="00C437DC">
        <w:t>/APM</w:t>
      </w:r>
      <w:r>
        <w:t xml:space="preserve"> score.</w:t>
      </w:r>
      <w:r w:rsidR="0014318C">
        <w:t xml:space="preserve"> </w:t>
      </w:r>
      <w:r w:rsidR="007C5783">
        <w:t xml:space="preserve">The final score is the weighted average of </w:t>
      </w:r>
      <w:r w:rsidR="00C90268">
        <w:t xml:space="preserve">the four categories: Quality, Promoting Interoperability (PI), Improvement Activities (IA), and Cost. </w:t>
      </w:r>
      <w:r w:rsidR="004B783E">
        <w:t xml:space="preserve"> MIPS APMs </w:t>
      </w:r>
      <w:r w:rsidR="00632A06">
        <w:t>may</w:t>
      </w:r>
      <w:r w:rsidR="002B3230">
        <w:t xml:space="preserve"> choose to </w:t>
      </w:r>
      <w:r w:rsidR="004B783E">
        <w:t xml:space="preserve">follow a different scoring standard </w:t>
      </w:r>
      <w:r w:rsidR="00E3738C">
        <w:t>to account for activities already required by the APM to reduce duplication of reporting.</w:t>
      </w:r>
    </w:p>
    <w:p w14:paraId="53B1AA40" w14:textId="61DD3CAE" w:rsidR="00A266C1" w:rsidRDefault="00A266C1" w:rsidP="002B3230">
      <w:pPr>
        <w:spacing w:after="0"/>
        <w:ind w:left="360"/>
        <w:jc w:val="both"/>
      </w:pPr>
    </w:p>
    <w:p w14:paraId="7F6DBA78" w14:textId="77777777" w:rsidR="00A266C1" w:rsidRPr="001C6444" w:rsidRDefault="00A266C1" w:rsidP="002B3230">
      <w:pPr>
        <w:spacing w:after="0"/>
        <w:ind w:left="360"/>
        <w:jc w:val="both"/>
      </w:pPr>
    </w:p>
    <w:p w14:paraId="2356CE59" w14:textId="77777777" w:rsidR="00C90268" w:rsidRDefault="00C90268" w:rsidP="00E309EF">
      <w:pPr>
        <w:spacing w:after="0"/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57"/>
        <w:gridCol w:w="3035"/>
        <w:gridCol w:w="2998"/>
      </w:tblGrid>
      <w:tr w:rsidR="00801947" w14:paraId="2A253D13" w14:textId="77777777" w:rsidTr="00B53878">
        <w:tc>
          <w:tcPr>
            <w:tcW w:w="3116" w:type="dxa"/>
          </w:tcPr>
          <w:p w14:paraId="30EB8D3D" w14:textId="77777777" w:rsidR="00B53878" w:rsidRDefault="00B53878" w:rsidP="00E309EF">
            <w:pPr>
              <w:jc w:val="both"/>
            </w:pPr>
          </w:p>
        </w:tc>
        <w:tc>
          <w:tcPr>
            <w:tcW w:w="3117" w:type="dxa"/>
          </w:tcPr>
          <w:p w14:paraId="57962C95" w14:textId="62F35D0A" w:rsidR="00B53878" w:rsidRPr="00801947" w:rsidRDefault="00B53878" w:rsidP="00E309EF">
            <w:pPr>
              <w:jc w:val="both"/>
              <w:rPr>
                <w:b/>
                <w:bCs/>
              </w:rPr>
            </w:pPr>
            <w:r w:rsidRPr="00801947">
              <w:rPr>
                <w:b/>
                <w:bCs/>
              </w:rPr>
              <w:t>In</w:t>
            </w:r>
            <w:r w:rsidR="00801947">
              <w:rPr>
                <w:b/>
                <w:bCs/>
              </w:rPr>
              <w:t>d</w:t>
            </w:r>
            <w:r w:rsidRPr="00801947">
              <w:rPr>
                <w:b/>
                <w:bCs/>
              </w:rPr>
              <w:t>ividuals/Groups</w:t>
            </w:r>
          </w:p>
        </w:tc>
        <w:tc>
          <w:tcPr>
            <w:tcW w:w="3117" w:type="dxa"/>
          </w:tcPr>
          <w:p w14:paraId="37393EA6" w14:textId="3B0A0ADB" w:rsidR="00B53878" w:rsidRPr="00801947" w:rsidRDefault="00B53878" w:rsidP="00E309EF">
            <w:pPr>
              <w:jc w:val="both"/>
              <w:rPr>
                <w:b/>
                <w:bCs/>
              </w:rPr>
            </w:pPr>
            <w:r w:rsidRPr="00801947">
              <w:rPr>
                <w:b/>
                <w:bCs/>
              </w:rPr>
              <w:t>APM</w:t>
            </w:r>
            <w:r w:rsidR="00801947" w:rsidRPr="00801947">
              <w:rPr>
                <w:b/>
                <w:bCs/>
              </w:rPr>
              <w:t xml:space="preserve"> Scoring Standard</w:t>
            </w:r>
          </w:p>
        </w:tc>
      </w:tr>
      <w:tr w:rsidR="00801947" w14:paraId="04EA11C8" w14:textId="77777777" w:rsidTr="00B53878">
        <w:tc>
          <w:tcPr>
            <w:tcW w:w="3116" w:type="dxa"/>
          </w:tcPr>
          <w:p w14:paraId="71A4C26A" w14:textId="7F7D65EB" w:rsidR="00B53878" w:rsidRPr="00732EAD" w:rsidRDefault="00801947" w:rsidP="00E309EF">
            <w:pPr>
              <w:jc w:val="both"/>
            </w:pPr>
            <w:r w:rsidRPr="00801947">
              <w:rPr>
                <w:b/>
                <w:bCs/>
              </w:rPr>
              <w:t>Quality</w:t>
            </w:r>
            <w:r w:rsidR="00732EAD">
              <w:rPr>
                <w:b/>
                <w:bCs/>
              </w:rPr>
              <w:t xml:space="preserve"> </w:t>
            </w:r>
          </w:p>
        </w:tc>
        <w:tc>
          <w:tcPr>
            <w:tcW w:w="3117" w:type="dxa"/>
          </w:tcPr>
          <w:p w14:paraId="2C8E18E0" w14:textId="72DAB2BB" w:rsidR="00B53878" w:rsidRPr="003A0C3A" w:rsidRDefault="003A0C3A" w:rsidP="00E309EF">
            <w:pPr>
              <w:jc w:val="both"/>
            </w:pPr>
            <w:r>
              <w:rPr>
                <w:u w:val="single"/>
              </w:rPr>
              <w:t>Weight</w:t>
            </w:r>
            <w:r>
              <w:t xml:space="preserve">: 45% </w:t>
            </w:r>
            <w:r w:rsidR="00D53A15">
              <w:t xml:space="preserve"> in </w:t>
            </w:r>
            <w:r>
              <w:t>2019, 55% in 2020.</w:t>
            </w:r>
          </w:p>
          <w:p w14:paraId="6DC875CF" w14:textId="77777777" w:rsidR="00732EAD" w:rsidRDefault="00732EAD" w:rsidP="00E309EF">
            <w:pPr>
              <w:jc w:val="both"/>
            </w:pPr>
          </w:p>
          <w:p w14:paraId="5E8CD423" w14:textId="12F81911" w:rsidR="008D308F" w:rsidRDefault="00547A1D" w:rsidP="00E309EF">
            <w:pPr>
              <w:jc w:val="both"/>
            </w:pPr>
            <w:r>
              <w:t xml:space="preserve">Select </w:t>
            </w:r>
            <w:r w:rsidR="005650B0">
              <w:t>6 from</w:t>
            </w:r>
            <w:r w:rsidR="00246A32">
              <w:t xml:space="preserve"> more than </w:t>
            </w:r>
            <w:r w:rsidR="004132AC">
              <w:t xml:space="preserve">250 </w:t>
            </w:r>
            <w:r w:rsidR="00AB65F6">
              <w:t>available quality measures</w:t>
            </w:r>
            <w:r w:rsidR="0027139E">
              <w:t xml:space="preserve"> to</w:t>
            </w:r>
            <w:r w:rsidR="00BC62B4">
              <w:t xml:space="preserve"> collect and submit data for. </w:t>
            </w:r>
            <w:r w:rsidR="008D308F">
              <w:t xml:space="preserve">Bigger groups have </w:t>
            </w:r>
            <w:r w:rsidR="005D610A">
              <w:t xml:space="preserve">to </w:t>
            </w:r>
            <w:r w:rsidR="00A72055">
              <w:t xml:space="preserve">submit </w:t>
            </w:r>
            <w:r w:rsidR="008622AE">
              <w:t>an additional Readmission measure.</w:t>
            </w:r>
          </w:p>
          <w:p w14:paraId="0623CE2B" w14:textId="77777777" w:rsidR="008D308F" w:rsidRDefault="008D308F" w:rsidP="00E309EF">
            <w:pPr>
              <w:jc w:val="both"/>
            </w:pPr>
          </w:p>
          <w:p w14:paraId="38A9DFA6" w14:textId="3200AA2A" w:rsidR="00DB77BA" w:rsidRDefault="00D82EF4" w:rsidP="00E309EF">
            <w:pPr>
              <w:jc w:val="both"/>
            </w:pPr>
            <w:r>
              <w:t>Earn points for</w:t>
            </w:r>
            <w:r w:rsidR="005359B9">
              <w:t xml:space="preserve"> each measure</w:t>
            </w:r>
            <w:r w:rsidR="00112FC5">
              <w:t xml:space="preserve">, assessed </w:t>
            </w:r>
            <w:r w:rsidR="00F11FD0">
              <w:t xml:space="preserve">against a historical benchmark. </w:t>
            </w:r>
          </w:p>
          <w:p w14:paraId="1545CC4B" w14:textId="77777777" w:rsidR="00464CAC" w:rsidRDefault="00464CAC" w:rsidP="00E309EF">
            <w:pPr>
              <w:jc w:val="both"/>
            </w:pPr>
          </w:p>
          <w:p w14:paraId="6FF2463B" w14:textId="7C56FEC5" w:rsidR="00464CAC" w:rsidRDefault="00513B4A" w:rsidP="00E309EF">
            <w:pPr>
              <w:jc w:val="both"/>
            </w:pPr>
            <w:r>
              <w:t>Total m</w:t>
            </w:r>
            <w:r w:rsidR="00464CAC">
              <w:t>aximum points</w:t>
            </w:r>
            <w:r>
              <w:t xml:space="preserve"> (denominator)</w:t>
            </w:r>
            <w:r w:rsidR="00464CAC">
              <w:t xml:space="preserve"> depend</w:t>
            </w:r>
            <w:r>
              <w:t xml:space="preserve"> on </w:t>
            </w:r>
            <w:r w:rsidR="00CC77FB">
              <w:t>group size and other things.</w:t>
            </w:r>
            <w:r w:rsidR="00A20AFC">
              <w:t xml:space="preserve"> Bonuses apply </w:t>
            </w:r>
            <w:r w:rsidR="00CC541A">
              <w:t xml:space="preserve">only </w:t>
            </w:r>
            <w:r w:rsidR="00A20AFC">
              <w:t>to numerator.</w:t>
            </w:r>
          </w:p>
          <w:p w14:paraId="08319988" w14:textId="77777777" w:rsidR="003A3628" w:rsidRDefault="003A3628" w:rsidP="00E309EF">
            <w:pPr>
              <w:jc w:val="both"/>
            </w:pPr>
          </w:p>
          <w:p w14:paraId="11FA4152" w14:textId="703BC1D6" w:rsidR="003A3628" w:rsidRDefault="003A3628" w:rsidP="00E309EF">
            <w:pPr>
              <w:jc w:val="both"/>
            </w:pPr>
            <w:r>
              <w:rPr>
                <w:u w:val="single"/>
              </w:rPr>
              <w:t>Bonuses</w:t>
            </w:r>
            <w:r>
              <w:t>:</w:t>
            </w:r>
          </w:p>
          <w:p w14:paraId="39CC2861" w14:textId="3F58C40D" w:rsidR="00CA3C39" w:rsidRDefault="009A3803" w:rsidP="00E309EF">
            <w:pPr>
              <w:jc w:val="both"/>
            </w:pPr>
            <w:r w:rsidRPr="00AF7CFA">
              <w:rPr>
                <w:i/>
                <w:iCs/>
              </w:rPr>
              <w:t>Small practice (&lt;16 members) bonus</w:t>
            </w:r>
            <w:r w:rsidR="00652472">
              <w:t xml:space="preserve">: </w:t>
            </w:r>
            <w:r w:rsidR="00CA3C39">
              <w:t>6 points.</w:t>
            </w:r>
          </w:p>
          <w:p w14:paraId="2E39F5FE" w14:textId="77777777" w:rsidR="007B1D8D" w:rsidRDefault="007B1D8D" w:rsidP="00E309EF">
            <w:pPr>
              <w:jc w:val="both"/>
            </w:pPr>
          </w:p>
          <w:p w14:paraId="7900AE10" w14:textId="58D703A4" w:rsidR="000B216E" w:rsidRDefault="004D039E" w:rsidP="00E309EF">
            <w:pPr>
              <w:jc w:val="both"/>
            </w:pPr>
            <w:r w:rsidRPr="00AF7CFA">
              <w:rPr>
                <w:i/>
                <w:iCs/>
              </w:rPr>
              <w:t>Improvement scoring bonus</w:t>
            </w:r>
            <w:r>
              <w:t xml:space="preserve">: </w:t>
            </w:r>
            <w:r w:rsidR="0000339C">
              <w:t>can earn up to 10 bonus</w:t>
            </w:r>
            <w:r w:rsidR="002335B2">
              <w:t xml:space="preserve"> p.p. based on</w:t>
            </w:r>
            <w:r w:rsidR="001B3C86">
              <w:t xml:space="preserve"> the rate of improvement </w:t>
            </w:r>
            <w:r w:rsidR="00377BE5">
              <w:t xml:space="preserve">in quality </w:t>
            </w:r>
            <w:r w:rsidR="006E30F0">
              <w:t xml:space="preserve">category </w:t>
            </w:r>
            <w:r w:rsidR="00DF3C8F">
              <w:t>from previous year.</w:t>
            </w:r>
          </w:p>
          <w:p w14:paraId="408A12F1" w14:textId="77777777" w:rsidR="00DF3C8F" w:rsidRDefault="00DF3C8F" w:rsidP="00E309EF">
            <w:pPr>
              <w:jc w:val="both"/>
            </w:pPr>
          </w:p>
          <w:p w14:paraId="64B4C026" w14:textId="272F4FB9" w:rsidR="003A3628" w:rsidRDefault="003A3628" w:rsidP="00E309EF">
            <w:pPr>
              <w:jc w:val="both"/>
            </w:pPr>
            <w:r>
              <w:t xml:space="preserve">Small groups </w:t>
            </w:r>
            <w:r w:rsidR="0041157D">
              <w:t xml:space="preserve">can earn more points for </w:t>
            </w:r>
            <w:r w:rsidR="00E14607">
              <w:t xml:space="preserve">incomplete </w:t>
            </w:r>
            <w:r w:rsidR="00CE4631">
              <w:t xml:space="preserve">submissions </w:t>
            </w:r>
            <w:r w:rsidR="00A056FD">
              <w:t>than large</w:t>
            </w:r>
            <w:r w:rsidR="00DF3C8F">
              <w:t xml:space="preserve"> groups</w:t>
            </w:r>
            <w:r w:rsidR="00A056FD">
              <w:t>.</w:t>
            </w:r>
          </w:p>
          <w:p w14:paraId="203E75BC" w14:textId="77777777" w:rsidR="00DF3C8F" w:rsidRDefault="00DF3C8F" w:rsidP="00E309EF">
            <w:pPr>
              <w:jc w:val="both"/>
            </w:pPr>
          </w:p>
          <w:p w14:paraId="42CA7AA1" w14:textId="4423FB45" w:rsidR="00DF3C8F" w:rsidRDefault="00C960B6" w:rsidP="00E309EF">
            <w:pPr>
              <w:jc w:val="both"/>
            </w:pPr>
            <w:r>
              <w:rPr>
                <w:u w:val="single"/>
              </w:rPr>
              <w:t xml:space="preserve">Measure </w:t>
            </w:r>
            <w:r w:rsidR="00FA749B">
              <w:rPr>
                <w:u w:val="single"/>
              </w:rPr>
              <w:t xml:space="preserve">bonus </w:t>
            </w:r>
            <w:r w:rsidR="00FA749B" w:rsidRPr="00FA749B">
              <w:rPr>
                <w:u w:val="single"/>
              </w:rPr>
              <w:t>points</w:t>
            </w:r>
            <w:r w:rsidR="00FA749B">
              <w:t xml:space="preserve"> (c</w:t>
            </w:r>
            <w:r w:rsidR="008C76B4" w:rsidRPr="00FA749B">
              <w:t xml:space="preserve">apped at </w:t>
            </w:r>
            <w:r w:rsidR="00E67D88" w:rsidRPr="00FA749B">
              <w:t xml:space="preserve">10% of </w:t>
            </w:r>
            <w:r w:rsidR="000263E5" w:rsidRPr="00FA749B">
              <w:t>denominator</w:t>
            </w:r>
            <w:r w:rsidR="00B54F69" w:rsidRPr="00FA749B">
              <w:t xml:space="preserve"> +</w:t>
            </w:r>
            <w:r w:rsidR="00BB2AC7" w:rsidRPr="00FA749B">
              <w:t xml:space="preserve"> only for some </w:t>
            </w:r>
            <w:r w:rsidR="00B54F69" w:rsidRPr="00FA749B">
              <w:t>collection types</w:t>
            </w:r>
            <w:r w:rsidR="00FA749B">
              <w:t>)</w:t>
            </w:r>
            <w:r w:rsidR="000263E5">
              <w:t xml:space="preserve">: </w:t>
            </w:r>
            <w:r w:rsidR="000E58FF">
              <w:t>1 bonus point for each measure</w:t>
            </w:r>
            <w:r w:rsidR="007B017D">
              <w:t xml:space="preserve"> reported </w:t>
            </w:r>
            <w:r w:rsidR="00292676">
              <w:t>meeting</w:t>
            </w:r>
            <w:r w:rsidR="00611CA0">
              <w:t xml:space="preserve"> </w:t>
            </w:r>
            <w:r w:rsidR="00611CA0" w:rsidRPr="00BF541D">
              <w:rPr>
                <w:b/>
                <w:bCs/>
              </w:rPr>
              <w:t>end-to-end electronic reporting</w:t>
            </w:r>
            <w:r w:rsidR="00292676">
              <w:rPr>
                <w:b/>
                <w:bCs/>
              </w:rPr>
              <w:t xml:space="preserve"> </w:t>
            </w:r>
            <w:r w:rsidR="00292676">
              <w:t xml:space="preserve">criteria; </w:t>
            </w:r>
            <w:r w:rsidR="009064F1">
              <w:t>1</w:t>
            </w:r>
            <w:r w:rsidR="00BB2AC7">
              <w:t>-2</w:t>
            </w:r>
            <w:r w:rsidR="009064F1">
              <w:t xml:space="preserve"> </w:t>
            </w:r>
            <w:r w:rsidR="00F77458">
              <w:rPr>
                <w:b/>
                <w:bCs/>
              </w:rPr>
              <w:t>high-priority-bonus</w:t>
            </w:r>
            <w:r w:rsidR="000263E5">
              <w:t xml:space="preserve"> point</w:t>
            </w:r>
            <w:r w:rsidR="00BB2AC7">
              <w:t>s</w:t>
            </w:r>
            <w:r w:rsidR="002635B7">
              <w:t xml:space="preserve"> if </w:t>
            </w:r>
            <w:r w:rsidR="00F77458">
              <w:t>report additional measures</w:t>
            </w:r>
          </w:p>
          <w:p w14:paraId="58C34568" w14:textId="6160FBEE" w:rsidR="00634BF6" w:rsidRDefault="00634BF6" w:rsidP="00E309EF">
            <w:pPr>
              <w:jc w:val="both"/>
            </w:pPr>
          </w:p>
        </w:tc>
        <w:tc>
          <w:tcPr>
            <w:tcW w:w="3117" w:type="dxa"/>
          </w:tcPr>
          <w:p w14:paraId="3B810383" w14:textId="77777777" w:rsidR="00B53878" w:rsidRDefault="00421FEE" w:rsidP="00E309EF">
            <w:pPr>
              <w:jc w:val="both"/>
            </w:pPr>
            <w:r>
              <w:rPr>
                <w:u w:val="single"/>
              </w:rPr>
              <w:t>Weight</w:t>
            </w:r>
            <w:r>
              <w:t>: 50%</w:t>
            </w:r>
          </w:p>
          <w:p w14:paraId="790B0188" w14:textId="77777777" w:rsidR="00CC33B7" w:rsidRDefault="00CC33B7" w:rsidP="00E309EF">
            <w:pPr>
              <w:jc w:val="both"/>
            </w:pPr>
          </w:p>
          <w:p w14:paraId="5CE424E2" w14:textId="77777777" w:rsidR="00CC33B7" w:rsidRDefault="00745329" w:rsidP="00E309EF">
            <w:pPr>
              <w:jc w:val="both"/>
            </w:pPr>
            <w:r>
              <w:t xml:space="preserve">Uses </w:t>
            </w:r>
            <w:r w:rsidR="00670714">
              <w:t>the quality measure</w:t>
            </w:r>
            <w:r w:rsidR="007626EB">
              <w:t>s</w:t>
            </w:r>
            <w:r w:rsidR="00980402">
              <w:t xml:space="preserve"> required by the APM </w:t>
            </w:r>
            <w:r w:rsidR="00816D5C">
              <w:t>itself</w:t>
            </w:r>
          </w:p>
          <w:p w14:paraId="27B3A3EF" w14:textId="77777777" w:rsidR="00AF7CFA" w:rsidRDefault="00AF7CFA" w:rsidP="00E309EF">
            <w:pPr>
              <w:jc w:val="both"/>
            </w:pPr>
          </w:p>
          <w:p w14:paraId="2B75BEEE" w14:textId="77777777" w:rsidR="00AF7CFA" w:rsidRDefault="00AF7CFA" w:rsidP="00E309EF">
            <w:pPr>
              <w:jc w:val="both"/>
            </w:pPr>
            <w:r>
              <w:rPr>
                <w:u w:val="single"/>
              </w:rPr>
              <w:t>Bonuses</w:t>
            </w:r>
            <w:r>
              <w:t>:</w:t>
            </w:r>
          </w:p>
          <w:p w14:paraId="6CBAACBB" w14:textId="77777777" w:rsidR="00AF7CFA" w:rsidRDefault="00AF7CFA" w:rsidP="00E309EF">
            <w:pPr>
              <w:jc w:val="both"/>
            </w:pPr>
            <w:r>
              <w:t>Small practice bonus</w:t>
            </w:r>
          </w:p>
          <w:p w14:paraId="7E859E34" w14:textId="77777777" w:rsidR="00122DB1" w:rsidRDefault="00122DB1" w:rsidP="00E309EF">
            <w:pPr>
              <w:jc w:val="both"/>
            </w:pPr>
          </w:p>
          <w:p w14:paraId="564A8C02" w14:textId="19DB78D7" w:rsidR="00AF7CFA" w:rsidRPr="00AF7CFA" w:rsidRDefault="00AF7CFA" w:rsidP="00E309EF">
            <w:pPr>
              <w:jc w:val="both"/>
            </w:pPr>
            <w:r>
              <w:t>Improvement scoring bonus</w:t>
            </w:r>
          </w:p>
        </w:tc>
      </w:tr>
      <w:tr w:rsidR="00801947" w14:paraId="3E9385FC" w14:textId="77777777" w:rsidTr="00B53878">
        <w:tc>
          <w:tcPr>
            <w:tcW w:w="3116" w:type="dxa"/>
          </w:tcPr>
          <w:p w14:paraId="22B8CC19" w14:textId="58A8570C" w:rsidR="00B53878" w:rsidRPr="00801947" w:rsidRDefault="00801947" w:rsidP="00E309EF">
            <w:pPr>
              <w:jc w:val="both"/>
              <w:rPr>
                <w:b/>
                <w:bCs/>
              </w:rPr>
            </w:pPr>
            <w:r w:rsidRPr="00801947">
              <w:rPr>
                <w:b/>
                <w:bCs/>
              </w:rPr>
              <w:t>PI</w:t>
            </w:r>
          </w:p>
        </w:tc>
        <w:tc>
          <w:tcPr>
            <w:tcW w:w="3117" w:type="dxa"/>
          </w:tcPr>
          <w:p w14:paraId="1814FD7A" w14:textId="77777777" w:rsidR="00B53878" w:rsidRDefault="00D53A15" w:rsidP="00E309EF">
            <w:pPr>
              <w:jc w:val="both"/>
            </w:pPr>
            <w:r>
              <w:rPr>
                <w:u w:val="single"/>
              </w:rPr>
              <w:t>Weight</w:t>
            </w:r>
            <w:r>
              <w:t xml:space="preserve">:  </w:t>
            </w:r>
            <w:r w:rsidR="004A0FAD">
              <w:t xml:space="preserve">25% in 2019, </w:t>
            </w:r>
            <w:r w:rsidR="001046DB">
              <w:t>30% in 2020</w:t>
            </w:r>
          </w:p>
          <w:p w14:paraId="397F1172" w14:textId="77777777" w:rsidR="00180620" w:rsidRDefault="00180620" w:rsidP="00E309EF">
            <w:pPr>
              <w:jc w:val="both"/>
            </w:pPr>
          </w:p>
          <w:p w14:paraId="139DBB04" w14:textId="73BA5C4D" w:rsidR="00E84BA7" w:rsidRDefault="004B4244" w:rsidP="00E309EF">
            <w:pPr>
              <w:jc w:val="both"/>
            </w:pPr>
            <w:r>
              <w:lastRenderedPageBreak/>
              <w:t xml:space="preserve">Must report </w:t>
            </w:r>
            <w:r w:rsidR="005F5D4F">
              <w:t>the following four objectives</w:t>
            </w:r>
            <w:r w:rsidR="007836CF">
              <w:t xml:space="preserve"> + some</w:t>
            </w:r>
            <w:r w:rsidR="000C660D">
              <w:t xml:space="preserve"> additional requirements</w:t>
            </w:r>
            <w:r w:rsidR="00D0556B">
              <w:t>, else zero score</w:t>
            </w:r>
            <w:r w:rsidR="00823ABA">
              <w:t xml:space="preserve">: e-Prescribing, </w:t>
            </w:r>
            <w:r w:rsidR="00B4369A">
              <w:t xml:space="preserve">Health Info Exchange, </w:t>
            </w:r>
            <w:r w:rsidR="00315DCA">
              <w:t>Provider to Patient Exchange</w:t>
            </w:r>
            <w:r w:rsidR="00DF4873">
              <w:t>, and Public</w:t>
            </w:r>
            <w:r w:rsidR="004B2FFF">
              <w:t xml:space="preserve"> Health and Clinical Data </w:t>
            </w:r>
            <w:r w:rsidR="000E1C4A">
              <w:t>E</w:t>
            </w:r>
            <w:r w:rsidR="004B2FFF">
              <w:t>xchange</w:t>
            </w:r>
            <w:r w:rsidR="000E1C4A">
              <w:t>.</w:t>
            </w:r>
          </w:p>
          <w:p w14:paraId="35590A62" w14:textId="77777777" w:rsidR="005A41E9" w:rsidRDefault="005A41E9" w:rsidP="00E309EF">
            <w:pPr>
              <w:jc w:val="both"/>
            </w:pPr>
          </w:p>
          <w:p w14:paraId="1F076800" w14:textId="68B64B79" w:rsidR="005A41E9" w:rsidRDefault="005A41E9" w:rsidP="00E309EF">
            <w:pPr>
              <w:jc w:val="both"/>
            </w:pPr>
            <w:r>
              <w:t>Denominator always 100</w:t>
            </w:r>
            <w:r w:rsidR="007F49F1">
              <w:t>.</w:t>
            </w:r>
          </w:p>
          <w:p w14:paraId="1D1A976B" w14:textId="77777777" w:rsidR="009F1D7F" w:rsidRDefault="009F1D7F" w:rsidP="00E309EF">
            <w:pPr>
              <w:jc w:val="both"/>
            </w:pPr>
          </w:p>
          <w:p w14:paraId="60407B4D" w14:textId="35593BAD" w:rsidR="009F1D7F" w:rsidRPr="009F1D7F" w:rsidRDefault="009F1D7F" w:rsidP="00E309EF">
            <w:pPr>
              <w:jc w:val="both"/>
            </w:pPr>
            <w:r>
              <w:rPr>
                <w:u w:val="single"/>
              </w:rPr>
              <w:t>Bonus</w:t>
            </w:r>
            <w:r>
              <w:t>:</w:t>
            </w:r>
          </w:p>
          <w:p w14:paraId="267A9587" w14:textId="7B701237" w:rsidR="00180620" w:rsidRPr="00D53A15" w:rsidRDefault="008469D4" w:rsidP="00E309EF">
            <w:pPr>
              <w:jc w:val="both"/>
            </w:pPr>
            <w:r>
              <w:t xml:space="preserve">Submission of </w:t>
            </w:r>
            <w:r w:rsidR="00645CDD">
              <w:t>two bonus measur</w:t>
            </w:r>
            <w:r w:rsidR="00A84B37">
              <w:t xml:space="preserve">es </w:t>
            </w:r>
            <w:r w:rsidR="00F01DE2">
              <w:t>(1) Query of Prescription Drug Monitoring Program, (2) Verify Opioid Treatment Agreement</w:t>
            </w:r>
            <w:r w:rsidR="00276D5F">
              <w:t xml:space="preserve"> (2019 only)</w:t>
            </w:r>
            <w:r w:rsidR="00F01DE2">
              <w:t xml:space="preserve">: 5 points each. </w:t>
            </w:r>
          </w:p>
        </w:tc>
        <w:tc>
          <w:tcPr>
            <w:tcW w:w="3117" w:type="dxa"/>
          </w:tcPr>
          <w:p w14:paraId="6A0EE265" w14:textId="77777777" w:rsidR="00B53878" w:rsidRDefault="000A0DF7" w:rsidP="00E309EF">
            <w:pPr>
              <w:jc w:val="both"/>
            </w:pPr>
            <w:r>
              <w:rPr>
                <w:u w:val="single"/>
              </w:rPr>
              <w:lastRenderedPageBreak/>
              <w:t>Weight</w:t>
            </w:r>
            <w:r>
              <w:t xml:space="preserve">: </w:t>
            </w:r>
            <w:r w:rsidR="00D31787">
              <w:t>30%</w:t>
            </w:r>
          </w:p>
          <w:p w14:paraId="0031038F" w14:textId="77777777" w:rsidR="00133613" w:rsidRDefault="00133613" w:rsidP="00E309EF">
            <w:pPr>
              <w:jc w:val="both"/>
            </w:pPr>
          </w:p>
          <w:p w14:paraId="7C565FE5" w14:textId="77777777" w:rsidR="00133613" w:rsidRDefault="00133613" w:rsidP="00E309EF">
            <w:pPr>
              <w:jc w:val="both"/>
            </w:pPr>
            <w:r>
              <w:t xml:space="preserve">Average </w:t>
            </w:r>
            <w:r w:rsidR="003F648A">
              <w:t xml:space="preserve">of </w:t>
            </w:r>
            <w:r w:rsidR="00552B65">
              <w:t xml:space="preserve">PI scores </w:t>
            </w:r>
            <w:r w:rsidR="00142019">
              <w:t>of all APM participants</w:t>
            </w:r>
            <w:r w:rsidR="003F648A">
              <w:t>.</w:t>
            </w:r>
            <w:r w:rsidR="00E838FD">
              <w:t xml:space="preserve"> </w:t>
            </w:r>
            <w:r w:rsidR="006B7A9C">
              <w:t xml:space="preserve">Participants </w:t>
            </w:r>
            <w:r w:rsidR="005C6176">
              <w:lastRenderedPageBreak/>
              <w:t xml:space="preserve">exempted from reporting PI </w:t>
            </w:r>
            <w:r w:rsidR="00DB71FD">
              <w:t>will not count toward the avg.</w:t>
            </w:r>
          </w:p>
          <w:p w14:paraId="42C80095" w14:textId="77777777" w:rsidR="009E1DD7" w:rsidRDefault="009E1DD7" w:rsidP="00E309EF">
            <w:pPr>
              <w:jc w:val="both"/>
            </w:pPr>
          </w:p>
          <w:p w14:paraId="4B054610" w14:textId="77777777" w:rsidR="009E1DD7" w:rsidRDefault="009E1DD7" w:rsidP="00E309EF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Bonu</w:t>
            </w:r>
            <w:r w:rsidR="006B2756">
              <w:rPr>
                <w:u w:val="single"/>
              </w:rPr>
              <w:t>s</w:t>
            </w:r>
            <w:r>
              <w:rPr>
                <w:u w:val="single"/>
              </w:rPr>
              <w:t xml:space="preserve">: </w:t>
            </w:r>
          </w:p>
          <w:p w14:paraId="4DD0F175" w14:textId="77777777" w:rsidR="00AB54E6" w:rsidRDefault="001E1111" w:rsidP="00E309EF">
            <w:pPr>
              <w:jc w:val="both"/>
            </w:pPr>
            <w:r>
              <w:t>Query of Prescription Drug Monitoring Program.</w:t>
            </w:r>
          </w:p>
          <w:p w14:paraId="22F745A4" w14:textId="77777777" w:rsidR="001E1111" w:rsidRDefault="001E1111" w:rsidP="00E309EF">
            <w:pPr>
              <w:jc w:val="both"/>
            </w:pPr>
          </w:p>
          <w:p w14:paraId="47C72998" w14:textId="63CBF808" w:rsidR="001E1111" w:rsidRPr="00AB54E6" w:rsidRDefault="001E1111" w:rsidP="00E309EF">
            <w:pPr>
              <w:jc w:val="both"/>
            </w:pPr>
          </w:p>
        </w:tc>
      </w:tr>
      <w:tr w:rsidR="00801947" w14:paraId="3C73F293" w14:textId="77777777" w:rsidTr="00B53878">
        <w:tc>
          <w:tcPr>
            <w:tcW w:w="3116" w:type="dxa"/>
          </w:tcPr>
          <w:p w14:paraId="3C87DF40" w14:textId="45FEA2A1" w:rsidR="00B53878" w:rsidRPr="00801947" w:rsidRDefault="00801947" w:rsidP="00E309EF">
            <w:pPr>
              <w:jc w:val="both"/>
              <w:rPr>
                <w:b/>
                <w:bCs/>
              </w:rPr>
            </w:pPr>
            <w:r w:rsidRPr="00801947">
              <w:rPr>
                <w:b/>
                <w:bCs/>
              </w:rPr>
              <w:lastRenderedPageBreak/>
              <w:t>IA</w:t>
            </w:r>
          </w:p>
        </w:tc>
        <w:tc>
          <w:tcPr>
            <w:tcW w:w="3117" w:type="dxa"/>
          </w:tcPr>
          <w:p w14:paraId="2D44FBE6" w14:textId="77777777" w:rsidR="00B53878" w:rsidRDefault="00D53A15" w:rsidP="00E309EF">
            <w:pPr>
              <w:jc w:val="both"/>
            </w:pPr>
            <w:r>
              <w:rPr>
                <w:u w:val="single"/>
              </w:rPr>
              <w:t>Weight</w:t>
            </w:r>
            <w:r>
              <w:t>:</w:t>
            </w:r>
            <w:r w:rsidR="001046DB">
              <w:t xml:space="preserve"> 15%</w:t>
            </w:r>
          </w:p>
          <w:p w14:paraId="3A49C839" w14:textId="77777777" w:rsidR="00951A87" w:rsidRDefault="00951A87" w:rsidP="00E309EF">
            <w:pPr>
              <w:jc w:val="both"/>
            </w:pPr>
          </w:p>
          <w:p w14:paraId="41A2F0CA" w14:textId="78ABC0AC" w:rsidR="00951A87" w:rsidRDefault="007B3659" w:rsidP="00E309EF">
            <w:pPr>
              <w:jc w:val="both"/>
            </w:pPr>
            <w:r>
              <w:t xml:space="preserve">Submitting 1-4 </w:t>
            </w:r>
            <w:r w:rsidR="007F53A9">
              <w:t>improvement activities</w:t>
            </w:r>
            <w:r w:rsidR="00F07BED">
              <w:t>.</w:t>
            </w:r>
            <w:r w:rsidR="003F4D53">
              <w:t xml:space="preserve"> </w:t>
            </w:r>
            <w:r w:rsidR="00267C37">
              <w:t xml:space="preserve">Denominator is 40 points. </w:t>
            </w:r>
            <w:r w:rsidR="00B70C74">
              <w:t>20 points for each high-weighted activity and 10 points for each medium-weighted activity.</w:t>
            </w:r>
          </w:p>
          <w:p w14:paraId="414A93FA" w14:textId="77777777" w:rsidR="00F07BED" w:rsidRDefault="00F07BED" w:rsidP="00E309EF">
            <w:pPr>
              <w:jc w:val="both"/>
            </w:pPr>
          </w:p>
          <w:p w14:paraId="7192D0F7" w14:textId="77777777" w:rsidR="00F07BED" w:rsidRDefault="00F07BED" w:rsidP="00E309EF">
            <w:pPr>
              <w:jc w:val="both"/>
            </w:pPr>
            <w:r>
              <w:rPr>
                <w:u w:val="single"/>
              </w:rPr>
              <w:t>Bonus</w:t>
            </w:r>
            <w:r>
              <w:t>:</w:t>
            </w:r>
          </w:p>
          <w:p w14:paraId="13F16580" w14:textId="3BABE8B9" w:rsidR="00F07BED" w:rsidRDefault="00C90071" w:rsidP="00E309EF">
            <w:pPr>
              <w:jc w:val="both"/>
            </w:pPr>
            <w:r>
              <w:t xml:space="preserve">Automatic 40 points </w:t>
            </w:r>
            <w:r w:rsidR="000F067D">
              <w:t xml:space="preserve">if </w:t>
            </w:r>
            <w:r w:rsidR="008227EF">
              <w:t xml:space="preserve">in </w:t>
            </w:r>
            <w:r w:rsidR="00486A20">
              <w:t xml:space="preserve">a </w:t>
            </w:r>
            <w:r w:rsidR="00121569">
              <w:t>certified p</w:t>
            </w:r>
            <w:r w:rsidR="008227EF">
              <w:t>at</w:t>
            </w:r>
            <w:r w:rsidR="00486A20">
              <w:t>ient-center</w:t>
            </w:r>
            <w:r w:rsidR="00121569">
              <w:t>ed medical home or a Medical Home Model APM.</w:t>
            </w:r>
          </w:p>
          <w:p w14:paraId="6B15A033" w14:textId="77777777" w:rsidR="001F491D" w:rsidRDefault="001F491D" w:rsidP="00E309EF">
            <w:pPr>
              <w:jc w:val="both"/>
            </w:pPr>
          </w:p>
          <w:p w14:paraId="438C77C3" w14:textId="4217D704" w:rsidR="001F491D" w:rsidRPr="00F07BED" w:rsidRDefault="001F491D" w:rsidP="00E309EF">
            <w:pPr>
              <w:jc w:val="both"/>
            </w:pPr>
            <w:r>
              <w:t xml:space="preserve">APMs scored under normal </w:t>
            </w:r>
            <w:r w:rsidR="005D2383">
              <w:t xml:space="preserve">MIPS </w:t>
            </w:r>
            <w:r w:rsidR="00C603AA">
              <w:t>automatically get 50% of the points and can submit additional activities.</w:t>
            </w:r>
          </w:p>
        </w:tc>
        <w:tc>
          <w:tcPr>
            <w:tcW w:w="3117" w:type="dxa"/>
          </w:tcPr>
          <w:p w14:paraId="2B212422" w14:textId="77777777" w:rsidR="00B53878" w:rsidRDefault="00D31787" w:rsidP="00E309EF">
            <w:pPr>
              <w:jc w:val="both"/>
            </w:pPr>
            <w:r>
              <w:rPr>
                <w:u w:val="single"/>
              </w:rPr>
              <w:t>Weight</w:t>
            </w:r>
            <w:r>
              <w:t xml:space="preserve">: </w:t>
            </w:r>
            <w:r w:rsidR="00D53A15">
              <w:t>20%</w:t>
            </w:r>
          </w:p>
          <w:p w14:paraId="4B94322B" w14:textId="77777777" w:rsidR="00E44390" w:rsidRDefault="00E44390" w:rsidP="00E309EF">
            <w:pPr>
              <w:jc w:val="both"/>
            </w:pPr>
          </w:p>
          <w:p w14:paraId="528FE3E9" w14:textId="77777777" w:rsidR="00C603AA" w:rsidRDefault="00EA2540" w:rsidP="00E309EF">
            <w:pPr>
              <w:jc w:val="both"/>
            </w:pPr>
            <w:r>
              <w:t xml:space="preserve">Automatic maximum points for all </w:t>
            </w:r>
            <w:r w:rsidR="00F171D7">
              <w:t xml:space="preserve">MIPS </w:t>
            </w:r>
            <w:r>
              <w:t xml:space="preserve">APMs </w:t>
            </w:r>
            <w:r w:rsidR="00C603AA">
              <w:t xml:space="preserve">(in a certain list) </w:t>
            </w:r>
            <w:r w:rsidR="006D10B5">
              <w:t>scored under this standard</w:t>
            </w:r>
            <w:r w:rsidR="0064374E">
              <w:t>.</w:t>
            </w:r>
            <w:r w:rsidR="00C603AA">
              <w:t xml:space="preserve"> </w:t>
            </w:r>
          </w:p>
          <w:p w14:paraId="00802EED" w14:textId="77777777" w:rsidR="00C603AA" w:rsidRDefault="00C603AA" w:rsidP="00E309EF">
            <w:pPr>
              <w:jc w:val="both"/>
            </w:pPr>
          </w:p>
          <w:p w14:paraId="1B032F52" w14:textId="77777777" w:rsidR="000870F7" w:rsidRDefault="000870F7" w:rsidP="00E309EF">
            <w:pPr>
              <w:jc w:val="both"/>
            </w:pPr>
          </w:p>
          <w:p w14:paraId="7427A97D" w14:textId="77777777" w:rsidR="00EA2540" w:rsidRDefault="00EA2540" w:rsidP="00E309EF">
            <w:pPr>
              <w:jc w:val="both"/>
            </w:pPr>
          </w:p>
          <w:p w14:paraId="7EDB41B0" w14:textId="7399F3B7" w:rsidR="00E44390" w:rsidRPr="00D31787" w:rsidRDefault="00D713C1" w:rsidP="00E309EF">
            <w:pPr>
              <w:jc w:val="both"/>
            </w:pPr>
            <w:r>
              <w:t xml:space="preserve"> </w:t>
            </w:r>
          </w:p>
        </w:tc>
      </w:tr>
      <w:tr w:rsidR="00801947" w14:paraId="1C617678" w14:textId="77777777" w:rsidTr="00B53878">
        <w:tc>
          <w:tcPr>
            <w:tcW w:w="3116" w:type="dxa"/>
          </w:tcPr>
          <w:p w14:paraId="472DD222" w14:textId="52898AC4" w:rsidR="00B53878" w:rsidRPr="00801947" w:rsidRDefault="00801947" w:rsidP="00E309EF">
            <w:pPr>
              <w:jc w:val="both"/>
              <w:rPr>
                <w:b/>
                <w:bCs/>
              </w:rPr>
            </w:pPr>
            <w:r w:rsidRPr="00801947">
              <w:rPr>
                <w:b/>
                <w:bCs/>
              </w:rPr>
              <w:t>Cost</w:t>
            </w:r>
          </w:p>
        </w:tc>
        <w:tc>
          <w:tcPr>
            <w:tcW w:w="3117" w:type="dxa"/>
          </w:tcPr>
          <w:p w14:paraId="7A5F239E" w14:textId="77777777" w:rsidR="00B53878" w:rsidRDefault="00D53A15" w:rsidP="00E309EF">
            <w:pPr>
              <w:jc w:val="both"/>
            </w:pPr>
            <w:r>
              <w:rPr>
                <w:u w:val="single"/>
              </w:rPr>
              <w:t>Weight</w:t>
            </w:r>
            <w:r>
              <w:t>:</w:t>
            </w:r>
            <w:r w:rsidR="001046DB">
              <w:t xml:space="preserve"> </w:t>
            </w:r>
            <w:r w:rsidR="0066766A">
              <w:t xml:space="preserve">15% in 2019, </w:t>
            </w:r>
            <w:r w:rsidR="001046DB">
              <w:t>0% in 2020</w:t>
            </w:r>
          </w:p>
          <w:p w14:paraId="096335A3" w14:textId="77777777" w:rsidR="009206B4" w:rsidRDefault="009206B4" w:rsidP="00E309EF">
            <w:pPr>
              <w:jc w:val="both"/>
            </w:pPr>
          </w:p>
          <w:p w14:paraId="43E34F4C" w14:textId="79839E16" w:rsidR="009206B4" w:rsidRPr="00D53A15" w:rsidRDefault="00453E19" w:rsidP="00E309EF">
            <w:pPr>
              <w:jc w:val="both"/>
            </w:pPr>
            <w:r>
              <w:t>Uses Medicare claims</w:t>
            </w:r>
            <w:r w:rsidR="0022315A">
              <w:t xml:space="preserve"> data to </w:t>
            </w:r>
            <w:r w:rsidR="00776C72">
              <w:t>calculate performance</w:t>
            </w:r>
            <w:r w:rsidR="00354ABF">
              <w:t xml:space="preserve"> (against national benchmarks) </w:t>
            </w:r>
            <w:r w:rsidR="006F361D">
              <w:t>across 10</w:t>
            </w:r>
            <w:r w:rsidR="00191AA6">
              <w:t xml:space="preserve"> cost measures.</w:t>
            </w:r>
          </w:p>
        </w:tc>
        <w:tc>
          <w:tcPr>
            <w:tcW w:w="3117" w:type="dxa"/>
          </w:tcPr>
          <w:p w14:paraId="0265F480" w14:textId="683CCADF" w:rsidR="00B53878" w:rsidRPr="000D604D" w:rsidRDefault="000D604D" w:rsidP="00E309EF">
            <w:pPr>
              <w:jc w:val="both"/>
            </w:pPr>
            <w:r>
              <w:rPr>
                <w:u w:val="single"/>
              </w:rPr>
              <w:t>Weight</w:t>
            </w:r>
            <w:r>
              <w:t>: 0%</w:t>
            </w:r>
          </w:p>
        </w:tc>
      </w:tr>
      <w:tr w:rsidR="0066766A" w14:paraId="421281D8" w14:textId="77777777" w:rsidTr="00B53878">
        <w:tc>
          <w:tcPr>
            <w:tcW w:w="3116" w:type="dxa"/>
          </w:tcPr>
          <w:p w14:paraId="280AF0A6" w14:textId="1BA95EEB" w:rsidR="0066766A" w:rsidRPr="0066766A" w:rsidRDefault="0066766A" w:rsidP="00E309E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Final Score</w:t>
            </w:r>
          </w:p>
        </w:tc>
        <w:tc>
          <w:tcPr>
            <w:tcW w:w="3117" w:type="dxa"/>
          </w:tcPr>
          <w:p w14:paraId="4BB1D3A7" w14:textId="18E151FB" w:rsidR="0066766A" w:rsidRDefault="0066766A" w:rsidP="00E309EF">
            <w:pPr>
              <w:jc w:val="both"/>
            </w:pPr>
            <w:r>
              <w:rPr>
                <w:u w:val="single"/>
              </w:rPr>
              <w:t>Bonus</w:t>
            </w:r>
            <w:r>
              <w:t xml:space="preserve">: </w:t>
            </w:r>
          </w:p>
          <w:p w14:paraId="46BEC5E1" w14:textId="7550AC40" w:rsidR="0066766A" w:rsidRPr="006D4561" w:rsidRDefault="006D4561" w:rsidP="00E309EF">
            <w:pPr>
              <w:jc w:val="both"/>
            </w:pPr>
            <w:r>
              <w:rPr>
                <w:i/>
                <w:iCs/>
              </w:rPr>
              <w:t>Complex Patient Bonus</w:t>
            </w:r>
            <w:r>
              <w:t xml:space="preserve">: </w:t>
            </w:r>
            <w:r w:rsidR="00B33546">
              <w:t xml:space="preserve">up to </w:t>
            </w:r>
            <w:r w:rsidR="005B5D8A">
              <w:t xml:space="preserve">5 points. </w:t>
            </w:r>
            <w:r w:rsidR="001F2343">
              <w:t xml:space="preserve">Based on </w:t>
            </w:r>
            <w:r w:rsidR="007A3D18">
              <w:t xml:space="preserve">patients’ medical </w:t>
            </w:r>
            <w:r w:rsidR="000D1812">
              <w:t xml:space="preserve">complexity </w:t>
            </w:r>
            <w:r w:rsidR="00AA6CFE">
              <w:t xml:space="preserve">(average </w:t>
            </w:r>
            <w:r w:rsidR="00AA6CFE">
              <w:lastRenderedPageBreak/>
              <w:t xml:space="preserve">HCC risk score) </w:t>
            </w:r>
            <w:r w:rsidR="003B355F">
              <w:t>and social risk</w:t>
            </w:r>
            <w:r w:rsidR="00AA6CFE">
              <w:t xml:space="preserve"> (dual</w:t>
            </w:r>
            <w:r w:rsidR="00551F05">
              <w:t xml:space="preserve"> eligibility status)</w:t>
            </w:r>
            <w:r w:rsidR="00AA6CFE">
              <w:t>.</w:t>
            </w:r>
          </w:p>
        </w:tc>
        <w:tc>
          <w:tcPr>
            <w:tcW w:w="3117" w:type="dxa"/>
          </w:tcPr>
          <w:p w14:paraId="7A842326" w14:textId="77777777" w:rsidR="0066766A" w:rsidRDefault="002744B6" w:rsidP="00E309EF">
            <w:pPr>
              <w:jc w:val="both"/>
            </w:pPr>
            <w:r>
              <w:rPr>
                <w:u w:val="single"/>
              </w:rPr>
              <w:lastRenderedPageBreak/>
              <w:t>Bonus</w:t>
            </w:r>
            <w:r>
              <w:t>:</w:t>
            </w:r>
          </w:p>
          <w:p w14:paraId="1FBA1DB6" w14:textId="635F2B49" w:rsidR="002744B6" w:rsidRPr="002744B6" w:rsidRDefault="002744B6" w:rsidP="00E309EF">
            <w:pPr>
              <w:jc w:val="both"/>
            </w:pPr>
            <w:r>
              <w:t>Complex Patient Bonus</w:t>
            </w:r>
          </w:p>
        </w:tc>
      </w:tr>
    </w:tbl>
    <w:p w14:paraId="58969579" w14:textId="77777777" w:rsidR="00C90268" w:rsidRDefault="00C90268" w:rsidP="00E309EF">
      <w:pPr>
        <w:spacing w:after="0"/>
        <w:ind w:left="360"/>
        <w:jc w:val="both"/>
      </w:pPr>
    </w:p>
    <w:p w14:paraId="35D08A3C" w14:textId="77777777" w:rsidR="007C5783" w:rsidRDefault="007C5783" w:rsidP="00E309EF">
      <w:pPr>
        <w:spacing w:after="0"/>
        <w:ind w:left="360"/>
        <w:jc w:val="both"/>
      </w:pPr>
    </w:p>
    <w:p w14:paraId="59275BB8" w14:textId="6A308BBA" w:rsidR="007C5783" w:rsidRDefault="000227AB" w:rsidP="000227AB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Reweighting Policy</w:t>
      </w:r>
    </w:p>
    <w:p w14:paraId="73C5DB86" w14:textId="38989B39" w:rsidR="000227AB" w:rsidRDefault="000227AB" w:rsidP="000227AB">
      <w:pPr>
        <w:spacing w:after="0"/>
        <w:ind w:left="360"/>
        <w:jc w:val="both"/>
      </w:pPr>
      <w:r>
        <w:t xml:space="preserve">The </w:t>
      </w:r>
      <w:r w:rsidRPr="000227AB">
        <w:rPr>
          <w:b/>
          <w:bCs/>
        </w:rPr>
        <w:t xml:space="preserve">Extreme and Uncontrollable Circumstances (EUC) Policy </w:t>
      </w:r>
      <w:r>
        <w:t xml:space="preserve">allow clinicians/groups to apply for </w:t>
      </w:r>
      <w:r w:rsidRPr="00E329DC">
        <w:rPr>
          <w:i/>
          <w:iCs/>
        </w:rPr>
        <w:t xml:space="preserve">any of the 4 categories </w:t>
      </w:r>
      <w:r w:rsidRPr="00723D7F">
        <w:t>to be reweighted zero</w:t>
      </w:r>
      <w:r>
        <w:t>. If that is the case, the weight will be redistributed to other categories.</w:t>
      </w:r>
      <w:r w:rsidR="00A15E52">
        <w:t xml:space="preserve"> If all 4 categories are reweighted, </w:t>
      </w:r>
      <w:r w:rsidR="00D30CEE">
        <w:t xml:space="preserve">the clinician/practice will receive the minimum score </w:t>
      </w:r>
      <w:r w:rsidR="00C833B5">
        <w:t>for neutral payment adjustment (30 in 2019, 45 in 2020).</w:t>
      </w:r>
    </w:p>
    <w:p w14:paraId="6D5557AC" w14:textId="60AED6F0" w:rsidR="00896743" w:rsidRDefault="00896743" w:rsidP="00896743">
      <w:pPr>
        <w:pStyle w:val="ListParagraph"/>
        <w:numPr>
          <w:ilvl w:val="0"/>
          <w:numId w:val="3"/>
        </w:numPr>
        <w:spacing w:after="0"/>
        <w:jc w:val="both"/>
      </w:pPr>
      <w:r>
        <w:t>These</w:t>
      </w:r>
      <w:r w:rsidR="004939C8">
        <w:t xml:space="preserve"> are circumstances that </w:t>
      </w:r>
      <w:r w:rsidR="00701E9A">
        <w:t xml:space="preserve">cause </w:t>
      </w:r>
      <w:r w:rsidR="00BF7FB7">
        <w:t xml:space="preserve">the clinicians to be unable to collect </w:t>
      </w:r>
      <w:r w:rsidR="008357C7">
        <w:t>the necessary information</w:t>
      </w:r>
      <w:r w:rsidR="00F11D64">
        <w:t xml:space="preserve">, or that </w:t>
      </w:r>
      <w:r w:rsidR="001A1AE7">
        <w:t>impact normal proc</w:t>
      </w:r>
      <w:r w:rsidR="00B3577F">
        <w:t xml:space="preserve">esses which </w:t>
      </w:r>
      <w:r w:rsidR="0089327A">
        <w:t xml:space="preserve">affect </w:t>
      </w:r>
      <w:r w:rsidR="000270ED">
        <w:t xml:space="preserve">their performance </w:t>
      </w:r>
      <w:r w:rsidR="00AD6086">
        <w:t>on cost measures.</w:t>
      </w:r>
    </w:p>
    <w:p w14:paraId="06481B2C" w14:textId="133A5F18" w:rsidR="003E6757" w:rsidRDefault="003E6757" w:rsidP="00E329DC">
      <w:pPr>
        <w:spacing w:after="0"/>
        <w:ind w:left="360"/>
        <w:jc w:val="both"/>
      </w:pPr>
    </w:p>
    <w:p w14:paraId="415ED3D7" w14:textId="32869A42" w:rsidR="00E329DC" w:rsidRPr="00E329DC" w:rsidRDefault="00E329DC" w:rsidP="00E329DC">
      <w:pPr>
        <w:spacing w:after="0"/>
        <w:ind w:left="360"/>
        <w:jc w:val="both"/>
      </w:pPr>
      <w:r>
        <w:rPr>
          <w:b/>
          <w:bCs/>
        </w:rPr>
        <w:t>PI Only</w:t>
      </w:r>
      <w:r>
        <w:t>:</w:t>
      </w:r>
    </w:p>
    <w:p w14:paraId="714353FF" w14:textId="31267B34" w:rsidR="003E6757" w:rsidRDefault="00727746" w:rsidP="00F8456C">
      <w:pPr>
        <w:pStyle w:val="ListParagraph"/>
        <w:numPr>
          <w:ilvl w:val="0"/>
          <w:numId w:val="3"/>
        </w:numPr>
        <w:spacing w:after="0"/>
        <w:jc w:val="both"/>
      </w:pPr>
      <w:r w:rsidRPr="00E329DC">
        <w:rPr>
          <w:b/>
          <w:bCs/>
        </w:rPr>
        <w:t>PI Hardship</w:t>
      </w:r>
      <w:r w:rsidR="002C3B14" w:rsidRPr="00E329DC">
        <w:rPr>
          <w:b/>
          <w:bCs/>
        </w:rPr>
        <w:t xml:space="preserve"> Exception Application</w:t>
      </w:r>
      <w:r w:rsidR="002C3B14">
        <w:t xml:space="preserve">: </w:t>
      </w:r>
      <w:r w:rsidR="00BB42A8">
        <w:t xml:space="preserve">clinicians and groups </w:t>
      </w:r>
      <w:r w:rsidR="00944B65">
        <w:t xml:space="preserve">can apply to reweight PI to zero </w:t>
      </w:r>
      <w:r w:rsidR="00AF48B9">
        <w:t>due to</w:t>
      </w:r>
      <w:r w:rsidR="009F3D76">
        <w:t xml:space="preserve"> </w:t>
      </w:r>
      <w:r w:rsidR="00A36638">
        <w:t xml:space="preserve">insufficient </w:t>
      </w:r>
      <w:r w:rsidR="00CF1A3F">
        <w:t xml:space="preserve">internet connectivity, </w:t>
      </w:r>
      <w:r w:rsidR="00982B48">
        <w:t xml:space="preserve">EUC, </w:t>
      </w:r>
      <w:r w:rsidR="00954135">
        <w:t xml:space="preserve">lack of control </w:t>
      </w:r>
      <w:r w:rsidR="00904D13">
        <w:t>over availability of CEHRT</w:t>
      </w:r>
      <w:r w:rsidR="00F040BC">
        <w:t>, small practice</w:t>
      </w:r>
      <w:r w:rsidR="00AF48B9">
        <w:t>, and decertified EHR.</w:t>
      </w:r>
    </w:p>
    <w:p w14:paraId="29129CAE" w14:textId="485EDC79" w:rsidR="00A6050F" w:rsidRDefault="00EF5707" w:rsidP="00E329DC">
      <w:pPr>
        <w:pStyle w:val="ListParagraph"/>
        <w:numPr>
          <w:ilvl w:val="0"/>
          <w:numId w:val="3"/>
        </w:numPr>
        <w:spacing w:after="0"/>
        <w:jc w:val="both"/>
      </w:pPr>
      <w:r w:rsidRPr="00E329DC">
        <w:rPr>
          <w:b/>
          <w:bCs/>
        </w:rPr>
        <w:t>Automatic reweighting of individual PI score</w:t>
      </w:r>
      <w:r w:rsidR="00E63E31">
        <w:t xml:space="preserve"> to zero </w:t>
      </w:r>
      <w:r w:rsidR="002A0CB9">
        <w:t xml:space="preserve">if </w:t>
      </w:r>
      <w:r w:rsidR="0011505D">
        <w:t>the clinician is a PA, NP</w:t>
      </w:r>
      <w:r w:rsidR="00415E5B">
        <w:t>, hospital-</w:t>
      </w:r>
      <w:r w:rsidR="00534ADA">
        <w:t>based</w:t>
      </w:r>
      <w:r w:rsidR="00321B68">
        <w:t xml:space="preserve"> clinician</w:t>
      </w:r>
      <w:r w:rsidR="00CC5479">
        <w:t>, ASC-</w:t>
      </w:r>
      <w:r w:rsidR="00534ADA">
        <w:t xml:space="preserve">based </w:t>
      </w:r>
      <w:r w:rsidR="00321B68">
        <w:t>clinician</w:t>
      </w:r>
      <w:r w:rsidR="00EA57BC">
        <w:t>, non</w:t>
      </w:r>
      <w:r w:rsidR="00E27A9A">
        <w:t xml:space="preserve">-patient </w:t>
      </w:r>
      <w:r w:rsidR="00EB569D">
        <w:t xml:space="preserve">facing clinicians </w:t>
      </w:r>
      <w:r w:rsidR="00425F1D">
        <w:t xml:space="preserve">as well as some other types. </w:t>
      </w:r>
      <w:r w:rsidR="00D255D6">
        <w:t xml:space="preserve">A group PI score qualifies for automatic reweighting only if </w:t>
      </w:r>
      <w:r w:rsidR="00EF17D6">
        <w:t xml:space="preserve">all its MIPS eligible </w:t>
      </w:r>
      <w:r w:rsidR="00D2050A">
        <w:t xml:space="preserve">clinicians do. </w:t>
      </w:r>
      <w:r w:rsidR="00506F85">
        <w:t xml:space="preserve">If such a clinician participates in a group or APM, she will still get the group/APM </w:t>
      </w:r>
      <w:r w:rsidR="000127ED">
        <w:t xml:space="preserve">score; her weight toward the final score </w:t>
      </w:r>
      <w:r w:rsidR="00744507">
        <w:t>will</w:t>
      </w:r>
      <w:r w:rsidR="000127ED">
        <w:t xml:space="preserve"> just</w:t>
      </w:r>
      <w:r w:rsidR="00744507">
        <w:t xml:space="preserve"> be</w:t>
      </w:r>
      <w:r w:rsidR="000127ED">
        <w:t xml:space="preserve"> zero. </w:t>
      </w:r>
    </w:p>
    <w:p w14:paraId="6AA805D6" w14:textId="77777777" w:rsidR="00C90A1B" w:rsidRDefault="00C90A1B" w:rsidP="000227AB">
      <w:pPr>
        <w:spacing w:after="0"/>
        <w:ind w:left="360"/>
        <w:jc w:val="both"/>
      </w:pPr>
    </w:p>
    <w:p w14:paraId="2F03D77A" w14:textId="346685FD" w:rsidR="00C90A1B" w:rsidRPr="00C90A1B" w:rsidRDefault="00C90A1B" w:rsidP="000227AB">
      <w:pPr>
        <w:spacing w:after="0"/>
        <w:ind w:left="360"/>
        <w:jc w:val="both"/>
      </w:pPr>
      <w:r>
        <w:rPr>
          <w:b/>
          <w:bCs/>
          <w:u w:val="single"/>
        </w:rPr>
        <w:t>COVID</w:t>
      </w:r>
      <w:r>
        <w:t xml:space="preserve">: </w:t>
      </w:r>
      <w:r w:rsidR="00065D3A">
        <w:t xml:space="preserve">In 2020 all </w:t>
      </w:r>
      <w:r w:rsidR="001E16C6">
        <w:t xml:space="preserve">MIPS eligible </w:t>
      </w:r>
      <w:r w:rsidR="005602DD">
        <w:t xml:space="preserve">clinicians </w:t>
      </w:r>
      <w:r w:rsidR="001135DE">
        <w:t xml:space="preserve">got </w:t>
      </w:r>
      <w:r w:rsidR="00106A20">
        <w:t xml:space="preserve">all categories reweighted to zero unless </w:t>
      </w:r>
      <w:r w:rsidR="0017637C">
        <w:t xml:space="preserve">they submitted data for </w:t>
      </w:r>
      <w:r w:rsidR="00B5451D">
        <w:t>two or more performance categories.</w:t>
      </w:r>
      <w:r w:rsidR="008E303D">
        <w:t xml:space="preserve"> This does not apply to groups. </w:t>
      </w:r>
    </w:p>
    <w:p w14:paraId="1D3D9792" w14:textId="77777777" w:rsidR="00D2050A" w:rsidRDefault="00D2050A" w:rsidP="000227AB">
      <w:pPr>
        <w:spacing w:after="0"/>
        <w:ind w:left="360"/>
        <w:jc w:val="both"/>
        <w:rPr>
          <w:b/>
          <w:bCs/>
        </w:rPr>
      </w:pPr>
    </w:p>
    <w:p w14:paraId="4FA4B849" w14:textId="77777777" w:rsidR="004E28F3" w:rsidRPr="00E63E31" w:rsidRDefault="004E28F3" w:rsidP="000227AB">
      <w:pPr>
        <w:spacing w:after="0"/>
        <w:ind w:left="360"/>
        <w:jc w:val="both"/>
      </w:pPr>
    </w:p>
    <w:p w14:paraId="24A161DB" w14:textId="77777777" w:rsidR="003E6757" w:rsidRPr="002C3B14" w:rsidRDefault="003E6757" w:rsidP="000227AB">
      <w:pPr>
        <w:spacing w:after="0"/>
        <w:ind w:left="360"/>
        <w:jc w:val="both"/>
      </w:pPr>
    </w:p>
    <w:sectPr w:rsidR="003E6757" w:rsidRPr="002C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38A"/>
    <w:multiLevelType w:val="hybridMultilevel"/>
    <w:tmpl w:val="9D2C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4F58"/>
    <w:multiLevelType w:val="hybridMultilevel"/>
    <w:tmpl w:val="F9C23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2C5F48"/>
    <w:multiLevelType w:val="hybridMultilevel"/>
    <w:tmpl w:val="7BC0007A"/>
    <w:lvl w:ilvl="0" w:tplc="87D68EE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85713">
    <w:abstractNumId w:val="0"/>
  </w:num>
  <w:num w:numId="2" w16cid:durableId="1692564212">
    <w:abstractNumId w:val="2"/>
  </w:num>
  <w:num w:numId="3" w16cid:durableId="740371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43"/>
    <w:rsid w:val="0000339C"/>
    <w:rsid w:val="000127ED"/>
    <w:rsid w:val="000227AB"/>
    <w:rsid w:val="00025AB7"/>
    <w:rsid w:val="000263E5"/>
    <w:rsid w:val="000265D3"/>
    <w:rsid w:val="000270ED"/>
    <w:rsid w:val="00052F81"/>
    <w:rsid w:val="00065D3A"/>
    <w:rsid w:val="00073192"/>
    <w:rsid w:val="000755C9"/>
    <w:rsid w:val="000870F7"/>
    <w:rsid w:val="000A0DF7"/>
    <w:rsid w:val="000A5C12"/>
    <w:rsid w:val="000B216E"/>
    <w:rsid w:val="000C660D"/>
    <w:rsid w:val="000D1812"/>
    <w:rsid w:val="000D604D"/>
    <w:rsid w:val="000E1C4A"/>
    <w:rsid w:val="000E58FF"/>
    <w:rsid w:val="000F067D"/>
    <w:rsid w:val="000F7111"/>
    <w:rsid w:val="001046DB"/>
    <w:rsid w:val="00106A20"/>
    <w:rsid w:val="00112FC5"/>
    <w:rsid w:val="001135DE"/>
    <w:rsid w:val="0011505D"/>
    <w:rsid w:val="00121569"/>
    <w:rsid w:val="00121A5A"/>
    <w:rsid w:val="00122DB1"/>
    <w:rsid w:val="00133613"/>
    <w:rsid w:val="00134399"/>
    <w:rsid w:val="00134A69"/>
    <w:rsid w:val="001408CA"/>
    <w:rsid w:val="00142019"/>
    <w:rsid w:val="0014318C"/>
    <w:rsid w:val="001530D3"/>
    <w:rsid w:val="0017637C"/>
    <w:rsid w:val="00176A99"/>
    <w:rsid w:val="00180620"/>
    <w:rsid w:val="00191AA6"/>
    <w:rsid w:val="001A1AE7"/>
    <w:rsid w:val="001A7401"/>
    <w:rsid w:val="001B249F"/>
    <w:rsid w:val="001B2DF7"/>
    <w:rsid w:val="001B3C86"/>
    <w:rsid w:val="001C4038"/>
    <w:rsid w:val="001C516E"/>
    <w:rsid w:val="001C6444"/>
    <w:rsid w:val="001E1111"/>
    <w:rsid w:val="001E16C6"/>
    <w:rsid w:val="001F2343"/>
    <w:rsid w:val="001F491D"/>
    <w:rsid w:val="0022315A"/>
    <w:rsid w:val="002335B2"/>
    <w:rsid w:val="00246A32"/>
    <w:rsid w:val="00257381"/>
    <w:rsid w:val="002635B7"/>
    <w:rsid w:val="00267C37"/>
    <w:rsid w:val="0027139E"/>
    <w:rsid w:val="002744B6"/>
    <w:rsid w:val="00276D5F"/>
    <w:rsid w:val="00283051"/>
    <w:rsid w:val="00285A81"/>
    <w:rsid w:val="00286603"/>
    <w:rsid w:val="00292676"/>
    <w:rsid w:val="00296ADF"/>
    <w:rsid w:val="002A0CB9"/>
    <w:rsid w:val="002B3230"/>
    <w:rsid w:val="002C3B14"/>
    <w:rsid w:val="002E1008"/>
    <w:rsid w:val="002E11CA"/>
    <w:rsid w:val="002E1AD2"/>
    <w:rsid w:val="002F61DB"/>
    <w:rsid w:val="00311CD1"/>
    <w:rsid w:val="00315DCA"/>
    <w:rsid w:val="00321B68"/>
    <w:rsid w:val="00341339"/>
    <w:rsid w:val="00354ABF"/>
    <w:rsid w:val="00377853"/>
    <w:rsid w:val="00377BE5"/>
    <w:rsid w:val="0039114D"/>
    <w:rsid w:val="003A0C3A"/>
    <w:rsid w:val="003A3628"/>
    <w:rsid w:val="003B355F"/>
    <w:rsid w:val="003C5246"/>
    <w:rsid w:val="003C53A0"/>
    <w:rsid w:val="003D3565"/>
    <w:rsid w:val="003E6757"/>
    <w:rsid w:val="003F186F"/>
    <w:rsid w:val="003F4D53"/>
    <w:rsid w:val="003F648A"/>
    <w:rsid w:val="003F6FF5"/>
    <w:rsid w:val="0041157D"/>
    <w:rsid w:val="004132AC"/>
    <w:rsid w:val="00415E5B"/>
    <w:rsid w:val="00421FEE"/>
    <w:rsid w:val="00425F1D"/>
    <w:rsid w:val="00427B7E"/>
    <w:rsid w:val="004370F5"/>
    <w:rsid w:val="0044488B"/>
    <w:rsid w:val="004521FE"/>
    <w:rsid w:val="00453E19"/>
    <w:rsid w:val="00464CAC"/>
    <w:rsid w:val="00470D4B"/>
    <w:rsid w:val="0048022D"/>
    <w:rsid w:val="0048372C"/>
    <w:rsid w:val="00484967"/>
    <w:rsid w:val="00486A20"/>
    <w:rsid w:val="004939C8"/>
    <w:rsid w:val="00494578"/>
    <w:rsid w:val="004A0FAD"/>
    <w:rsid w:val="004B2FFF"/>
    <w:rsid w:val="004B4244"/>
    <w:rsid w:val="004B783E"/>
    <w:rsid w:val="004D039E"/>
    <w:rsid w:val="004E28F3"/>
    <w:rsid w:val="004F64E2"/>
    <w:rsid w:val="00506F85"/>
    <w:rsid w:val="00513B4A"/>
    <w:rsid w:val="00514F9E"/>
    <w:rsid w:val="005154C2"/>
    <w:rsid w:val="00520BBB"/>
    <w:rsid w:val="00534ADA"/>
    <w:rsid w:val="005359B9"/>
    <w:rsid w:val="00536412"/>
    <w:rsid w:val="005437A0"/>
    <w:rsid w:val="00547A1D"/>
    <w:rsid w:val="00551F05"/>
    <w:rsid w:val="00552B65"/>
    <w:rsid w:val="005602DD"/>
    <w:rsid w:val="00563CF6"/>
    <w:rsid w:val="005650B0"/>
    <w:rsid w:val="00565B57"/>
    <w:rsid w:val="0058223E"/>
    <w:rsid w:val="00592AFE"/>
    <w:rsid w:val="005A2F66"/>
    <w:rsid w:val="005A41E9"/>
    <w:rsid w:val="005A449A"/>
    <w:rsid w:val="005B11E7"/>
    <w:rsid w:val="005B225F"/>
    <w:rsid w:val="005B5D8A"/>
    <w:rsid w:val="005C6176"/>
    <w:rsid w:val="005C693B"/>
    <w:rsid w:val="005D2383"/>
    <w:rsid w:val="005D610A"/>
    <w:rsid w:val="005E18A5"/>
    <w:rsid w:val="005E1DC1"/>
    <w:rsid w:val="005E6A0F"/>
    <w:rsid w:val="005F28B4"/>
    <w:rsid w:val="005F5D4F"/>
    <w:rsid w:val="00611CA0"/>
    <w:rsid w:val="0062646B"/>
    <w:rsid w:val="00632A06"/>
    <w:rsid w:val="00634BF6"/>
    <w:rsid w:val="006375C5"/>
    <w:rsid w:val="0064374E"/>
    <w:rsid w:val="00643BD5"/>
    <w:rsid w:val="00645CDD"/>
    <w:rsid w:val="00652472"/>
    <w:rsid w:val="00662505"/>
    <w:rsid w:val="00664CFA"/>
    <w:rsid w:val="0066766A"/>
    <w:rsid w:val="00670714"/>
    <w:rsid w:val="00672D02"/>
    <w:rsid w:val="006974ED"/>
    <w:rsid w:val="006B2756"/>
    <w:rsid w:val="006B7A9C"/>
    <w:rsid w:val="006D10B5"/>
    <w:rsid w:val="006D3C94"/>
    <w:rsid w:val="006D4561"/>
    <w:rsid w:val="006E30F0"/>
    <w:rsid w:val="006F361D"/>
    <w:rsid w:val="00701E9A"/>
    <w:rsid w:val="00704708"/>
    <w:rsid w:val="00723D7F"/>
    <w:rsid w:val="00727746"/>
    <w:rsid w:val="007278EB"/>
    <w:rsid w:val="00730859"/>
    <w:rsid w:val="00732EAD"/>
    <w:rsid w:val="00744507"/>
    <w:rsid w:val="00745329"/>
    <w:rsid w:val="007626EB"/>
    <w:rsid w:val="00762765"/>
    <w:rsid w:val="00764074"/>
    <w:rsid w:val="00776C72"/>
    <w:rsid w:val="007836CF"/>
    <w:rsid w:val="00790736"/>
    <w:rsid w:val="007A3D18"/>
    <w:rsid w:val="007B017D"/>
    <w:rsid w:val="007B1527"/>
    <w:rsid w:val="007B1D8D"/>
    <w:rsid w:val="007B3659"/>
    <w:rsid w:val="007C5783"/>
    <w:rsid w:val="007D2E4E"/>
    <w:rsid w:val="007E239F"/>
    <w:rsid w:val="007F49F1"/>
    <w:rsid w:val="007F53A9"/>
    <w:rsid w:val="00801947"/>
    <w:rsid w:val="00810701"/>
    <w:rsid w:val="00816D5C"/>
    <w:rsid w:val="008227EF"/>
    <w:rsid w:val="00823ABA"/>
    <w:rsid w:val="008357C7"/>
    <w:rsid w:val="00845391"/>
    <w:rsid w:val="008469D4"/>
    <w:rsid w:val="008622AE"/>
    <w:rsid w:val="0086665E"/>
    <w:rsid w:val="008678F4"/>
    <w:rsid w:val="0087179C"/>
    <w:rsid w:val="00881733"/>
    <w:rsid w:val="0089327A"/>
    <w:rsid w:val="00896743"/>
    <w:rsid w:val="008C76B4"/>
    <w:rsid w:val="008D308F"/>
    <w:rsid w:val="008E303D"/>
    <w:rsid w:val="008E6F0E"/>
    <w:rsid w:val="00904D13"/>
    <w:rsid w:val="009064F1"/>
    <w:rsid w:val="009105C1"/>
    <w:rsid w:val="009206B4"/>
    <w:rsid w:val="00922C4C"/>
    <w:rsid w:val="00931F42"/>
    <w:rsid w:val="00944B65"/>
    <w:rsid w:val="00951A87"/>
    <w:rsid w:val="00953D3B"/>
    <w:rsid w:val="00954135"/>
    <w:rsid w:val="00980402"/>
    <w:rsid w:val="00982B48"/>
    <w:rsid w:val="009A1B60"/>
    <w:rsid w:val="009A3803"/>
    <w:rsid w:val="009B15A5"/>
    <w:rsid w:val="009E1DD7"/>
    <w:rsid w:val="009F1D7F"/>
    <w:rsid w:val="009F3D76"/>
    <w:rsid w:val="00A01361"/>
    <w:rsid w:val="00A056FD"/>
    <w:rsid w:val="00A15E52"/>
    <w:rsid w:val="00A20AFC"/>
    <w:rsid w:val="00A266C1"/>
    <w:rsid w:val="00A36638"/>
    <w:rsid w:val="00A6050F"/>
    <w:rsid w:val="00A72055"/>
    <w:rsid w:val="00A84B37"/>
    <w:rsid w:val="00A859DE"/>
    <w:rsid w:val="00AA2CC1"/>
    <w:rsid w:val="00AA6CFE"/>
    <w:rsid w:val="00AB54E6"/>
    <w:rsid w:val="00AB65F6"/>
    <w:rsid w:val="00AD6086"/>
    <w:rsid w:val="00AE0038"/>
    <w:rsid w:val="00AE3648"/>
    <w:rsid w:val="00AE66C6"/>
    <w:rsid w:val="00AF48B9"/>
    <w:rsid w:val="00AF7CFA"/>
    <w:rsid w:val="00B0079E"/>
    <w:rsid w:val="00B31149"/>
    <w:rsid w:val="00B33546"/>
    <w:rsid w:val="00B3577F"/>
    <w:rsid w:val="00B4369A"/>
    <w:rsid w:val="00B5172C"/>
    <w:rsid w:val="00B53878"/>
    <w:rsid w:val="00B53EC2"/>
    <w:rsid w:val="00B5451D"/>
    <w:rsid w:val="00B54F69"/>
    <w:rsid w:val="00B57464"/>
    <w:rsid w:val="00B644D9"/>
    <w:rsid w:val="00B649B6"/>
    <w:rsid w:val="00B70C74"/>
    <w:rsid w:val="00B71FC8"/>
    <w:rsid w:val="00B86217"/>
    <w:rsid w:val="00BA1543"/>
    <w:rsid w:val="00BA1B7B"/>
    <w:rsid w:val="00BB14CE"/>
    <w:rsid w:val="00BB2AC7"/>
    <w:rsid w:val="00BB42A8"/>
    <w:rsid w:val="00BC197C"/>
    <w:rsid w:val="00BC53B0"/>
    <w:rsid w:val="00BC62B4"/>
    <w:rsid w:val="00BC6639"/>
    <w:rsid w:val="00BD54C3"/>
    <w:rsid w:val="00BF17EB"/>
    <w:rsid w:val="00BF541D"/>
    <w:rsid w:val="00BF7FB7"/>
    <w:rsid w:val="00C0718C"/>
    <w:rsid w:val="00C259D1"/>
    <w:rsid w:val="00C33E7C"/>
    <w:rsid w:val="00C437DC"/>
    <w:rsid w:val="00C54C66"/>
    <w:rsid w:val="00C603AA"/>
    <w:rsid w:val="00C833B5"/>
    <w:rsid w:val="00C90071"/>
    <w:rsid w:val="00C90268"/>
    <w:rsid w:val="00C90A1B"/>
    <w:rsid w:val="00C93D71"/>
    <w:rsid w:val="00C960B6"/>
    <w:rsid w:val="00C96F09"/>
    <w:rsid w:val="00CA07C8"/>
    <w:rsid w:val="00CA3C39"/>
    <w:rsid w:val="00CA7BE5"/>
    <w:rsid w:val="00CC33B7"/>
    <w:rsid w:val="00CC541A"/>
    <w:rsid w:val="00CC5479"/>
    <w:rsid w:val="00CC77FB"/>
    <w:rsid w:val="00CE4631"/>
    <w:rsid w:val="00CE6A49"/>
    <w:rsid w:val="00CF1A3F"/>
    <w:rsid w:val="00CF2A7C"/>
    <w:rsid w:val="00CF4038"/>
    <w:rsid w:val="00D02701"/>
    <w:rsid w:val="00D0556B"/>
    <w:rsid w:val="00D06E09"/>
    <w:rsid w:val="00D132F4"/>
    <w:rsid w:val="00D2050A"/>
    <w:rsid w:val="00D255D6"/>
    <w:rsid w:val="00D30CEE"/>
    <w:rsid w:val="00D31787"/>
    <w:rsid w:val="00D35AA9"/>
    <w:rsid w:val="00D402E3"/>
    <w:rsid w:val="00D53A15"/>
    <w:rsid w:val="00D704B4"/>
    <w:rsid w:val="00D713C1"/>
    <w:rsid w:val="00D82EF4"/>
    <w:rsid w:val="00D87090"/>
    <w:rsid w:val="00DA277B"/>
    <w:rsid w:val="00DB71FD"/>
    <w:rsid w:val="00DB77BA"/>
    <w:rsid w:val="00DC6DF2"/>
    <w:rsid w:val="00DE73BA"/>
    <w:rsid w:val="00DF0DE0"/>
    <w:rsid w:val="00DF3C8F"/>
    <w:rsid w:val="00DF4873"/>
    <w:rsid w:val="00E014BF"/>
    <w:rsid w:val="00E14607"/>
    <w:rsid w:val="00E22B58"/>
    <w:rsid w:val="00E27A9A"/>
    <w:rsid w:val="00E309EF"/>
    <w:rsid w:val="00E329DC"/>
    <w:rsid w:val="00E35452"/>
    <w:rsid w:val="00E36F07"/>
    <w:rsid w:val="00E3738C"/>
    <w:rsid w:val="00E43B73"/>
    <w:rsid w:val="00E44390"/>
    <w:rsid w:val="00E552D7"/>
    <w:rsid w:val="00E63E31"/>
    <w:rsid w:val="00E67D88"/>
    <w:rsid w:val="00E8346F"/>
    <w:rsid w:val="00E838FD"/>
    <w:rsid w:val="00E84BA7"/>
    <w:rsid w:val="00E91DE3"/>
    <w:rsid w:val="00E96BCB"/>
    <w:rsid w:val="00EA2540"/>
    <w:rsid w:val="00EA57BC"/>
    <w:rsid w:val="00EB3F64"/>
    <w:rsid w:val="00EB569D"/>
    <w:rsid w:val="00EC42BC"/>
    <w:rsid w:val="00EE7E1E"/>
    <w:rsid w:val="00EF17D6"/>
    <w:rsid w:val="00EF5707"/>
    <w:rsid w:val="00F01DE2"/>
    <w:rsid w:val="00F040BC"/>
    <w:rsid w:val="00F07BED"/>
    <w:rsid w:val="00F11D64"/>
    <w:rsid w:val="00F11FD0"/>
    <w:rsid w:val="00F171D7"/>
    <w:rsid w:val="00F27EE9"/>
    <w:rsid w:val="00F37343"/>
    <w:rsid w:val="00F77458"/>
    <w:rsid w:val="00F82909"/>
    <w:rsid w:val="00F8409B"/>
    <w:rsid w:val="00F8456C"/>
    <w:rsid w:val="00FA749B"/>
    <w:rsid w:val="00FD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DCDC"/>
  <w15:chartTrackingRefBased/>
  <w15:docId w15:val="{3645D003-8135-45A7-BCEF-637F8638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43"/>
    <w:pPr>
      <w:ind w:left="720"/>
      <w:contextualSpacing/>
    </w:pPr>
  </w:style>
  <w:style w:type="table" w:styleId="TableGrid">
    <w:name w:val="Table Grid"/>
    <w:basedOn w:val="TableNormal"/>
    <w:uiPriority w:val="39"/>
    <w:rsid w:val="0053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Do</dc:creator>
  <cp:keywords/>
  <dc:description/>
  <cp:lastModifiedBy>Khuong Do</cp:lastModifiedBy>
  <cp:revision>11</cp:revision>
  <dcterms:created xsi:type="dcterms:W3CDTF">2022-06-22T21:37:00Z</dcterms:created>
  <dcterms:modified xsi:type="dcterms:W3CDTF">2022-06-24T17:22:00Z</dcterms:modified>
</cp:coreProperties>
</file>