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Day 2 Activity Guide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u1pw1p7z0r3d" w:id="0"/>
      <w:bookmarkEnd w:id="0"/>
      <w:r w:rsidDel="00000000" w:rsidR="00000000" w:rsidRPr="00000000">
        <w:rPr>
          <w:rtl w:val="0"/>
        </w:rPr>
        <w:t xml:space="preserve">Attacking</w:t>
      </w:r>
      <w:r w:rsidDel="00000000" w:rsidR="00000000" w:rsidRPr="00000000">
        <w:rPr>
          <w:rtl w:val="0"/>
        </w:rPr>
        <w:t xml:space="preserve"> Rekall’s Linux Servers CTF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58lned0dpvw" w:id="1"/>
      <w:bookmarkEnd w:id="1"/>
      <w:r w:rsidDel="00000000" w:rsidR="00000000" w:rsidRPr="00000000">
        <w:rPr>
          <w:rtl w:val="0"/>
        </w:rPr>
        <w:t xml:space="preserve">Project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For this week’s project, you’re playing the role of penetration testers hired to conduct a penetration testing engagement by </w:t>
      </w:r>
      <w:r w:rsidDel="00000000" w:rsidR="00000000" w:rsidRPr="00000000">
        <w:rPr>
          <w:b w:val="1"/>
          <w:color w:val="24292f"/>
          <w:rtl w:val="0"/>
        </w:rPr>
        <w:t xml:space="preserve">Rekall Corporation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 Day 1, you found vulnerabilities within Rekall Corporation’s web application.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Today, you will continue to exploit Rekall’s technical infrastructure, but you’ll focus on the organization’s Linux servers and vulnerabilities related to Linux operating systems.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Like you did on Day 1, you will also find “flags” during your exploitation.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As you work through the project, remember to continue completing your required deliverable, the penetration testing summary report, and to take screenshots of your exploits that you'll include in this report.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8ge0xurr2be" w:id="2"/>
      <w:bookmarkEnd w:id="2"/>
      <w:r w:rsidDel="00000000" w:rsidR="00000000" w:rsidRPr="00000000">
        <w:rPr>
          <w:rtl w:val="0"/>
        </w:rPr>
        <w:t xml:space="preserve">Project Resources and Setup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You’ll use the following resources to complete today’s project: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b w:val="1"/>
          <w:color w:val="24292f"/>
        </w:rPr>
      </w:pPr>
      <w:r w:rsidDel="00000000" w:rsidR="00000000" w:rsidRPr="00000000">
        <w:rPr>
          <w:color w:val="24292f"/>
          <w:rtl w:val="0"/>
        </w:rPr>
        <w:t xml:space="preserve">1. </w:t>
      </w:r>
      <w:r w:rsidDel="00000000" w:rsidR="00000000" w:rsidRPr="00000000">
        <w:rPr>
          <w:b w:val="1"/>
          <w:color w:val="24292f"/>
          <w:rtl w:val="0"/>
        </w:rPr>
        <w:t xml:space="preserve">Rekall’s environment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will access today’s activity within your Project 2 Lab.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you have logged into the Lab from your Hyper-V, select the “Kali” machine.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Log in to Kali with the following credentials: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User: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root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Password: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kali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Open a terminal, and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cd</w:t>
      </w:r>
      <w:r w:rsidDel="00000000" w:rsidR="00000000" w:rsidRPr="00000000">
        <w:rPr>
          <w:color w:val="24292f"/>
          <w:rtl w:val="0"/>
        </w:rPr>
        <w:t xml:space="preserve"> over to: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/root/Documents/day_2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1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Type: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docker-compose pull</w:t>
      </w:r>
      <w:r w:rsidDel="00000000" w:rsidR="00000000" w:rsidRPr="00000000">
        <w:rPr>
          <w:color w:val="24292f"/>
          <w:rtl w:val="0"/>
        </w:rPr>
        <w:t xml:space="preserve"> and press Enter.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Type: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docker-compose up</w:t>
      </w:r>
      <w:r w:rsidDel="00000000" w:rsidR="00000000" w:rsidRPr="00000000">
        <w:rPr>
          <w:color w:val="24292f"/>
          <w:rtl w:val="0"/>
        </w:rPr>
        <w:t xml:space="preserve"> and press Enter.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Leave this window open.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From your terminal, open a new tab where you can conduct today’s tasks.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can access Nessus by opening a browser and navigating to: </w:t>
      </w:r>
      <w:hyperlink r:id="rId7">
        <w:r w:rsidDel="00000000" w:rsidR="00000000" w:rsidRPr="00000000">
          <w:rPr>
            <w:color w:val="1155cc"/>
            <w:rtl w:val="0"/>
          </w:rPr>
          <w:t xml:space="preserve">https://kali:8834/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If Nessus does not start automatically, click on the Kali Linux logo in the upper left-hand corner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Click 02- Vulnerability Analysis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Click nessus start (deleted)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Use the following credentials: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User: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root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Password: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toor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b w:val="1"/>
          <w:color w:val="24292f"/>
        </w:rPr>
      </w:pPr>
      <w:r w:rsidDel="00000000" w:rsidR="00000000" w:rsidRPr="00000000">
        <w:rPr>
          <w:color w:val="24292f"/>
          <w:rtl w:val="0"/>
        </w:rPr>
        <w:t xml:space="preserve">2.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b w:val="1"/>
          <w:color w:val="24292f"/>
          <w:rtl w:val="0"/>
        </w:rPr>
        <w:t xml:space="preserve">CTF flag submission page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Within your Lab browser, open a second tab and access your CTF page.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Your instructor will provide the custom website for your CTF when you are ready to begin.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you have accessed this page, select “Register” on the top right to register your account.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240" w:before="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Remember your password in case you need to log back in!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r2lt99aroeaf" w:id="3"/>
      <w:bookmarkEnd w:id="3"/>
      <w:r w:rsidDel="00000000" w:rsidR="00000000" w:rsidRPr="00000000">
        <w:rPr>
          <w:rtl w:val="0"/>
        </w:rPr>
        <w:t xml:space="preserve">CTF Instructions and Rules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zb3wtfvwbjec" w:id="4"/>
      <w:bookmarkEnd w:id="4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As penetration testers, you are tasked with finding all vulnerabilities in Rekall’s Linux servers.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And, as in Day 1’s activity, you are tasked with finding “flags” by exploiting these vulnerabilities.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flags are hidden across various Linux hosts within Rekall’s environment.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Many flags are hidden within the Linux hosts and titled Flag 1, Flag 2, etc.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Some flags are the answer to a specific challenge, such as: What is the IP of your machine?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Flags labeled Flag 1, Flag 2, etc. consist of a mix of letters and numbers: e.g., “Flag 1: d8sksydasksdy”.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you have found your flag or answered your question, enter the flag on the CTF flag submission page.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Don’t forget to take screenshots of the exploits you discover, as you will submit them in your summary!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h249g4qqf6kw" w:id="5"/>
      <w:bookmarkEnd w:id="5"/>
      <w:r w:rsidDel="00000000" w:rsidR="00000000" w:rsidRPr="00000000">
        <w:rPr>
          <w:rtl w:val="0"/>
        </w:rPr>
        <w:t xml:space="preserve">CTF Flag Submission Page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This webpage contains the 12 available flags.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Today’s flag categories represent the phases of a penetration test engagement. For example: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Reconnaissance</w:t>
      </w:r>
      <w:r w:rsidDel="00000000" w:rsidR="00000000" w:rsidRPr="00000000">
        <w:rPr>
          <w:color w:val="24292f"/>
          <w:rtl w:val="0"/>
        </w:rPr>
        <w:t xml:space="preserve">: This category contains challenges that use open source intelligence tools.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Scanning</w:t>
      </w:r>
      <w:r w:rsidDel="00000000" w:rsidR="00000000" w:rsidRPr="00000000">
        <w:rPr>
          <w:color w:val="24292f"/>
          <w:rtl w:val="0"/>
        </w:rPr>
        <w:t xml:space="preserve">: This category contains challenges that use scanning tools, such as Nmap and Nessus.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Exploitation</w:t>
      </w:r>
      <w:r w:rsidDel="00000000" w:rsidR="00000000" w:rsidRPr="00000000">
        <w:rPr>
          <w:color w:val="24292f"/>
          <w:rtl w:val="0"/>
        </w:rPr>
        <w:t xml:space="preserve">: This category contains challenges that use exploitation tools, such as Metasploit.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Post Exploitation</w:t>
      </w:r>
      <w:r w:rsidDel="00000000" w:rsidR="00000000" w:rsidRPr="00000000">
        <w:rPr>
          <w:color w:val="24292f"/>
          <w:rtl w:val="0"/>
        </w:rPr>
        <w:t xml:space="preserve">: This category contains challenges that use post-exploitation tools, such as Meterpreter.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points awarded for each flag are indicated in its respective flag box.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The more challenging the flag, the more points will be awarded.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Be sure to read the details in each flag box for important guidance on how to acquire that specific flag.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you find a flag, select the box with the corresponding flag number, and enter the flag.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can view your point total by selecting the “Scoreboard” option at the top of the page.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q49lw7hc3ram" w:id="6"/>
      <w:bookmarkEnd w:id="6"/>
      <w:r w:rsidDel="00000000" w:rsidR="00000000" w:rsidRPr="00000000">
        <w:rPr>
          <w:rtl w:val="0"/>
        </w:rPr>
        <w:t xml:space="preserve">CTF Hints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This CTF provides you an option to “pay” for hints with points.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Clicking on a flag will also display any available hints for that flag and the points it costs to unlock those hints.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Note</w:t>
      </w:r>
      <w:r w:rsidDel="00000000" w:rsidR="00000000" w:rsidRPr="00000000">
        <w:rPr>
          <w:color w:val="24292f"/>
          <w:rtl w:val="0"/>
        </w:rPr>
        <w:t xml:space="preserve">: You must have already been awarded the points before you can use them to “pay” for hints.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x9twxibcrwdb" w:id="7"/>
      <w:bookmarkEnd w:id="7"/>
      <w:r w:rsidDel="00000000" w:rsidR="00000000" w:rsidRPr="00000000">
        <w:rPr>
          <w:rtl w:val="0"/>
        </w:rPr>
        <w:t xml:space="preserve">Additional Hints for Success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Use the internet to help you figure out methods for exploiting these vulnerabilities.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Refer to your class notes and slides to help find several of the flags.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To start Nessus on your machine, search for Nessus in your list of applications and select the “Start Nessus” option.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12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Then select the Nessus icon on top of your browser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Certain exploits can be used to find information that will help you find other flags.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Most of the exploits that you’ll use were covered in class, but there are some new exploits which will require additional research.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Trying and failing is often part of a penetration tester’s work, so don't be afraid to attempt multiple exploits until one is successful.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y28isy17vta5" w:id="8"/>
      <w:bookmarkEnd w:id="8"/>
      <w:r w:rsidDel="00000000" w:rsidR="00000000" w:rsidRPr="00000000">
        <w:rPr>
          <w:rtl w:val="0"/>
        </w:rPr>
        <w:t xml:space="preserve">CTF Rules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Each group will start at the same time, once the URL for the CTF has been provided.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team with the most points at the end of the allotted time will win.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12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can use all available resources to assist you: class notes, slides, internet resources, tools, etc.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Your instructor or TA can assist with technical or lab access issues, but will not be able to provide guidance for finding the flags.</w:t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2023 edX Boot Camps LLC,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6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Oswald Light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ali:883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OswaldLight-regular.ttf"/><Relationship Id="rId8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