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2E4057"/>
          <w:sz w:val="32"/>
          <w:szCs w:val="32"/>
        </w:rPr>
        <w:t xml:space="preserve">IEEE MANUSCRIPT REVIEW &amp; RECONSTRUCTION REPORT</w:t>
      </w:r>
    </w:p>
    <w:p>
      <w:pPr>
        <w:spacing w:after="40" w:before="0"/>
        <w:jc w:val="center"/>
      </w:pPr>
      <w:r>
        <w:rPr>
          <w:rFonts w:ascii="Times New Roman" w:cs="Times New Roman" w:eastAsia="Times New Roman" w:hAnsi="Times New Roman"/>
          <w:i/>
          <w:iCs/>
          <w:color w:val="555555"/>
          <w:sz w:val="24"/>
          <w:szCs w:val="24"/>
        </w:rPr>
        <w:t xml:space="preserve">Prepared by: Senior IEEE Reviewer / Scientific Editor</w:t>
      </w:r>
    </w:p>
    <w:p>
      <w:pPr>
        <w:spacing w:after="200" w:before="0"/>
        <w:jc w:val="center"/>
      </w:pPr>
      <w:r>
        <w:rPr>
          <w:rFonts w:ascii="Times New Roman" w:cs="Times New Roman" w:eastAsia="Times New Roman" w:hAnsi="Times New Roman"/>
          <w:i/>
          <w:iCs/>
          <w:color w:val="555555"/>
          <w:sz w:val="24"/>
          <w:szCs w:val="24"/>
        </w:rPr>
        <w:t xml:space="preserve">June 2025</w:t>
      </w:r>
    </w:p>
    <w:p>
      <w:pPr>
        <w:pBdr>
          <w:bottom w:val="single" w:color="2E4057" w:sz="6" w:space="1"/>
        </w:pBdr>
        <w:spacing w:after="200" w:before="0"/>
      </w:pPr>
    </w:p>
    <w:p>
      <w:pPr>
        <w:spacing w:after="160" w:before="100"/>
        <w:jc w:val="center"/>
      </w:pPr>
      <w:r>
        <w:rPr>
          <w:rFonts w:ascii="Times New Roman" w:cs="Times New Roman" w:eastAsia="Times New Roman" w:hAnsi="Times New Roman"/>
          <w:b/>
          <w:bCs/>
          <w:color w:val="2E4057"/>
          <w:sz w:val="28"/>
          <w:szCs w:val="28"/>
        </w:rPr>
        <w:t xml:space="preserve">PART A: EXECUTIVE REVIEW SUMMARY</w:t>
      </w:r>
    </w:p>
    <w:p>
      <w:pPr>
        <w:pStyle w:val="Heading2"/>
        <w:spacing w:after="80" w:before="180"/>
      </w:pPr>
      <w:r>
        <w:rPr>
          <w:rFonts w:ascii="Times New Roman" w:cs="Times New Roman" w:eastAsia="Times New Roman" w:hAnsi="Times New Roman"/>
          <w:b/>
          <w:bCs/>
          <w:sz w:val="24"/>
          <w:szCs w:val="24"/>
        </w:rPr>
        <w:t xml:space="preserve">A.1 Major Strengths</w:t>
      </w:r>
    </w:p>
    <w:p>
      <w:pPr>
        <w:spacing w:after="60" w:before="60" w:line="276"/>
        <w:jc w:val="both"/>
      </w:pPr>
      <w:r>
        <w:rPr>
          <w:rFonts w:ascii="Times New Roman" w:cs="Times New Roman" w:eastAsia="Times New Roman" w:hAnsi="Times New Roman"/>
          <w:sz w:val="24"/>
          <w:szCs w:val="24"/>
        </w:rPr>
        <w:t xml:space="preserve">1.  Novel Algorithm Contribution: The DAQGA framework introduces three meaningful enhancements over conventional QGA — namely, microhabitat-based population initialization, fitness-adaptive rotation angle adjustment, and a catastrophe-driven diversity recovery mechanism. Each component addresses a well-known limitation of standard evolutionary algorithms, and the combination is technically sound.</w:t>
      </w:r>
    </w:p>
    <w:p>
      <w:pPr>
        <w:spacing w:after="60" w:before="60" w:line="276"/>
        <w:jc w:val="both"/>
      </w:pPr>
      <w:r>
        <w:rPr>
          <w:rFonts w:ascii="Times New Roman" w:cs="Times New Roman" w:eastAsia="Times New Roman" w:hAnsi="Times New Roman"/>
          <w:sz w:val="24"/>
          <w:szCs w:val="24"/>
        </w:rPr>
        <w:t xml:space="preserve">2.  Realistic 3D Simulation Environment: The use of actual OpenStreetMap building geometry, NASA SEDAC population density data, and ITU propagation models (atmospheric gas and rain attenuation) for a real Kowloon district confers a strong degree of practical validity that is rare in the deployment optimization literature.</w:t>
      </w:r>
    </w:p>
    <w:p>
      <w:pPr>
        <w:spacing w:after="60" w:before="60" w:line="276"/>
        <w:jc w:val="both"/>
      </w:pPr>
      <w:r>
        <w:rPr>
          <w:rFonts w:ascii="Times New Roman" w:cs="Times New Roman" w:eastAsia="Times New Roman" w:hAnsi="Times New Roman"/>
          <w:sz w:val="24"/>
          <w:szCs w:val="24"/>
        </w:rPr>
        <w:t xml:space="preserve">3.  Multi-Stage Candidate Site Filtering: The systematic exclusion of roads, school ground-level positions, tall-building rooftops, and parks via ArcGIS-derived polygons and DEM/DSM analysis is methodologically rigorous and well-motivated. Reducing 10,000 candidates to 551 viable sites substantially reduces the optimization search space.</w:t>
      </w:r>
    </w:p>
    <w:p>
      <w:pPr>
        <w:spacing w:after="60" w:before="60" w:line="276"/>
        <w:jc w:val="both"/>
      </w:pPr>
      <w:r>
        <w:rPr>
          <w:rFonts w:ascii="Times New Roman" w:cs="Times New Roman" w:eastAsia="Times New Roman" w:hAnsi="Times New Roman"/>
          <w:sz w:val="24"/>
          <w:szCs w:val="24"/>
        </w:rPr>
        <w:t xml:space="preserve">4.  Multi-Algorithm Benchmarking: Comparison against QGA, PSO, SSA, and AMGA under identical parameter conditions, backed by Wilcoxon rank-sum statistical testing, provides credible performance validation.</w:t>
      </w:r>
    </w:p>
    <w:p>
      <w:pPr>
        <w:spacing w:after="60" w:before="60" w:line="276"/>
        <w:jc w:val="both"/>
      </w:pPr>
      <w:r>
        <w:rPr>
          <w:rFonts w:ascii="Times New Roman" w:cs="Times New Roman" w:eastAsia="Times New Roman" w:hAnsi="Times New Roman"/>
          <w:sz w:val="24"/>
          <w:szCs w:val="24"/>
        </w:rPr>
        <w:t xml:space="preserve">5.  Real-World Cost Modeling: The quadratic cost fitting for ground towers and the linear model for rooftop towers, combined with treatment of existing infrastructure, introduce an economic dimension rarely seen in coverage-centric optimization papers.</w:t>
      </w:r>
    </w:p>
    <w:p>
      <w:pPr>
        <w:spacing w:after="60" w:before="60" w:line="276"/>
        <w:jc w:val="both"/>
      </w:pPr>
      <w:r>
        <w:rPr>
          <w:rFonts w:ascii="Times New Roman" w:cs="Times New Roman" w:eastAsia="Times New Roman" w:hAnsi="Times New Roman"/>
          <w:sz w:val="24"/>
          <w:szCs w:val="24"/>
        </w:rPr>
        <w:t xml:space="preserve">6.  Dual-Objective Analysis with Weight Sweep: Presenting five coverage/cost weight configurations and explicitly identifying the Pareto-optimal trade-off (0.7/0.3) demonstrates practical decision-making awareness.</w:t>
      </w:r>
    </w:p>
    <w:p>
      <w:pPr>
        <w:pStyle w:val="Heading2"/>
        <w:spacing w:after="80" w:before="180"/>
      </w:pPr>
      <w:r>
        <w:rPr>
          <w:rFonts w:ascii="Times New Roman" w:cs="Times New Roman" w:eastAsia="Times New Roman" w:hAnsi="Times New Roman"/>
          <w:b/>
          <w:bCs/>
          <w:sz w:val="24"/>
          <w:szCs w:val="24"/>
        </w:rPr>
        <w:t xml:space="preserve">A.2 Major Weaknesses</w:t>
      </w:r>
    </w:p>
    <w:p>
      <w:pPr>
        <w:spacing w:after="60" w:before="60" w:line="276"/>
        <w:jc w:val="both"/>
      </w:pPr>
      <w:r>
        <w:rPr>
          <w:rFonts w:ascii="Times New Roman" w:cs="Times New Roman" w:eastAsia="Times New Roman" w:hAnsi="Times New Roman"/>
          <w:sz w:val="24"/>
          <w:szCs w:val="24"/>
        </w:rPr>
        <w:t xml:space="preserve">1.  Missing Equations: Several equations are referenced in the text but appear only as placeholders or image-embedded objects that did not transfer to the extracted manuscript. Equations for reflection loss (Eq. 1), gas attenuation (Eq. 2), rain attenuation (Eq. 3), cost functions (Eqs. 4–8), coverage (Eqs. 9–10), normalization (Eq. 11), the quantum rotation gate, fitness-based angle formula, and the distance constraint are absent or incompletely stated.</w:t>
      </w:r>
    </w:p>
    <w:p>
      <w:pPr>
        <w:spacing w:after="60" w:before="60" w:line="276"/>
        <w:jc w:val="both"/>
      </w:pPr>
      <w:r>
        <w:rPr>
          <w:rFonts w:ascii="Times New Roman" w:cs="Times New Roman" w:eastAsia="Times New Roman" w:hAnsi="Times New Roman"/>
          <w:sz w:val="24"/>
          <w:szCs w:val="24"/>
        </w:rPr>
        <w:t xml:space="preserve">2.  Section Heading Typos and Formatting Errors: Section 2 heading reads "Signal Propagation Model an Environment Construction" (missing 'd'). Several section cross-references use placeholder text such as "Figure x" rather than actual figure numbers.</w:t>
      </w:r>
    </w:p>
    <w:p>
      <w:pPr>
        <w:spacing w:after="60" w:before="60" w:line="276"/>
        <w:jc w:val="both"/>
      </w:pPr>
      <w:r>
        <w:rPr>
          <w:rFonts w:ascii="Times New Roman" w:cs="Times New Roman" w:eastAsia="Times New Roman" w:hAnsi="Times New Roman"/>
          <w:sz w:val="24"/>
          <w:szCs w:val="24"/>
        </w:rPr>
        <w:t xml:space="preserve">3.  Duplicate Equation Numbering: Equation (12) is assigned twice — once to the overall objective function and again to the dynamic angle adjustment formula.</w:t>
      </w:r>
    </w:p>
    <w:p>
      <w:pPr>
        <w:spacing w:after="60" w:before="60" w:line="276"/>
        <w:jc w:val="both"/>
      </w:pPr>
      <w:r>
        <w:rPr>
          <w:rFonts w:ascii="Times New Roman" w:cs="Times New Roman" w:eastAsia="Times New Roman" w:hAnsi="Times New Roman"/>
          <w:sz w:val="24"/>
          <w:szCs w:val="24"/>
        </w:rPr>
        <w:t xml:space="preserve">4.  Quantum Bit Notation Inconsistency: The quantum state [ak, Bk]^T mixes Latin 'a' with Greek/capitalized 'B'. Standard QGA notation uses (alpha_k, beta_k); this inconsistency must be resolved throughout.</w:t>
      </w:r>
    </w:p>
    <w:p>
      <w:pPr>
        <w:spacing w:after="60" w:before="60" w:line="276"/>
        <w:jc w:val="both"/>
      </w:pPr>
      <w:r>
        <w:rPr>
          <w:rFonts w:ascii="Times New Roman" w:cs="Times New Roman" w:eastAsia="Times New Roman" w:hAnsi="Times New Roman"/>
          <w:sz w:val="24"/>
          <w:szCs w:val="24"/>
        </w:rPr>
        <w:t xml:space="preserve">5.  Missing Figure References: "Figure x" appears for the normal distribution illustration of microhabitat sizes; no actual number is assigned.</w:t>
      </w:r>
    </w:p>
    <w:p>
      <w:pPr>
        <w:spacing w:after="60" w:before="60" w:line="276"/>
        <w:jc w:val="both"/>
      </w:pPr>
      <w:r>
        <w:rPr>
          <w:rFonts w:ascii="Times New Roman" w:cs="Times New Roman" w:eastAsia="Times New Roman" w:hAnsi="Times New Roman"/>
          <w:sz w:val="24"/>
          <w:szCs w:val="24"/>
        </w:rPr>
        <w:t xml:space="preserve">6.  Incomplete Variable Definitions: The Vincenty distance constraint formula, the interference distance d_limit, and the Jones polarization vectors J_tx and J_rx are mentioned but never explicitly defined or provided with dimensional context.</w:t>
      </w:r>
    </w:p>
    <w:p>
      <w:pPr>
        <w:spacing w:after="60" w:before="60" w:line="276"/>
        <w:jc w:val="both"/>
      </w:pPr>
      <w:r>
        <w:rPr>
          <w:rFonts w:ascii="Times New Roman" w:cs="Times New Roman" w:eastAsia="Times New Roman" w:hAnsi="Times New Roman"/>
          <w:sz w:val="24"/>
          <w:szCs w:val="24"/>
        </w:rPr>
        <w:t xml:space="preserve">7.  Ablation Table Interpretation Issue: The ablation study (Table 4) concludes that population size 40 is selected despite size 30 consistently yielding lower objective function values. This reasoning is not convincingly justified.</w:t>
      </w:r>
    </w:p>
    <w:p>
      <w:pPr>
        <w:spacing w:after="60" w:before="60" w:line="276"/>
        <w:jc w:val="both"/>
      </w:pPr>
      <w:r>
        <w:rPr>
          <w:rFonts w:ascii="Times New Roman" w:cs="Times New Roman" w:eastAsia="Times New Roman" w:hAnsi="Times New Roman"/>
          <w:sz w:val="24"/>
          <w:szCs w:val="24"/>
        </w:rPr>
        <w:t xml:space="preserve">8.  AI-Pattern Writing: Phrases such as "It is, therefore, imperative", "This is critical not only for", and repetitive sentence-opening constructs ("This ...", "This ...") are detectable AI-generation patterns that must be eliminated.</w:t>
      </w:r>
    </w:p>
    <w:p>
      <w:pPr>
        <w:spacing w:after="60" w:before="60" w:line="276"/>
        <w:jc w:val="both"/>
      </w:pPr>
      <w:r>
        <w:rPr>
          <w:rFonts w:ascii="Times New Roman" w:cs="Times New Roman" w:eastAsia="Times New Roman" w:hAnsi="Times New Roman"/>
          <w:sz w:val="24"/>
          <w:szCs w:val="24"/>
        </w:rPr>
        <w:t xml:space="preserve">9.  Sparse Discussion Section: The paper lacks a dedicated Discussion section. Results are reported but the scientific interpretation of why DAQGA outperforms alternatives and what this means physically is underexplored.</w:t>
      </w:r>
    </w:p>
    <w:p>
      <w:pPr>
        <w:spacing w:after="60" w:before="60" w:line="276"/>
        <w:jc w:val="both"/>
      </w:pPr>
      <w:r>
        <w:rPr>
          <w:rFonts w:ascii="Times New Roman" w:cs="Times New Roman" w:eastAsia="Times New Roman" w:hAnsi="Times New Roman"/>
          <w:sz w:val="24"/>
          <w:szCs w:val="24"/>
        </w:rPr>
        <w:t xml:space="preserve">10. Declarations Incompleteness: The funding and data availability statements are present but the ethics/IRB statement is absent, which some journals require.</w:t>
      </w:r>
    </w:p>
    <w:p>
      <w:pPr>
        <w:pStyle w:val="Heading2"/>
        <w:spacing w:after="80" w:before="180"/>
      </w:pPr>
      <w:r>
        <w:rPr>
          <w:rFonts w:ascii="Times New Roman" w:cs="Times New Roman" w:eastAsia="Times New Roman" w:hAnsi="Times New Roman"/>
          <w:b/>
          <w:bCs/>
          <w:sz w:val="24"/>
          <w:szCs w:val="24"/>
        </w:rPr>
        <w:t xml:space="preserve">A.3 Publication Readiness Assessment</w:t>
      </w:r>
    </w:p>
    <w:p>
      <w:pPr>
        <w:spacing w:after="60" w:before="60" w:line="276"/>
        <w:jc w:val="both"/>
      </w:pPr>
      <w:r>
        <w:rPr>
          <w:rFonts w:ascii="Times New Roman" w:cs="Times New Roman" w:eastAsia="Times New Roman" w:hAnsi="Times New Roman"/>
          <w:sz w:val="24"/>
          <w:szCs w:val="24"/>
        </w:rPr>
        <w:t xml:space="preserve">Current State: The paper contains substantial technical content of genuine novelty. However, it is not publication-ready in its current form due to missing equations, inconsistent notation, writing quality issues, and an underdeveloped discussion. After the revisions detailed in this report and the rewritten manuscript below, the paper would be suitable for submission to a Scopus-indexed Q2/Q3 journal such as Computer Communications, Sustainable Cities and Society, or IEEE Access.</w:t>
      </w:r>
    </w:p>
    <w:p>
      <w:pPr>
        <w:pBdr>
          <w:bottom w:val="single" w:color="AAAAAA" w:sz="2" w:space="1"/>
        </w:pBdr>
        <w:spacing w:after="200" w:before="200"/>
      </w:pPr>
    </w:p>
    <w:p>
      <w:pPr>
        <w:spacing w:after="160" w:before="100"/>
        <w:jc w:val="center"/>
      </w:pPr>
      <w:r>
        <w:rPr>
          <w:rFonts w:ascii="Times New Roman" w:cs="Times New Roman" w:eastAsia="Times New Roman" w:hAnsi="Times New Roman"/>
          <w:b/>
          <w:bCs/>
          <w:color w:val="2E4057"/>
          <w:sz w:val="28"/>
          <w:szCs w:val="28"/>
        </w:rPr>
        <w:t xml:space="preserve">PART B: TECHNICAL ISSUES FOUND</w:t>
      </w:r>
    </w:p>
    <w:p>
      <w:pPr>
        <w:pStyle w:val="Heading2"/>
        <w:spacing w:after="80" w:before="180"/>
      </w:pPr>
      <w:r>
        <w:rPr>
          <w:rFonts w:ascii="Times New Roman" w:cs="Times New Roman" w:eastAsia="Times New Roman" w:hAnsi="Times New Roman"/>
          <w:b/>
          <w:bCs/>
          <w:sz w:val="24"/>
          <w:szCs w:val="24"/>
        </w:rPr>
        <w:t xml:space="preserve">B.1 Mathematical Issues</w:t>
      </w:r>
    </w:p>
    <w:p>
      <w:pPr>
        <w:spacing w:after="60" w:before="60" w:line="276"/>
        <w:jc w:val="both"/>
      </w:pPr>
      <w:r>
        <w:rPr>
          <w:rFonts w:ascii="Times New Roman" w:cs="Times New Roman" w:eastAsia="Times New Roman" w:hAnsi="Times New Roman"/>
          <w:sz w:val="24"/>
          <w:szCs w:val="24"/>
        </w:rPr>
        <w:t xml:space="preserve">Issue M1 — Missing Equation Bodies: Equations 1–11 and the rotation gate formula are referenced but their mathematical content was embedded as images in the original DOCX and is therefore absent from the extractable text. These have been reconstructed from context, ITU standards, and standard QGA literature in the rewritten manuscript below.</w:t>
      </w:r>
    </w:p>
    <w:p>
      <w:pPr>
        <w:spacing w:after="60" w:before="60" w:line="276"/>
        <w:jc w:val="both"/>
      </w:pPr>
      <w:r>
        <w:rPr>
          <w:rFonts w:ascii="Times New Roman" w:cs="Times New Roman" w:eastAsia="Times New Roman" w:hAnsi="Times New Roman"/>
          <w:sz w:val="24"/>
          <w:szCs w:val="24"/>
        </w:rPr>
        <w:t xml:space="preserve">Issue M2 — Duplicate Numbering of Eq. 12: The weighted objective function and the dynamic angle formula both bear the label (12). The objective function is reassigned as Eq. (12) and the angle formula as Eq. (13) in the revised manuscript.</w:t>
      </w:r>
    </w:p>
    <w:p>
      <w:pPr>
        <w:spacing w:after="60" w:before="60" w:line="276"/>
        <w:jc w:val="both"/>
      </w:pPr>
      <w:r>
        <w:rPr>
          <w:rFonts w:ascii="Times New Roman" w:cs="Times New Roman" w:eastAsia="Times New Roman" w:hAnsi="Times New Roman"/>
          <w:sz w:val="24"/>
          <w:szCs w:val="24"/>
        </w:rPr>
        <w:t xml:space="preserve">Issue M3 — Undefined Symbols in Cost Equations: Coefficients a, b, c in the quadratic ground tower cost (Eq. 4) and p in the rooftop linear cost (Eq. 5) are never numerically specified or cited to a source. The rewritten manuscript explicitly notes these must be derived from the cited manufacturer data.</w:t>
      </w:r>
    </w:p>
    <w:p>
      <w:pPr>
        <w:spacing w:after="60" w:before="60" w:line="276"/>
        <w:jc w:val="both"/>
      </w:pPr>
      <w:r>
        <w:rPr>
          <w:rFonts w:ascii="Times New Roman" w:cs="Times New Roman" w:eastAsia="Times New Roman" w:hAnsi="Times New Roman"/>
          <w:sz w:val="24"/>
          <w:szCs w:val="24"/>
        </w:rPr>
        <w:t xml:space="preserve">Issue M4 — Vincenty Formula for Interference: The constraint d_ij &gt;= d_limit is stated but neither the Vincenty formula is given nor d_limit quantified (though 250 m appears in the results section). This has been consolidated.</w:t>
      </w:r>
    </w:p>
    <w:p>
      <w:pPr>
        <w:spacing w:after="60" w:before="60" w:line="276"/>
        <w:jc w:val="both"/>
      </w:pPr>
      <w:r>
        <w:rPr>
          <w:rFonts w:ascii="Times New Roman" w:cs="Times New Roman" w:eastAsia="Times New Roman" w:hAnsi="Times New Roman"/>
          <w:sz w:val="24"/>
          <w:szCs w:val="24"/>
        </w:rPr>
        <w:t xml:space="preserve">Issue M5 — Quantum Notation Inconsistency: [alpha_k, beta_k]^T is the standard notation for a quantum bit (qubit) in QGA literature. The original uses mixed [a_k, B_k] which is non-standard. This is standardized in the rewritten manuscript.</w:t>
      </w:r>
    </w:p>
    <w:p>
      <w:pPr>
        <w:spacing w:after="60" w:before="60" w:line="276"/>
        <w:jc w:val="both"/>
      </w:pPr>
      <w:r>
        <w:rPr>
          <w:rFonts w:ascii="Times New Roman" w:cs="Times New Roman" w:eastAsia="Times New Roman" w:hAnsi="Times New Roman"/>
          <w:sz w:val="24"/>
          <w:szCs w:val="24"/>
        </w:rPr>
        <w:t xml:space="preserve">Issue M6 — Rotation Gate Matrix Missing: The quantum rotation gate U(theta) is referenced but the 2x2 rotation matrix is never shown. It has been added.</w:t>
      </w:r>
    </w:p>
    <w:p>
      <w:pPr>
        <w:pStyle w:val="Heading2"/>
        <w:spacing w:after="80" w:before="180"/>
      </w:pPr>
      <w:r>
        <w:rPr>
          <w:rFonts w:ascii="Times New Roman" w:cs="Times New Roman" w:eastAsia="Times New Roman" w:hAnsi="Times New Roman"/>
          <w:b/>
          <w:bCs/>
          <w:sz w:val="24"/>
          <w:szCs w:val="24"/>
        </w:rPr>
        <w:t xml:space="preserve">B.2 Methodological Issues</w:t>
      </w:r>
    </w:p>
    <w:p>
      <w:pPr>
        <w:spacing w:after="60" w:before="60" w:line="276"/>
        <w:jc w:val="both"/>
      </w:pPr>
      <w:r>
        <w:rPr>
          <w:rFonts w:ascii="Times New Roman" w:cs="Times New Roman" w:eastAsia="Times New Roman" w:hAnsi="Times New Roman"/>
          <w:sz w:val="24"/>
          <w:szCs w:val="24"/>
        </w:rPr>
        <w:t xml:space="preserve">Issue Me1 — Ablation Study Logic: Table 4 shows population size 30 achieves consistently better mean objective function values (0.63–0.67) than size 40 (0.74–0.77). The text selects size 40 for "clear convergence observation," but this is a weak justification. The rewrite adds that the higher objective values for sizes 40/50 reflect faster convergence rather than better optimization quality, and acknowledges this limitation.</w:t>
      </w:r>
    </w:p>
    <w:p>
      <w:pPr>
        <w:spacing w:after="60" w:before="60" w:line="276"/>
        <w:jc w:val="both"/>
      </w:pPr>
      <w:r>
        <w:rPr>
          <w:rFonts w:ascii="Times New Roman" w:cs="Times New Roman" w:eastAsia="Times New Roman" w:hAnsi="Times New Roman"/>
          <w:sz w:val="24"/>
          <w:szCs w:val="24"/>
        </w:rPr>
        <w:t xml:space="preserve">Issue Me2 — Catastrophe Trigger Undefined: The condition for triggering the catastrophe mechanism ("fitness stagnates over several consecutive iterations") is never quantified. A stagnation window of T_stag = 20 generations is commonly used; this is explicitly stated as an assumption in the rewrite.</w:t>
      </w:r>
    </w:p>
    <w:p>
      <w:pPr>
        <w:spacing w:after="60" w:before="60" w:line="276"/>
        <w:jc w:val="both"/>
      </w:pPr>
      <w:r>
        <w:rPr>
          <w:rFonts w:ascii="Times New Roman" w:cs="Times New Roman" w:eastAsia="Times New Roman" w:hAnsi="Times New Roman"/>
          <w:sz w:val="24"/>
          <w:szCs w:val="24"/>
        </w:rPr>
        <w:t xml:space="preserve">Issue Me3 — Microhabitat Normal Distribution Not Fully Described: The discretized normal distribution governing subpopulation sizes is referenced as "Figure x" with no formula. The rewrite provides the discretization formula.</w:t>
      </w:r>
    </w:p>
    <w:p>
      <w:pPr>
        <w:spacing w:after="60" w:before="60" w:line="276"/>
        <w:jc w:val="both"/>
      </w:pPr>
      <w:r>
        <w:rPr>
          <w:rFonts w:ascii="Times New Roman" w:cs="Times New Roman" w:eastAsia="Times New Roman" w:hAnsi="Times New Roman"/>
          <w:sz w:val="24"/>
          <w:szCs w:val="24"/>
        </w:rPr>
        <w:t xml:space="preserve">Issue Me4 — Omnidirectional Antenna Assumption: Using omnidirectional antennas for 5G at 3.5 GHz is a significant simplification. This is acknowledged as a limitation in the revised Conclusion.</w:t>
      </w:r>
    </w:p>
    <w:p>
      <w:pPr>
        <w:spacing w:after="60" w:before="60" w:line="276"/>
        <w:jc w:val="both"/>
      </w:pPr>
      <w:r>
        <w:rPr>
          <w:rFonts w:ascii="Times New Roman" w:cs="Times New Roman" w:eastAsia="Times New Roman" w:hAnsi="Times New Roman"/>
          <w:sz w:val="24"/>
          <w:szCs w:val="24"/>
        </w:rPr>
        <w:t xml:space="preserve">Issue Me5 — Signal Threshold Justification: The -95 dBm threshold for determining coverage is used without citation or justification. This is standard for LTE/5G sensitivity specifications and a supporting reference has been added.</w:t>
      </w:r>
    </w:p>
    <w:p>
      <w:pPr>
        <w:pStyle w:val="Heading2"/>
        <w:spacing w:after="80" w:before="180"/>
      </w:pPr>
      <w:r>
        <w:rPr>
          <w:rFonts w:ascii="Times New Roman" w:cs="Times New Roman" w:eastAsia="Times New Roman" w:hAnsi="Times New Roman"/>
          <w:b/>
          <w:bCs/>
          <w:sz w:val="24"/>
          <w:szCs w:val="24"/>
        </w:rPr>
        <w:t xml:space="preserve">B.3 Writing Issues</w:t>
      </w:r>
    </w:p>
    <w:p>
      <w:pPr>
        <w:spacing w:after="60" w:before="60" w:line="276"/>
        <w:jc w:val="both"/>
      </w:pPr>
      <w:r>
        <w:rPr>
          <w:rFonts w:ascii="Times New Roman" w:cs="Times New Roman" w:eastAsia="Times New Roman" w:hAnsi="Times New Roman"/>
          <w:sz w:val="24"/>
          <w:szCs w:val="24"/>
        </w:rPr>
        <w:t xml:space="preserve">Issue W1 — Section 2 Heading Typo: "Signal Propagation Model an Environment Construction" corrected to "Signal Propagation Modeling and Environment Construction."</w:t>
      </w:r>
    </w:p>
    <w:p>
      <w:pPr>
        <w:spacing w:after="60" w:before="60" w:line="276"/>
        <w:jc w:val="both"/>
      </w:pPr>
      <w:r>
        <w:rPr>
          <w:rFonts w:ascii="Times New Roman" w:cs="Times New Roman" w:eastAsia="Times New Roman" w:hAnsi="Times New Roman"/>
          <w:sz w:val="24"/>
          <w:szCs w:val="24"/>
        </w:rPr>
        <w:t xml:space="preserve">Issue W2 — AI Writing Patterns: Phrases like "It is, therefore, imperative", "This is critical not only for", "With the rapid development", and overly structured parallel sentences have been rewritten throughout.</w:t>
      </w:r>
    </w:p>
    <w:p>
      <w:pPr>
        <w:spacing w:after="60" w:before="60" w:line="276"/>
        <w:jc w:val="both"/>
      </w:pPr>
      <w:r>
        <w:rPr>
          <w:rFonts w:ascii="Times New Roman" w:cs="Times New Roman" w:eastAsia="Times New Roman" w:hAnsi="Times New Roman"/>
          <w:sz w:val="24"/>
          <w:szCs w:val="24"/>
        </w:rPr>
        <w:t xml:space="preserve">Issue W3 — Placeholder Figure References: "Figure x" replaced with "Fig. 3" (normal distribution microhabitat) in the rewritten manuscript, with a note that the actual figure must be supplied by the authors.</w:t>
      </w:r>
    </w:p>
    <w:p>
      <w:pPr>
        <w:spacing w:after="60" w:before="60" w:line="276"/>
        <w:jc w:val="both"/>
      </w:pPr>
      <w:r>
        <w:rPr>
          <w:rFonts w:ascii="Times New Roman" w:cs="Times New Roman" w:eastAsia="Times New Roman" w:hAnsi="Times New Roman"/>
          <w:sz w:val="24"/>
          <w:szCs w:val="24"/>
        </w:rPr>
        <w:t xml:space="preserve">Issue W4 — Repetitive Structure in Related Work: Multiple sentences beginning with "[Author] et al. proposed..." have been restructured for variety and critical depth.</w:t>
      </w:r>
    </w:p>
    <w:p>
      <w:pPr>
        <w:spacing w:after="60" w:before="60" w:line="276"/>
        <w:jc w:val="both"/>
      </w:pPr>
      <w:r>
        <w:rPr>
          <w:rFonts w:ascii="Times New Roman" w:cs="Times New Roman" w:eastAsia="Times New Roman" w:hAnsi="Times New Roman"/>
          <w:sz w:val="24"/>
          <w:szCs w:val="24"/>
        </w:rPr>
        <w:t xml:space="preserve">Issue W5 — Missing Discussion Section: A full Discussion section has been added analyzing why DAQGA outperforms each comparator, interpreting the convergence behavior, and discussing physical implications of the signal strength results.</w:t>
      </w:r>
    </w:p>
    <w:p>
      <w:pPr>
        <w:pStyle w:val="Heading2"/>
        <w:spacing w:after="80" w:before="180"/>
      </w:pPr>
      <w:r>
        <w:rPr>
          <w:rFonts w:ascii="Times New Roman" w:cs="Times New Roman" w:eastAsia="Times New Roman" w:hAnsi="Times New Roman"/>
          <w:b/>
          <w:bCs/>
          <w:sz w:val="24"/>
          <w:szCs w:val="24"/>
        </w:rPr>
        <w:t xml:space="preserve">B.4 Formatting Issues</w:t>
      </w:r>
    </w:p>
    <w:p>
      <w:pPr>
        <w:spacing w:after="60" w:before="60" w:line="276"/>
        <w:jc w:val="both"/>
      </w:pPr>
      <w:r>
        <w:rPr>
          <w:rFonts w:ascii="Times New Roman" w:cs="Times New Roman" w:eastAsia="Times New Roman" w:hAnsi="Times New Roman"/>
          <w:sz w:val="24"/>
          <w:szCs w:val="24"/>
        </w:rPr>
        <w:t xml:space="preserve">Issue F1 — Table Parameter Naming: Table 3 uses "survey algebra" and "evaluation algebra" — these should be "survey area" and "maximum iterations," respectively.</w:t>
      </w:r>
    </w:p>
    <w:p>
      <w:pPr>
        <w:spacing w:after="60" w:before="60" w:line="276"/>
        <w:jc w:val="both"/>
      </w:pPr>
      <w:r>
        <w:rPr>
          <w:rFonts w:ascii="Times New Roman" w:cs="Times New Roman" w:eastAsia="Times New Roman" w:hAnsi="Times New Roman"/>
          <w:sz w:val="24"/>
          <w:szCs w:val="24"/>
        </w:rPr>
        <w:t xml:space="preserve">Issue F2 — Table 6 Antenna Height Column: One row in the DAQGA results shows antenna height 39 in Table 6 but 38 in Table 5 for the same station (site 530). Minor inconsistency noted; preserved as-is pending author clarification.</w:t>
      </w:r>
    </w:p>
    <w:p>
      <w:pPr>
        <w:spacing w:after="60" w:before="60" w:line="276"/>
        <w:jc w:val="both"/>
      </w:pPr>
      <w:r>
        <w:rPr>
          <w:rFonts w:ascii="Times New Roman" w:cs="Times New Roman" w:eastAsia="Times New Roman" w:hAnsi="Times New Roman"/>
          <w:sz w:val="24"/>
          <w:szCs w:val="24"/>
        </w:rPr>
        <w:t xml:space="preserve">Issue F3 — Reference [39] Duplicates [2]: Reference [39] cites the same paper (Li, Pang, Fan, Comput. Commun. 2024) with different page numbers. Reference [2] gives pages 83–95; [39] gives page 225. These are likely the same article; the rewrite retains [2] and removes the duplicate.</w:t>
      </w:r>
    </w:p>
    <w:p>
      <w:pPr>
        <w:spacing w:after="60" w:before="60" w:line="276"/>
        <w:jc w:val="both"/>
      </w:pPr>
      <w:r>
        <w:rPr>
          <w:rFonts w:ascii="Times New Roman" w:cs="Times New Roman" w:eastAsia="Times New Roman" w:hAnsi="Times New Roman"/>
          <w:sz w:val="24"/>
          <w:szCs w:val="24"/>
        </w:rPr>
        <w:t xml:space="preserve">Issue F4 — Section Numbering Gap: Section 4 jumps from the main results directly to 4.1 without a brief section introduction paragraph. This has been added.</w:t>
      </w:r>
    </w:p>
    <w:p>
      <w:pPr>
        <w:pBdr>
          <w:bottom w:val="single" w:color="AAAAAA" w:sz="2" w:space="1"/>
        </w:pBdr>
        <w:spacing w:after="200" w:before="200"/>
      </w:pPr>
    </w:p>
    <w:p>
      <w:pPr>
        <w:spacing w:after="200" w:before="100"/>
        <w:jc w:val="center"/>
      </w:pPr>
      <w:r>
        <w:rPr>
          <w:rFonts w:ascii="Times New Roman" w:cs="Times New Roman" w:eastAsia="Times New Roman" w:hAnsi="Times New Roman"/>
          <w:b/>
          <w:bCs/>
          <w:color w:val="2E4057"/>
          <w:sz w:val="28"/>
          <w:szCs w:val="28"/>
        </w:rPr>
        <w:t xml:space="preserve">PART C: FULLY REWRITTEN PUBLICATION-READY MANUSCRIPT</w:t>
      </w:r>
    </w:p>
    <w:p>
      <w:pPr>
        <w:spacing w:after="120" w:before="120"/>
        <w:jc w:val="center"/>
      </w:pPr>
      <w:r>
        <w:rPr>
          <w:rFonts w:ascii="Times New Roman" w:cs="Times New Roman" w:eastAsia="Times New Roman" w:hAnsi="Times New Roman"/>
          <w:b/>
          <w:bCs/>
          <w:sz w:val="32"/>
          <w:szCs w:val="32"/>
        </w:rPr>
        <w:t xml:space="preserve">Optimal 5G Base Station Placement in Three-Dimensional Urban Environments via a Dynamically Adjusted Quantum Genetic Algorithm</w:t>
      </w:r>
    </w:p>
    <w:p>
      <w:pPr>
        <w:spacing w:after="40" w:before="80"/>
        <w:jc w:val="center"/>
      </w:pPr>
      <w:r>
        <w:rPr>
          <w:rFonts w:ascii="Times New Roman" w:cs="Times New Roman" w:eastAsia="Times New Roman" w:hAnsi="Times New Roman"/>
          <w:i/>
          <w:iCs/>
          <w:sz w:val="24"/>
          <w:szCs w:val="24"/>
        </w:rPr>
        <w:t xml:space="preserve">Meenaz Shaikh¹  ·  Ashwani Kumar Yadav¹  ·  Siraj Pathan²</w:t>
      </w:r>
    </w:p>
    <w:p>
      <w:pPr>
        <w:spacing w:after="20" w:before="0"/>
        <w:jc w:val="center"/>
      </w:pPr>
      <w:r>
        <w:rPr>
          <w:rFonts w:ascii="Times New Roman" w:cs="Times New Roman" w:eastAsia="Times New Roman" w:hAnsi="Times New Roman"/>
          <w:sz w:val="20"/>
          <w:szCs w:val="20"/>
        </w:rPr>
        <w:t xml:space="preserve">¹ Department of Electronics &amp; Communication Engineering, Amity School of Engineering and Technology, Amity University Rajasthan, India</w:t>
      </w:r>
    </w:p>
    <w:p>
      <w:pPr>
        <w:spacing w:after="20" w:before="0"/>
        <w:jc w:val="center"/>
      </w:pPr>
      <w:r>
        <w:rPr>
          <w:rFonts w:ascii="Times New Roman" w:cs="Times New Roman" w:eastAsia="Times New Roman" w:hAnsi="Times New Roman"/>
          <w:sz w:val="20"/>
          <w:szCs w:val="20"/>
        </w:rPr>
        <w:t xml:space="preserve">² Reliance Jio, Mumbai, India</w:t>
      </w:r>
    </w:p>
    <w:p>
      <w:pPr>
        <w:spacing w:after="120" w:before="0"/>
        <w:jc w:val="center"/>
      </w:pPr>
      <w:r>
        <w:rPr>
          <w:rFonts w:ascii="Times New Roman" w:cs="Times New Roman" w:eastAsia="Times New Roman" w:hAnsi="Times New Roman"/>
          <w:i/>
          <w:iCs/>
          <w:sz w:val="20"/>
          <w:szCs w:val="20"/>
        </w:rPr>
        <w:t xml:space="preserve">Corresponding author: Meenaz Shaikh | meenazshaikh88@gmail.com</w:t>
      </w:r>
    </w:p>
    <w:p>
      <w:pPr>
        <w:pStyle w:val="Heading1"/>
        <w:spacing w:after="120" w:before="240"/>
      </w:pPr>
      <w:r>
        <w:rPr>
          <w:rFonts w:ascii="Times New Roman" w:cs="Times New Roman" w:eastAsia="Times New Roman" w:hAnsi="Times New Roman"/>
          <w:b/>
          <w:bCs/>
          <w:caps/>
          <w:sz w:val="28"/>
          <w:szCs w:val="28"/>
        </w:rPr>
        <w:t xml:space="preserve">Abstract</w:t>
      </w:r>
    </w:p>
    <w:p>
      <w:pPr>
        <w:spacing w:after="60" w:before="60" w:line="276"/>
        <w:jc w:val="both"/>
      </w:pPr>
      <w:r>
        <w:rPr>
          <w:rFonts w:ascii="Times New Roman" w:cs="Times New Roman" w:eastAsia="Times New Roman" w:hAnsi="Times New Roman"/>
          <w:sz w:val="24"/>
          <w:szCs w:val="24"/>
        </w:rPr>
        <w:t xml:space="preserve">Deploying fifth-generation (5G) base stations in dense urban environments requires simultaneous optimization of signal coverage and construction cost — objectives that frequently conflict in practice. Most existing approaches rely on two-dimensional spatial models and empirical path-loss formulas, which inadequately capture the three-dimensional geometry of real cities. This paper addresses these deficiencies through a comprehensive optimization framework applied to a 450,000 m² district in Kowloon, Hong Kong. Electromagnetic propagation is simulated via the Shooting and Bouncing Rays (SBR) method within a high-fidelity 3D building model incorporating material-specific Fresnel reflection coefficients and ITU-standard atmospheric and rain attenuation at 3.5 GHz. Street-level user positions are generated stochastically from NASA SEDAC population density data, yielding a heterogeneous distribution of 3,300 outdoor users across commercial, school, and park zones. Candidate deployment sites are reduced from 10,000 to 551 through a principled multi-stage filtering process that excludes roads, excessive-height rooftops, school grounds, and parkland. The resulting combinatorial placement problem is solved by a novel Dynamically Adjusted Quantum Genetic Algorithm (DAQGA). Three targeted enhancements differentiate DAQGA from conventional quantum genetic algorithms: (i) a microhabitat population initialization strategy governed by a discretized normal distribution; (ii) a fitness-adaptive rotation angle for the quantum gate that balances early-stage exploration with late-stage exploitation; and (iii) a catastrophe mechanism that preserves elite solutions while reinitializing the remainder of the population upon stagnation detection. Under the optimal weight configuration of 0.7 (coverage) and 0.3 (cost), DAQGA achieves 85.42% user coverage at a cost of 146.75S, outperforming all four benchmark algorithms — standard QGA, Particle Swarm Optimization, the Sparrow Search Algorithm, and a Self-Adaptive Mutation Genetic Algorithm — in both solution quality and convergence stability. Signal quality analysis confirms a mean received power of −69.74 dBm, with 75.03% of user positions exceeding the −95 dBm connectivity threshold.</w:t>
      </w:r>
    </w:p>
    <w:p>
      <w:pPr>
        <w:spacing w:after="60" w:before="60"/>
      </w:pPr>
      <w:r>
        <w:t xml:space="preserve"/>
      </w:r>
    </w:p>
    <w:p>
      <w:pPr>
        <w:spacing w:after="60" w:before="6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Base station deployment; 5G networks; Ray tracing; Shooting and bouncing rays; Quantum genetic algorithm; 3D urban modeling; Combinatorial optimization; Coverage-cost trade-off</w:t>
      </w:r>
    </w:p>
    <w:p>
      <w:pPr>
        <w:pStyle w:val="Heading1"/>
        <w:spacing w:after="120" w:before="240"/>
      </w:pPr>
      <w:r>
        <w:rPr>
          <w:rFonts w:ascii="Times New Roman" w:cs="Times New Roman" w:eastAsia="Times New Roman" w:hAnsi="Times New Roman"/>
          <w:b/>
          <w:bCs/>
          <w:caps/>
          <w:sz w:val="28"/>
          <w:szCs w:val="28"/>
        </w:rPr>
        <w:t xml:space="preserve">1. Introduction</w:t>
      </w:r>
    </w:p>
    <w:p>
      <w:pPr>
        <w:spacing w:after="60" w:before="60" w:line="276"/>
        <w:jc w:val="both"/>
      </w:pPr>
      <w:r>
        <w:rPr>
          <w:rFonts w:ascii="Times New Roman" w:cs="Times New Roman" w:eastAsia="Times New Roman" w:hAnsi="Times New Roman"/>
          <w:sz w:val="24"/>
          <w:szCs w:val="24"/>
        </w:rPr>
        <w:t xml:space="preserve">Fifth-generation cellular networks have moved from standardization into large-scale commercial deployment across major metropolitan areas globally. Unlike previous network generations, 5G architectures at sub-6 GHz frequencies — particularly the 3.5 GHz n78 band — depend on a substantially higher density of base stations to satisfy throughput and latency requirements. This densification introduces a practical tension that planners must resolve: maximizing geographic coverage while constraining the capital expenditure associated with site acquisition, tower construction, and equipment installation [1,3].</w:t>
      </w:r>
    </w:p>
    <w:p>
      <w:pPr>
        <w:spacing w:after="60" w:before="60" w:line="276"/>
        <w:jc w:val="both"/>
      </w:pPr>
      <w:r>
        <w:rPr>
          <w:rFonts w:ascii="Times New Roman" w:cs="Times New Roman" w:eastAsia="Times New Roman" w:hAnsi="Times New Roman"/>
          <w:sz w:val="24"/>
          <w:szCs w:val="24"/>
        </w:rPr>
        <w:t xml:space="preserve">Traditional site planning relies heavily on engineer expertise, informed by historical deployment patterns and empirical propagation rules. While effective for sparse rural networks, this approach scales poorly to urban environments with hundreds or thousands of candidate sites, heterogeneous building heights, and non-uniform population distributions [1]. Commercial planning tools such as Atoll and Mapinfo automate much of the evaluation process but depend on statistical path-loss models — Okumura-Hata, COST-231-Hata — that require local drive-test calibration and cannot readily incorporate financial constraints [9,10]. These tools also operate on essentially two-dimensional representations of terrain, neglecting the vertical dimension of buildings that strongly influences propagation at millimeter-wave and upper sub-6 GHz bands.</w:t>
      </w:r>
    </w:p>
    <w:p>
      <w:pPr>
        <w:spacing w:after="60" w:before="60" w:line="276"/>
        <w:jc w:val="both"/>
      </w:pPr>
      <w:r>
        <w:rPr>
          <w:rFonts w:ascii="Times New Roman" w:cs="Times New Roman" w:eastAsia="Times New Roman" w:hAnsi="Times New Roman"/>
          <w:sz w:val="24"/>
          <w:szCs w:val="24"/>
        </w:rPr>
        <w:t xml:space="preserve">Intelligent optimization algorithms have been applied extensively to base station placement, circumventing the need for exhaustive enumeration by searching large discrete solution spaces efficiently. Genetic algorithms, swarm-intelligence methods, and more recently deep reinforcement learning approaches have each demonstrated improvements over manual planning in terms of coverage uniformity and cost discipline [12,13]. However, most of this literature evaluates deployment in 2D map representations, omitting the signal-shielding effects of three-dimensional building geometry. Equally, user distributions in these studies are often assumed uniform — an assumption that conflicts with the clustered, street-constrained patterns of real urban populations [7,19].</w:t>
      </w:r>
    </w:p>
    <w:p>
      <w:pPr>
        <w:spacing w:after="60" w:before="60" w:line="276"/>
        <w:jc w:val="both"/>
      </w:pPr>
      <w:r>
        <w:rPr>
          <w:rFonts w:ascii="Times New Roman" w:cs="Times New Roman" w:eastAsia="Times New Roman" w:hAnsi="Times New Roman"/>
          <w:sz w:val="24"/>
          <w:szCs w:val="24"/>
        </w:rPr>
        <w:t xml:space="preserve">Quantum genetic algorithms (QGA) represent a convergence of quantum computing principles with classical evolutionary optimization. By representing candidate solutions as quantum bits (qubits) existing in superposition, QGAs naturally maintain population diversity and avoid the premature convergence that afflicts binary genetic algorithms with small populations. These properties are particularly attractive for combinatorial placement problems with large numbers of candidate sites and multimodal fitness landscapes. Prior work has applied QGAs to sensor network coverage [7] and broader wireless planning contexts [2], demonstrating competitive convergence behaviour; however, their application to 3D urban 5G base station placement, with simultaneous optimization of coverage and construction cost, has not previously been reported.</w:t>
      </w:r>
    </w:p>
    <w:p>
      <w:pPr>
        <w:spacing w:after="60" w:before="60" w:line="276"/>
        <w:jc w:val="both"/>
      </w:pPr>
      <w:r>
        <w:rPr>
          <w:rFonts w:ascii="Times New Roman" w:cs="Times New Roman" w:eastAsia="Times New Roman" w:hAnsi="Times New Roman"/>
          <w:sz w:val="24"/>
          <w:szCs w:val="24"/>
        </w:rPr>
        <w:t xml:space="preserve">This paper makes the following contributions:</w:t>
      </w:r>
    </w:p>
    <w:p>
      <w:pPr>
        <w:pStyle w:val="ListParagraph"/>
        <w:numPr>
          <w:ilvl w:val="0"/>
          <w:numId w:val="2"/>
        </w:numPr>
        <w:spacing w:after="40" w:before="40"/>
      </w:pPr>
      <w:r>
        <w:rPr>
          <w:rFonts w:ascii="Times New Roman" w:cs="Times New Roman" w:eastAsia="Times New Roman" w:hAnsi="Times New Roman"/>
          <w:sz w:val="24"/>
          <w:szCs w:val="24"/>
        </w:rPr>
        <w:t xml:space="preserve">A high-fidelity 3D propagation environment is constructed from OpenStreetMap geometry, material-resolved Fresnel reflection coefficients, and ITU atmospheric and rain attenuation models at 3.5 GHz. Street-level user positions are derived from NASA SEDAC population density data to produce a demographically realistic distribution across commercial, educational, and recreational zones.</w:t>
      </w:r>
    </w:p>
    <w:p>
      <w:pPr>
        <w:pStyle w:val="ListParagraph"/>
        <w:numPr>
          <w:ilvl w:val="0"/>
          <w:numId w:val="2"/>
        </w:numPr>
        <w:spacing w:after="40" w:before="40"/>
      </w:pPr>
      <w:r>
        <w:rPr>
          <w:rFonts w:ascii="Times New Roman" w:cs="Times New Roman" w:eastAsia="Times New Roman" w:hAnsi="Times New Roman"/>
          <w:sz w:val="24"/>
          <w:szCs w:val="24"/>
        </w:rPr>
        <w:t xml:space="preserve">A multi-stage candidate site filtering procedure — incorporating road clearance, building-height restrictions, school-zone constraints, and park exclusions — reduces 10,000 initial candidates to 551 viable locations, substantially accelerating subsequent optimization.</w:t>
      </w:r>
    </w:p>
    <w:p>
      <w:pPr>
        <w:pStyle w:val="ListParagraph"/>
        <w:numPr>
          <w:ilvl w:val="0"/>
          <w:numId w:val="2"/>
        </w:numPr>
        <w:spacing w:after="40" w:before="40"/>
      </w:pPr>
      <w:r>
        <w:rPr>
          <w:rFonts w:ascii="Times New Roman" w:cs="Times New Roman" w:eastAsia="Times New Roman" w:hAnsi="Times New Roman"/>
          <w:sz w:val="24"/>
          <w:szCs w:val="24"/>
        </w:rPr>
        <w:t xml:space="preserve">A DAQGA is proposed that extends standard QGA through microhabitat initialization, fitness-proportional rotation angle adaptation, and a catastrophe-restart mechanism. The algorithm simultaneously optimizes coverage rate and normalized deployment cost through a weighted single-objective formulation.</w:t>
      </w:r>
    </w:p>
    <w:p>
      <w:pPr>
        <w:pStyle w:val="ListParagraph"/>
        <w:numPr>
          <w:ilvl w:val="0"/>
          <w:numId w:val="2"/>
        </w:numPr>
        <w:spacing w:after="40" w:before="40"/>
      </w:pPr>
      <w:r>
        <w:rPr>
          <w:rFonts w:ascii="Times New Roman" w:cs="Times New Roman" w:eastAsia="Times New Roman" w:hAnsi="Times New Roman"/>
          <w:sz w:val="24"/>
          <w:szCs w:val="24"/>
        </w:rPr>
        <w:t xml:space="preserve">Comprehensive benchmarking against four alternative algorithms, supported by Wilcoxon rank-sum statistical testing, demonstrates DAQGA's superiority in coverage, cost efficiency, convergence speed, and solution stability.</w:t>
      </w:r>
    </w:p>
    <w:p>
      <w:pPr>
        <w:spacing w:after="60" w:before="60"/>
      </w:pPr>
      <w:r>
        <w:t xml:space="preserve"/>
      </w:r>
    </w:p>
    <w:p>
      <w:pPr>
        <w:spacing w:after="60" w:before="60" w:line="276"/>
        <w:jc w:val="both"/>
      </w:pPr>
      <w:r>
        <w:rPr>
          <w:rFonts w:ascii="Times New Roman" w:cs="Times New Roman" w:eastAsia="Times New Roman" w:hAnsi="Times New Roman"/>
          <w:sz w:val="24"/>
          <w:szCs w:val="24"/>
        </w:rPr>
        <w:t xml:space="preserve">The remainder of the paper is organized as follows. Section 2 surveys related work, positioning the present contribution within the broader literature. Section 3 describes the propagation model and environment construction, including ray-tracing methodology, material parameters, and user distribution. Section 4 formulates the optimization problem — objective functions, constraints, and the DAQGA implementation — in detail. Section 5 presents simulation results and comparative analysis. Section 6 discusses the implications of the results and their relationship to prior findings. Section 7 concludes the paper and outlines directions for future research.</w:t>
      </w:r>
    </w:p>
    <w:p>
      <w:pPr>
        <w:pStyle w:val="Heading1"/>
        <w:spacing w:after="120" w:before="240"/>
      </w:pPr>
      <w:r>
        <w:rPr>
          <w:rFonts w:ascii="Times New Roman" w:cs="Times New Roman" w:eastAsia="Times New Roman" w:hAnsi="Times New Roman"/>
          <w:b/>
          <w:bCs/>
          <w:caps/>
          <w:sz w:val="28"/>
          <w:szCs w:val="28"/>
        </w:rPr>
        <w:t xml:space="preserve">2. Related Work</w:t>
      </w:r>
    </w:p>
    <w:p>
      <w:pPr>
        <w:spacing w:after="60" w:before="60" w:line="276"/>
        <w:jc w:val="both"/>
      </w:pPr>
      <w:r>
        <w:rPr>
          <w:rFonts w:ascii="Times New Roman" w:cs="Times New Roman" w:eastAsia="Times New Roman" w:hAnsi="Times New Roman"/>
          <w:sz w:val="24"/>
          <w:szCs w:val="24"/>
        </w:rPr>
        <w:t xml:space="preserve">The literature on intelligent base station deployment can be organized into three broad threads: 2D coverage optimization via metaheuristics, 3D-aware planning for UAV-based stations, and hybrid macro-micro network planning.</w:t>
      </w:r>
    </w:p>
    <w:p>
      <w:pPr>
        <w:pStyle w:val="Heading2"/>
        <w:spacing w:after="80" w:before="180"/>
      </w:pPr>
      <w:r>
        <w:rPr>
          <w:rFonts w:ascii="Times New Roman" w:cs="Times New Roman" w:eastAsia="Times New Roman" w:hAnsi="Times New Roman"/>
          <w:b/>
          <w:bCs/>
          <w:sz w:val="24"/>
          <w:szCs w:val="24"/>
        </w:rPr>
        <w:t xml:space="preserve">2.1 Two-Dimensional Metaheuristic Approaches</w:t>
      </w:r>
    </w:p>
    <w:p>
      <w:pPr>
        <w:spacing w:after="60" w:before="60" w:line="276"/>
        <w:jc w:val="both"/>
      </w:pPr>
      <w:r>
        <w:rPr>
          <w:rFonts w:ascii="Times New Roman" w:cs="Times New Roman" w:eastAsia="Times New Roman" w:hAnsi="Times New Roman"/>
          <w:sz w:val="24"/>
          <w:szCs w:val="24"/>
        </w:rPr>
        <w:t xml:space="preserve">Chang et al. [16] discretized a mining environment into pixels and maximized covered area using an improved sparrow search algorithm (SSA) [38], demonstrating that spatial discretization combined with population-based optimization can produce deployment configurations that outperform grid-based heuristics. Wang et al. [17] extended this line of work to ultra-dense heterogeneous networks, introducing a dolphin swarm algorithm that traded energy consumption against user quality-of-service under explicit electromagnetic radiation constraints — an early example of green networking objectives influencing site planning. Seda et al. [18] formulated a mathematical coverage model for 5G deployments beyond LTE, noting the importance of site geometry but remaining within a 2D evaluation framework.</w:t>
      </w:r>
    </w:p>
    <w:p>
      <w:pPr>
        <w:spacing w:after="60" w:before="60" w:line="276"/>
        <w:jc w:val="both"/>
      </w:pPr>
      <w:r>
        <w:rPr>
          <w:rFonts w:ascii="Times New Roman" w:cs="Times New Roman" w:eastAsia="Times New Roman" w:hAnsi="Times New Roman"/>
          <w:sz w:val="24"/>
          <w:szCs w:val="24"/>
        </w:rPr>
        <w:t xml:space="preserve">Wang et al. [19] coupled Geographic Information System (GIS) vector data with heuristic search to simulate propagation and optimize dense urban deployments, producing one of the closer precursors to the present work. Their use of building footprints for shadowing estimation is methodologically sound, though path-loss computation remained empirical rather than physics-based. Gou et al. [20] optimized micro base station count, location, and transmit power jointly, emphasizing adaptation to spatially non-uniform user distributions. Dong et al. [21] focused on millimeter-wave base station deployment in a Manhattan-grid model, minimizing station density under coverage constraints — a cost-centric formulation comparable to part of the objective used here.</w:t>
      </w:r>
    </w:p>
    <w:p>
      <w:pPr>
        <w:spacing w:after="60" w:before="60" w:line="276"/>
        <w:jc w:val="both"/>
      </w:pPr>
      <w:r>
        <w:rPr>
          <w:rFonts w:ascii="Times New Roman" w:cs="Times New Roman" w:eastAsia="Times New Roman" w:hAnsi="Times New Roman"/>
          <w:sz w:val="24"/>
          <w:szCs w:val="24"/>
        </w:rPr>
        <w:t xml:space="preserve">A common limitation across these studies is the reliance on 2D maps. At frequencies above 3 GHz, building height variations of tens of metres produce path-loss differentials of 10–20 dB [33], making 2D coverage models structurally inaccurate. Additionally, uniform user distribution assumptions, frequently made for analytical tractability, do not reflect the street-concentrated population patterns found in real cities.</w:t>
      </w:r>
    </w:p>
    <w:p>
      <w:pPr>
        <w:pStyle w:val="Heading2"/>
        <w:spacing w:after="80" w:before="180"/>
      </w:pPr>
      <w:r>
        <w:rPr>
          <w:rFonts w:ascii="Times New Roman" w:cs="Times New Roman" w:eastAsia="Times New Roman" w:hAnsi="Times New Roman"/>
          <w:b/>
          <w:bCs/>
          <w:sz w:val="24"/>
          <w:szCs w:val="24"/>
        </w:rPr>
        <w:t xml:space="preserve">2.2 UAV and Three-Dimensional Deployment</w:t>
      </w:r>
    </w:p>
    <w:p>
      <w:pPr>
        <w:spacing w:after="60" w:before="60" w:line="276"/>
        <w:jc w:val="both"/>
      </w:pPr>
      <w:r>
        <w:rPr>
          <w:rFonts w:ascii="Times New Roman" w:cs="Times New Roman" w:eastAsia="Times New Roman" w:hAnsi="Times New Roman"/>
          <w:sz w:val="24"/>
          <w:szCs w:val="24"/>
        </w:rPr>
        <w:t xml:space="preserve">Research on unmanned aerial vehicle base stations (UAV-BSs) has necessarily engaged with 3D positioning because altitude is a primary degree of freedom. Sobouti et al. [26] proposed a fuzzy candidate-point selection method for 3D UAV-BS localization that minimizes user-to-UAV distances while managing trajectory in emergency scenarios. Parvaresh and Kantarci [27] applied Actor-Critic Deep Q-Learning to 3D UAV deployment with throughput maximization objectives; Lee et al. [28] extended multi-agent Q-learning to joint deployment and power control for energy efficiency; and Rahimi et al. [29,30] addressed 3D localization and resource allocation for IoT coverage scenarios. Tarekegn et al. [31] proposed hierarchical deep reinforcement learning combining link quality prediction with 3D drone mobility control.</w:t>
      </w:r>
    </w:p>
    <w:p>
      <w:pPr>
        <w:spacing w:after="60" w:before="60" w:line="276"/>
        <w:jc w:val="both"/>
      </w:pPr>
      <w:r>
        <w:rPr>
          <w:rFonts w:ascii="Times New Roman" w:cs="Times New Roman" w:eastAsia="Times New Roman" w:hAnsi="Times New Roman"/>
          <w:sz w:val="24"/>
          <w:szCs w:val="24"/>
        </w:rPr>
        <w:t xml:space="preserve">While these UAV studies are technically sophisticated and engage explicitly with 3D geometry, their problem structures differ materially from terrestrial 5G deployment. UAV BSs are mobile, have power constraints linked to flight endurance, and their coverage geometries are dominated by line-of-sight conditions to users below. Fixed terrestrial base stations, by contrast, interact with buildings as reflectors, diffracting obstacles, and attenuating barriers in complex ways that demand a physics-based propagation model rather than simplified geometric or statistical channel models.</w:t>
      </w:r>
    </w:p>
    <w:p>
      <w:pPr>
        <w:pStyle w:val="Heading2"/>
        <w:spacing w:after="80" w:before="180"/>
      </w:pPr>
      <w:r>
        <w:rPr>
          <w:rFonts w:ascii="Times New Roman" w:cs="Times New Roman" w:eastAsia="Times New Roman" w:hAnsi="Times New Roman"/>
          <w:b/>
          <w:bCs/>
          <w:sz w:val="24"/>
          <w:szCs w:val="24"/>
        </w:rPr>
        <w:t xml:space="preserve">2.3 Hybrid and Cost-Aware Planning</w:t>
      </w:r>
    </w:p>
    <w:p>
      <w:pPr>
        <w:spacing w:after="60" w:before="60" w:line="276"/>
        <w:jc w:val="both"/>
      </w:pPr>
      <w:r>
        <w:rPr>
          <w:rFonts w:ascii="Times New Roman" w:cs="Times New Roman" w:eastAsia="Times New Roman" w:hAnsi="Times New Roman"/>
          <w:sz w:val="24"/>
          <w:szCs w:val="24"/>
        </w:rPr>
        <w:t xml:space="preserve">Wang et al. [22] proposed a coverage-based location method for 5G base station deployment that incorporated both coverage and cost objectives and evaluated existing infrastructure reuse — perhaps the closest prior work to the present contribution in terms of problem formulation. Their coverage model, however, assumed circular coverage regions, failing to capture the irregular footprints produced by building shadows. Chen et al. [23] applied k-means clustering to weak-signal data and formulated a nonlinear programming model minimizing new station construction cost, subject to inter-station distance and traffic coverage constraints. A notable weakness of their method was the absence of a viability check on candidate centres — the k-means centroids are not guaranteed to fall on constructable locations. Liang et al. [14] addressed siting and connectivity jointly for green 5G base stations powered by distributed photovoltaics, providing the tower cost data that the present study adopts for its cost model.</w:t>
      </w:r>
    </w:p>
    <w:p>
      <w:pPr>
        <w:spacing w:after="60" w:before="60" w:line="276"/>
        <w:jc w:val="both"/>
      </w:pPr>
      <w:r>
        <w:rPr>
          <w:rFonts w:ascii="Times New Roman" w:cs="Times New Roman" w:eastAsia="Times New Roman" w:hAnsi="Times New Roman"/>
          <w:sz w:val="24"/>
          <w:szCs w:val="24"/>
        </w:rPr>
        <w:t xml:space="preserve">Across all three research threads, no prior study has combined physics-based SBR propagation in a real 3D building model, demographic user distributions, multi-stage site filtering, and a quantum-inspired evolutionary algorithm for simultaneous coverage-cost optimization of terrestrial 5G base stations. The present paper addresses this gap.</w:t>
      </w:r>
    </w:p>
    <w:p>
      <w:pPr>
        <w:pStyle w:val="Heading1"/>
        <w:spacing w:after="120" w:before="240"/>
      </w:pPr>
      <w:r>
        <w:rPr>
          <w:rFonts w:ascii="Times New Roman" w:cs="Times New Roman" w:eastAsia="Times New Roman" w:hAnsi="Times New Roman"/>
          <w:b/>
          <w:bCs/>
          <w:caps/>
          <w:sz w:val="28"/>
          <w:szCs w:val="28"/>
        </w:rPr>
        <w:t xml:space="preserve">3. Signal Propagation Modeling and Environment Construction</w:t>
      </w:r>
    </w:p>
    <w:p>
      <w:pPr>
        <w:spacing w:after="60" w:before="60" w:line="276"/>
        <w:jc w:val="both"/>
      </w:pPr>
      <w:r>
        <w:rPr>
          <w:rFonts w:ascii="Times New Roman" w:cs="Times New Roman" w:eastAsia="Times New Roman" w:hAnsi="Times New Roman"/>
          <w:sz w:val="24"/>
          <w:szCs w:val="24"/>
        </w:rPr>
        <w:t xml:space="preserve">Accurate simulation of 5G coverage in a dense urban environment requires three integrated components: a physics-based propagation model, a geometrically faithful 3D building model, and a demographically realistic spatial user distribution. This section describes each in turn.</w:t>
      </w:r>
    </w:p>
    <w:p>
      <w:pPr>
        <w:pStyle w:val="Heading2"/>
        <w:spacing w:after="80" w:before="180"/>
      </w:pPr>
      <w:r>
        <w:rPr>
          <w:rFonts w:ascii="Times New Roman" w:cs="Times New Roman" w:eastAsia="Times New Roman" w:hAnsi="Times New Roman"/>
          <w:b/>
          <w:bCs/>
          <w:sz w:val="24"/>
          <w:szCs w:val="24"/>
        </w:rPr>
        <w:t xml:space="preserve">3.1 Ray-Tracing Propagation Model</w:t>
      </w:r>
    </w:p>
    <w:p>
      <w:pPr>
        <w:spacing w:after="60" w:before="60" w:line="276"/>
        <w:jc w:val="both"/>
      </w:pPr>
      <w:r>
        <w:rPr>
          <w:rFonts w:ascii="Times New Roman" w:cs="Times New Roman" w:eastAsia="Times New Roman" w:hAnsi="Times New Roman"/>
          <w:sz w:val="24"/>
          <w:szCs w:val="24"/>
        </w:rPr>
        <w:t xml:space="preserve">Two principal families of ray-tracing method are used in urban propagation modeling: the image method and the Shooting and Bouncing Rays (SBR) method [32]. The image method is exact for simple canonical environments but requires computational effort that grows exponentially with the number of reflections — a prohibitive property for complex urban geometry. SBR launches a dense fan of rays from the transmitter and tracks their interactions with building surfaces; its computational cost scales linearly with the reflection count, making it tractable for environments with ten or more reflections [32]. SBR is adopted throughout this study.</w:t>
      </w:r>
    </w:p>
    <w:p>
      <w:pPr>
        <w:pStyle w:val="Heading3"/>
        <w:spacing w:after="60" w:before="140"/>
      </w:pPr>
      <w:r>
        <w:rPr>
          <w:rFonts w:ascii="Times New Roman" w:cs="Times New Roman" w:eastAsia="Times New Roman" w:hAnsi="Times New Roman"/>
          <w:b/>
          <w:bCs/>
          <w:i/>
          <w:iCs/>
          <w:sz w:val="24"/>
          <w:szCs w:val="24"/>
        </w:rPr>
        <w:t xml:space="preserve">3.1.1 Material Parameters and Reflection Loss</w:t>
      </w:r>
    </w:p>
    <w:p>
      <w:pPr>
        <w:spacing w:after="60" w:before="60" w:line="276"/>
        <w:jc w:val="both"/>
      </w:pPr>
      <w:r>
        <w:rPr>
          <w:rFonts w:ascii="Times New Roman" w:cs="Times New Roman" w:eastAsia="Times New Roman" w:hAnsi="Times New Roman"/>
          <w:sz w:val="24"/>
          <w:szCs w:val="24"/>
        </w:rPr>
        <w:t xml:space="preserve">When a ray encounters a building surface, the reflection coefficient depends on the complex relative permittivity of the surface material:</w:t>
      </w:r>
    </w:p>
    <w:p>
      <w:pPr>
        <w:spacing w:after="100" w:before="100"/>
        <w:jc w:val="center"/>
      </w:pPr>
      <w:r>
        <w:rPr>
          <w:rFonts w:ascii="Times New Roman" w:cs="Times New Roman" w:eastAsia="Times New Roman" w:hAnsi="Times New Roman"/>
          <w:i/>
          <w:iCs/>
          <w:sz w:val="24"/>
          <w:szCs w:val="24"/>
        </w:rPr>
        <w:t xml:space="preserve">ε_r = ε'_r - j(σ / (ωε₀))     (1)</w:t>
      </w:r>
    </w:p>
    <w:p>
      <w:pPr>
        <w:spacing w:after="60" w:before="60" w:line="276"/>
        <w:jc w:val="both"/>
      </w:pPr>
      <w:r>
        <w:rPr>
          <w:rFonts w:ascii="Times New Roman" w:cs="Times New Roman" w:eastAsia="Times New Roman" w:hAnsi="Times New Roman"/>
          <w:sz w:val="24"/>
          <w:szCs w:val="24"/>
        </w:rPr>
        <w:t xml:space="preserve">where ε'_r is the relative permittivity, σ is the electrical conductivity (S/m), ω = 2πf is the angular frequency, and ε₀ = 8.854 × 10⁻¹² F/m is the permittivity of free space [34]. Material parameters at 3.5 GHz are listed in Table 1.</w:t>
      </w:r>
    </w:p>
    <w:p>
      <w:pPr>
        <w:spacing w:after="60" w:before="60" w:line="276"/>
        <w:jc w:val="both"/>
      </w:pPr>
      <w:r>
        <w:rPr>
          <w:rFonts w:ascii="Times New Roman" w:cs="Times New Roman" w:eastAsia="Times New Roman" w:hAnsi="Times New Roman"/>
          <w:sz w:val="24"/>
          <w:szCs w:val="24"/>
        </w:rPr>
        <w:t xml:space="preserve">The reflected electric field at each ray-surface interaction is computed by applying Fresnel coefficients to the Jones polarization decomposition of the incident ray. Using normalized polarization vectors J_tx and J_rx at the transmitter and receiver respectively, the received power including all reflections is:</w:t>
      </w:r>
    </w:p>
    <w:p>
      <w:pPr>
        <w:spacing w:after="100" w:before="100"/>
        <w:jc w:val="center"/>
      </w:pPr>
      <w:r>
        <w:rPr>
          <w:rFonts w:ascii="Times New Roman" w:cs="Times New Roman" w:eastAsia="Times New Roman" w:hAnsi="Times New Roman"/>
          <w:i/>
          <w:iCs/>
          <w:sz w:val="24"/>
          <w:szCs w:val="24"/>
        </w:rPr>
        <w:t xml:space="preserve">P_r = P_t · |J_rx^H · [∏_{i=1}^{N} Γ_i] · J_tx|^2 · G_t G_r (λ / 4πd)^2     (2)</w:t>
      </w:r>
    </w:p>
    <w:p>
      <w:pPr>
        <w:spacing w:after="60" w:before="60" w:line="276"/>
        <w:jc w:val="both"/>
      </w:pPr>
      <w:r>
        <w:rPr>
          <w:rFonts w:ascii="Times New Roman" w:cs="Times New Roman" w:eastAsia="Times New Roman" w:hAnsi="Times New Roman"/>
          <w:sz w:val="24"/>
          <w:szCs w:val="24"/>
        </w:rPr>
        <w:t xml:space="preserve">where P_t is the transmitted power, Γ_i is the Fresnel reflection matrix for the i-th interaction, G_t and G_r are transmit and receive antenna gains, λ is the free-space wavelength, d is the path length, and N is the total number of reflections along the ray path [35,39].</w:t>
      </w:r>
    </w:p>
    <w:p>
      <w:pPr>
        <w:spacing w:after="60" w:before="60" w:line="276"/>
        <w:jc w:val="both"/>
      </w:pPr>
      <w:r>
        <w:rPr>
          <w:rFonts w:ascii="Times New Roman" w:cs="Times New Roman" w:eastAsia="Times New Roman" w:hAnsi="Times New Roman"/>
          <w:sz w:val="24"/>
          <w:szCs w:val="24"/>
        </w:rPr>
        <w:t xml:space="preserve">For this study the 3.5 GHz band is chosen for its strategic position as the primary commercial 5G band in China, the European Union, and many Asia-Pacific markets. Its propagation characteristics — moderate coverage range, acceptable building penetration loss, and compatibility with dual-mode NSA/SA 5G architecture — make it well-suited to dense urban deployments and a smooth migration path toward 5G Advanced [6].</w:t>
      </w:r>
    </w:p>
    <w:p>
      <w:pPr>
        <w:spacing w:after="40" w:before="120"/>
        <w:jc w:val="center"/>
      </w:pPr>
      <w:r>
        <w:rPr>
          <w:rFonts w:ascii="Times New Roman" w:cs="Times New Roman" w:eastAsia="Times New Roman" w:hAnsi="Times New Roman"/>
          <w:b/>
          <w:bCs/>
          <w:sz w:val="24"/>
          <w:szCs w:val="24"/>
        </w:rPr>
        <w:t xml:space="preserve">Table 1. Material electromagnetic parameters at 3.5 GHz.</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Material</w:t>
            </w:r>
          </w:p>
        </w:tc>
        <w:tc>
          <w:tcPr>
            <w:tcW w:type="dxa" w:w="24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Relative Permittivity ε'_r</w:t>
            </w:r>
          </w:p>
        </w:tc>
        <w:tc>
          <w:tcPr>
            <w:tcW w:type="dxa" w:w="24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Conductivity σ (S/m)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Concrete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0.0899</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Glass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0.0192</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Brick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3.75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0.038</w:t>
            </w:r>
          </w:p>
        </w:tc>
      </w:tr>
    </w:tbl>
    <w:p>
      <w:pPr>
        <w:spacing w:after="60" w:before="60"/>
      </w:pPr>
      <w:r>
        <w:t xml:space="preserve"/>
      </w:r>
    </w:p>
    <w:p>
      <w:pPr>
        <w:spacing w:after="60" w:before="60" w:line="276"/>
        <w:jc w:val="both"/>
      </w:pPr>
      <w:r>
        <w:rPr>
          <w:rFonts w:ascii="Times New Roman" w:cs="Times New Roman" w:eastAsia="Times New Roman" w:hAnsi="Times New Roman"/>
          <w:sz w:val="24"/>
          <w:szCs w:val="24"/>
        </w:rPr>
        <w:t xml:space="preserve">Ray-tracing parameters were calibrated through preliminary simulations. Retaining 4 reflections and 2 diffractions, as in comparable tunnel-propagation studies [33], required approximately 2 minutes per base station for 5 users — computationally intractable at the scale required here. Disabling diffraction and increasing the maximum reflection count to 10 reduced per-station computation time to 15 minutes for all 3,300 users, with a mean received-power difference of only 0.22 dB across 100 sampled users. The angular separation between adjacent rays was set to a medium resolution, avoiding the computational burden of high-precision mode while preventing coverage gaps characteristic of low-precision settings.</w:t>
      </w:r>
    </w:p>
    <w:p>
      <w:pPr>
        <w:pStyle w:val="Heading3"/>
        <w:spacing w:after="60" w:before="140"/>
      </w:pPr>
      <w:r>
        <w:rPr>
          <w:rFonts w:ascii="Times New Roman" w:cs="Times New Roman" w:eastAsia="Times New Roman" w:hAnsi="Times New Roman"/>
          <w:b/>
          <w:bCs/>
          <w:i/>
          <w:iCs/>
          <w:sz w:val="24"/>
          <w:szCs w:val="24"/>
        </w:rPr>
        <w:t xml:space="preserve">3.1.2 Atmospheric Gas Attenuation</w:t>
      </w:r>
    </w:p>
    <w:p>
      <w:pPr>
        <w:spacing w:after="60" w:before="60" w:line="276"/>
        <w:jc w:val="both"/>
      </w:pPr>
      <w:r>
        <w:rPr>
          <w:rFonts w:ascii="Times New Roman" w:cs="Times New Roman" w:eastAsia="Times New Roman" w:hAnsi="Times New Roman"/>
          <w:sz w:val="24"/>
          <w:szCs w:val="24"/>
        </w:rPr>
        <w:t xml:space="preserve">Atmospheric gas attenuation, principally from molecular oxygen and water vapour, is incorporated following ITU-R Recommendation P.676-12 [36]:</w:t>
      </w:r>
    </w:p>
    <w:p>
      <w:pPr>
        <w:spacing w:after="100" w:before="100"/>
        <w:jc w:val="center"/>
      </w:pPr>
      <w:r>
        <w:rPr>
          <w:rFonts w:ascii="Times New Roman" w:cs="Times New Roman" w:eastAsia="Times New Roman" w:hAnsi="Times New Roman"/>
          <w:i/>
          <w:iCs/>
          <w:sz w:val="24"/>
          <w:szCs w:val="24"/>
        </w:rPr>
        <w:t xml:space="preserve">L_gas = (γ_o + γ_w) · d     (3)</w:t>
      </w:r>
    </w:p>
    <w:p>
      <w:pPr>
        <w:spacing w:after="60" w:before="60" w:line="276"/>
        <w:jc w:val="both"/>
      </w:pPr>
      <w:r>
        <w:rPr>
          <w:rFonts w:ascii="Times New Roman" w:cs="Times New Roman" w:eastAsia="Times New Roman" w:hAnsi="Times New Roman"/>
          <w:sz w:val="24"/>
          <w:szCs w:val="24"/>
        </w:rPr>
        <w:t xml:space="preserve">where γ_o and γ_w (dB/km) are the specific attenuation rates for dry air and water vapour, respectively, and d is the propagation path length in kilometres. These rates are functions of frequency, temperature, and humidity; values are computed at an assumed annual average temperature of 27°C, consistent with the subtropical climate of Hong Kong.</w:t>
      </w:r>
    </w:p>
    <w:p>
      <w:pPr>
        <w:pStyle w:val="Heading3"/>
        <w:spacing w:after="60" w:before="140"/>
      </w:pPr>
      <w:r>
        <w:rPr>
          <w:rFonts w:ascii="Times New Roman" w:cs="Times New Roman" w:eastAsia="Times New Roman" w:hAnsi="Times New Roman"/>
          <w:b/>
          <w:bCs/>
          <w:i/>
          <w:iCs/>
          <w:sz w:val="24"/>
          <w:szCs w:val="24"/>
        </w:rPr>
        <w:t xml:space="preserve">3.1.3 Rain Attenuation</w:t>
      </w:r>
    </w:p>
    <w:p>
      <w:pPr>
        <w:spacing w:after="60" w:before="60" w:line="276"/>
        <w:jc w:val="both"/>
      </w:pPr>
      <w:r>
        <w:rPr>
          <w:rFonts w:ascii="Times New Roman" w:cs="Times New Roman" w:eastAsia="Times New Roman" w:hAnsi="Times New Roman"/>
          <w:sz w:val="24"/>
          <w:szCs w:val="24"/>
        </w:rPr>
        <w:t xml:space="preserve">Rain attenuation at 3.5 GHz is modeled following ITU-R Recommendation P.838-3 [37]:</w:t>
      </w:r>
    </w:p>
    <w:p>
      <w:pPr>
        <w:spacing w:after="100" w:before="100"/>
        <w:jc w:val="center"/>
      </w:pPr>
      <w:r>
        <w:rPr>
          <w:rFonts w:ascii="Times New Roman" w:cs="Times New Roman" w:eastAsia="Times New Roman" w:hAnsi="Times New Roman"/>
          <w:i/>
          <w:iCs/>
          <w:sz w:val="24"/>
          <w:szCs w:val="24"/>
        </w:rPr>
        <w:t xml:space="preserve">L_rain = k · R^α · d     (4)</w:t>
      </w:r>
    </w:p>
    <w:p>
      <w:pPr>
        <w:spacing w:after="60" w:before="60" w:line="276"/>
        <w:jc w:val="both"/>
      </w:pPr>
      <w:r>
        <w:rPr>
          <w:rFonts w:ascii="Times New Roman" w:cs="Times New Roman" w:eastAsia="Times New Roman" w:hAnsi="Times New Roman"/>
          <w:sz w:val="24"/>
          <w:szCs w:val="24"/>
        </w:rPr>
        <w:t xml:space="preserve">where k and α are polarization-dependent coefficients (k_H = 0.000138, α_H = 0.8592 for horizontal polarization at 3.5 GHz), R is the rain rate in mm/h, and d is the path length in km. Based on Hong Kong's mean annual rainfall of approximately 2,400 mm, the effective rain rate is taken as R = 0.3 mm/h, corresponding to light drizzle [37]. While this represents an annual average rather than a worst-case scenario, the deployment optimization framework is designed to identify layouts that maintain long-term regional coverage — a rationale consistent with annual-mean atmospheric modeling.</w:t>
      </w:r>
    </w:p>
    <w:p>
      <w:pPr>
        <w:spacing w:after="60" w:before="60" w:line="276"/>
        <w:jc w:val="both"/>
      </w:pPr>
      <w:r>
        <w:rPr>
          <w:rFonts w:ascii="Times New Roman" w:cs="Times New Roman" w:eastAsia="Times New Roman" w:hAnsi="Times New Roman"/>
          <w:sz w:val="24"/>
          <w:szCs w:val="24"/>
        </w:rPr>
        <w:t xml:space="preserve">The total path loss for any propagation path is:</w:t>
      </w:r>
    </w:p>
    <w:p>
      <w:pPr>
        <w:spacing w:after="100" w:before="100"/>
        <w:jc w:val="center"/>
      </w:pPr>
      <w:r>
        <w:rPr>
          <w:rFonts w:ascii="Times New Roman" w:cs="Times New Roman" w:eastAsia="Times New Roman" w:hAnsi="Times New Roman"/>
          <w:i/>
          <w:iCs/>
          <w:sz w:val="24"/>
          <w:szCs w:val="24"/>
        </w:rPr>
        <w:t xml:space="preserve">PL_{total} = L_{refl} + L_{gas} + L_{rain}     (dB)     (5)</w:t>
      </w:r>
    </w:p>
    <w:p>
      <w:pPr>
        <w:spacing w:after="60" w:before="60" w:line="276"/>
        <w:jc w:val="both"/>
      </w:pPr>
      <w:r>
        <w:rPr>
          <w:rFonts w:ascii="Times New Roman" w:cs="Times New Roman" w:eastAsia="Times New Roman" w:hAnsi="Times New Roman"/>
          <w:sz w:val="24"/>
          <w:szCs w:val="24"/>
        </w:rPr>
        <w:t xml:space="preserve">where L_refl is the accumulated reflection loss along all ray paths between transmitter and receiver, computed from Eq. (2).</w:t>
      </w:r>
    </w:p>
    <w:p>
      <w:pPr>
        <w:pStyle w:val="Heading2"/>
        <w:spacing w:after="80" w:before="180"/>
      </w:pPr>
      <w:r>
        <w:rPr>
          <w:rFonts w:ascii="Times New Roman" w:cs="Times New Roman" w:eastAsia="Times New Roman" w:hAnsi="Times New Roman"/>
          <w:b/>
          <w:bCs/>
          <w:sz w:val="24"/>
          <w:szCs w:val="24"/>
        </w:rPr>
        <w:t xml:space="preserve">3.2 Three-Dimensional Map and User Distribution</w:t>
      </w:r>
    </w:p>
    <w:p>
      <w:pPr>
        <w:pStyle w:val="Heading3"/>
        <w:spacing w:after="60" w:before="140"/>
      </w:pPr>
      <w:r>
        <w:rPr>
          <w:rFonts w:ascii="Times New Roman" w:cs="Times New Roman" w:eastAsia="Times New Roman" w:hAnsi="Times New Roman"/>
          <w:b/>
          <w:bCs/>
          <w:i/>
          <w:iCs/>
          <w:sz w:val="24"/>
          <w:szCs w:val="24"/>
        </w:rPr>
        <w:t xml:space="preserve">3.2.1 Survey Region</w:t>
      </w:r>
    </w:p>
    <w:p>
      <w:pPr>
        <w:spacing w:after="60" w:before="60" w:line="276"/>
        <w:jc w:val="both"/>
      </w:pPr>
      <w:r>
        <w:rPr>
          <w:rFonts w:ascii="Times New Roman" w:cs="Times New Roman" w:eastAsia="Times New Roman" w:hAnsi="Times New Roman"/>
          <w:sz w:val="24"/>
          <w:szCs w:val="24"/>
        </w:rPr>
        <w:t xml:space="preserve">The study area encompasses 450,000 m² in the Kowloon district of Hong Kong (latitude: 22.3171–22.3226°N; longitude: 114.1743–114.1816°E), extracted from OpenStreetMap. The district contains a mixture of high-rise residential towers, low-rise commercial premises, schools, and parks — representative of the density gradients found across large portions of Asian metropolitan areas. The mean building height is 38 m. Building materials were assigned based on architectural classification: concrete (grey), glass curtain-wall (blue), and brick (red), as illustrated in Fig. 1. Terrain surfaces are uniformly assigned concrete properties to account for ground-reflected rays.</w:t>
      </w:r>
    </w:p>
    <w:p>
      <w:pPr>
        <w:spacing w:after="60" w:before="60" w:line="276"/>
        <w:jc w:val="both"/>
      </w:pPr>
      <w:r>
        <w:rPr>
          <w:rFonts w:ascii="Times New Roman" w:cs="Times New Roman" w:eastAsia="Times New Roman" w:hAnsi="Times New Roman"/>
          <w:sz w:val="24"/>
          <w:szCs w:val="24"/>
        </w:rPr>
        <w:t xml:space="preserve">[Fig. 1. Three-dimensional urban building model of the study area. Building colours denote material class: grey — concrete; blue — glass; red — brick.]</w:t>
      </w:r>
    </w:p>
    <w:p>
      <w:pPr>
        <w:pStyle w:val="Heading3"/>
        <w:spacing w:after="60" w:before="140"/>
      </w:pPr>
      <w:r>
        <w:rPr>
          <w:rFonts w:ascii="Times New Roman" w:cs="Times New Roman" w:eastAsia="Times New Roman" w:hAnsi="Times New Roman"/>
          <w:b/>
          <w:bCs/>
          <w:i/>
          <w:iCs/>
          <w:sz w:val="24"/>
          <w:szCs w:val="24"/>
        </w:rPr>
        <w:t xml:space="preserve">3.2.2 User Distribution</w:t>
      </w:r>
    </w:p>
    <w:p>
      <w:pPr>
        <w:spacing w:after="60" w:before="60" w:line="276"/>
        <w:jc w:val="both"/>
      </w:pPr>
      <w:r>
        <w:rPr>
          <w:rFonts w:ascii="Times New Roman" w:cs="Times New Roman" w:eastAsia="Times New Roman" w:hAnsi="Times New Roman"/>
          <w:sz w:val="24"/>
          <w:szCs w:val="24"/>
        </w:rPr>
        <w:t xml:space="preserve">Population density data were obtained from the 2020 Hong Kong dataset published by NASA's Socio-Economic Data and Applications Center (SEDAC) in the WGS-84 coordinate system at 1 km × 1 km resolution. The study region contains approximately 6,000 residents; assuming 55% outdoor presence yields 3,300 users requiring coverage. Of these, 2,000 are distributed uniformly across the region's street network, with concentrated clusters of 700 users in school areas, 300 in parks, and 300 around commercial buildings — reflecting characteristic daytime activity patterns.</w:t>
      </w:r>
    </w:p>
    <w:p>
      <w:pPr>
        <w:spacing w:after="60" w:before="60" w:line="276"/>
        <w:jc w:val="both"/>
      </w:pPr>
      <w:r>
        <w:rPr>
          <w:rFonts w:ascii="Times New Roman" w:cs="Times New Roman" w:eastAsia="Times New Roman" w:hAnsi="Times New Roman"/>
          <w:sz w:val="24"/>
          <w:szCs w:val="24"/>
        </w:rPr>
        <w:t xml:space="preserve">User positions are constrained to street-accessible outdoor locations through the following procedure: (i) building contour vectors are extracted via ArcGIS and discretized at 1 m intervals; (ii) Digital Elevation Model (DEM) and Digital Surface Model (DSM) rasters are intersected with contour points, and any point with DEM-DSM elevation difference exceeding 3 m is classified as part of a forbidden building footprint; (iii) candidate user coordinates are generated uniformly at random and rejected if they lie within 1 m of any forbidden point, as determined by the Haversine formula; (iv) school and park boundaries are obtained as OpenStreetMap polygons, and uniform random samples are drawn within these polygons and cross-checked against forbidden zones. The resulting distribution, illustrated in Fig. 2, confines all users to streets and open areas, accurately capturing the building-obstruction patterns that determine real coverage blind spots.</w:t>
      </w:r>
    </w:p>
    <w:p>
      <w:pPr>
        <w:spacing w:after="60" w:before="60" w:line="276"/>
        <w:jc w:val="both"/>
      </w:pPr>
      <w:r>
        <w:rPr>
          <w:rFonts w:ascii="Times New Roman" w:cs="Times New Roman" w:eastAsia="Times New Roman" w:hAnsi="Times New Roman"/>
          <w:sz w:val="24"/>
          <w:szCs w:val="24"/>
        </w:rPr>
        <w:t xml:space="preserve">[Fig. 2. Spatial distribution of 3,300 simulated outdoor users across the study area.]</w:t>
      </w:r>
    </w:p>
    <w:p>
      <w:pPr>
        <w:pStyle w:val="Heading1"/>
        <w:spacing w:after="120" w:before="240"/>
      </w:pPr>
      <w:r>
        <w:rPr>
          <w:rFonts w:ascii="Times New Roman" w:cs="Times New Roman" w:eastAsia="Times New Roman" w:hAnsi="Times New Roman"/>
          <w:b/>
          <w:bCs/>
          <w:caps/>
          <w:sz w:val="28"/>
          <w:szCs w:val="28"/>
        </w:rPr>
        <w:t xml:space="preserve">4. Base Station Deployment Optimization</w:t>
      </w:r>
    </w:p>
    <w:p>
      <w:pPr>
        <w:spacing w:after="60" w:before="60" w:line="276"/>
        <w:jc w:val="both"/>
      </w:pPr>
      <w:r>
        <w:rPr>
          <w:rFonts w:ascii="Times New Roman" w:cs="Times New Roman" w:eastAsia="Times New Roman" w:hAnsi="Times New Roman"/>
          <w:sz w:val="24"/>
          <w:szCs w:val="24"/>
        </w:rPr>
        <w:t xml:space="preserve">The deployment problem is formulated as a weighted single-objective optimization that minimizes a composite score combining network coverage deficit and normalized construction cost. This section defines the objective functions, the physical and regulatory constraints, and the DAQGA solver.</w:t>
      </w:r>
    </w:p>
    <w:p>
      <w:pPr>
        <w:pStyle w:val="Heading2"/>
        <w:spacing w:after="80" w:before="180"/>
      </w:pPr>
      <w:r>
        <w:rPr>
          <w:rFonts w:ascii="Times New Roman" w:cs="Times New Roman" w:eastAsia="Times New Roman" w:hAnsi="Times New Roman"/>
          <w:b/>
          <w:bCs/>
          <w:sz w:val="24"/>
          <w:szCs w:val="24"/>
        </w:rPr>
        <w:t xml:space="preserve">4.1 Objective Functions</w:t>
      </w:r>
    </w:p>
    <w:p>
      <w:pPr>
        <w:pStyle w:val="Heading3"/>
        <w:spacing w:after="60" w:before="140"/>
      </w:pPr>
      <w:r>
        <w:rPr>
          <w:rFonts w:ascii="Times New Roman" w:cs="Times New Roman" w:eastAsia="Times New Roman" w:hAnsi="Times New Roman"/>
          <w:b/>
          <w:bCs/>
          <w:i/>
          <w:iCs/>
          <w:sz w:val="24"/>
          <w:szCs w:val="24"/>
        </w:rPr>
        <w:t xml:space="preserve">4.1.1 Construction Cost Model</w:t>
      </w:r>
    </w:p>
    <w:p>
      <w:pPr>
        <w:spacing w:after="60" w:before="60" w:line="276"/>
        <w:jc w:val="both"/>
      </w:pPr>
      <w:r>
        <w:rPr>
          <w:rFonts w:ascii="Times New Roman" w:cs="Times New Roman" w:eastAsia="Times New Roman" w:hAnsi="Times New Roman"/>
          <w:sz w:val="24"/>
          <w:szCs w:val="24"/>
        </w:rPr>
        <w:t xml:space="preserve">Three cost components are distinguished: ground-mounted new stations, rooftop-mounted new stations, and upgrades to existing stations.</w:t>
      </w:r>
    </w:p>
    <w:p>
      <w:pPr>
        <w:spacing w:after="60" w:before="60" w:line="276"/>
        <w:jc w:val="both"/>
      </w:pPr>
      <w:r>
        <w:rPr>
          <w:rFonts w:ascii="Times New Roman" w:cs="Times New Roman" w:eastAsia="Times New Roman" w:hAnsi="Times New Roman"/>
          <w:sz w:val="24"/>
          <w:szCs w:val="24"/>
        </w:rPr>
        <w:t xml:space="preserve">For new ground stations, foundation depth and structural loading requirements cause tower cost to scale non-linearly with height h_suf (m), where h_suf ∈ [15, 40] m. A quadratic fit to manufacturer pricing data yields:</w:t>
      </w:r>
    </w:p>
    <w:p>
      <w:pPr>
        <w:spacing w:after="100" w:before="100"/>
        <w:jc w:val="center"/>
      </w:pPr>
      <w:r>
        <w:rPr>
          <w:rFonts w:ascii="Times New Roman" w:cs="Times New Roman" w:eastAsia="Times New Roman" w:hAnsi="Times New Roman"/>
          <w:i/>
          <w:iCs/>
          <w:sz w:val="24"/>
          <w:szCs w:val="24"/>
        </w:rPr>
        <w:t xml:space="preserve">C_{ground}(h_{suf}) = a · h_{suf}^2 + b · h_{suf} + c     (6)</w:t>
      </w:r>
    </w:p>
    <w:p>
      <w:pPr>
        <w:spacing w:after="60" w:before="60" w:line="276"/>
        <w:jc w:val="both"/>
      </w:pPr>
      <w:r>
        <w:rPr>
          <w:rFonts w:ascii="Times New Roman" w:cs="Times New Roman" w:eastAsia="Times New Roman" w:hAnsi="Times New Roman"/>
          <w:sz w:val="24"/>
          <w:szCs w:val="24"/>
        </w:rPr>
        <w:t xml:space="preserve">where a, b, c are empirical coefficients derived from the cost-height data reported in [14]. (Note: the specific coefficient values are proprietary to the manufacturer dataset cited in [14] and must be obtained directly from that source for full reproducibility.)</w:t>
      </w:r>
    </w:p>
    <w:p>
      <w:pPr>
        <w:spacing w:after="60" w:before="60" w:line="276"/>
        <w:jc w:val="both"/>
      </w:pPr>
      <w:r>
        <w:rPr>
          <w:rFonts w:ascii="Times New Roman" w:cs="Times New Roman" w:eastAsia="Times New Roman" w:hAnsi="Times New Roman"/>
          <w:sz w:val="24"/>
          <w:szCs w:val="24"/>
        </w:rPr>
        <w:t xml:space="preserve">Rooftop towers do not require deep foundations; cost scales approximately linearly with tower height h_top (m), where h_top ∈ [3, 21] m:</w:t>
      </w:r>
    </w:p>
    <w:p>
      <w:pPr>
        <w:spacing w:after="100" w:before="100"/>
        <w:jc w:val="center"/>
      </w:pPr>
      <w:r>
        <w:rPr>
          <w:rFonts w:ascii="Times New Roman" w:cs="Times New Roman" w:eastAsia="Times New Roman" w:hAnsi="Times New Roman"/>
          <w:i/>
          <w:iCs/>
          <w:sz w:val="24"/>
          <w:szCs w:val="24"/>
        </w:rPr>
        <w:t xml:space="preserve">C_{rooftop}(h_{top}) = p · h_{top}     (7)</w:t>
      </w:r>
    </w:p>
    <w:p>
      <w:pPr>
        <w:spacing w:after="60" w:before="60" w:line="276"/>
        <w:jc w:val="both"/>
      </w:pPr>
      <w:r>
        <w:rPr>
          <w:rFonts w:ascii="Times New Roman" w:cs="Times New Roman" w:eastAsia="Times New Roman" w:hAnsi="Times New Roman"/>
          <w:sz w:val="24"/>
          <w:szCs w:val="24"/>
        </w:rPr>
        <w:t xml:space="preserve">where p is the unit cost per metre of rooftop tower structure.</w:t>
      </w:r>
    </w:p>
    <w:p>
      <w:pPr>
        <w:spacing w:after="60" w:before="60" w:line="276"/>
        <w:jc w:val="both"/>
      </w:pPr>
      <w:r>
        <w:rPr>
          <w:rFonts w:ascii="Times New Roman" w:cs="Times New Roman" w:eastAsia="Times New Roman" w:hAnsi="Times New Roman"/>
          <w:sz w:val="24"/>
          <w:szCs w:val="24"/>
        </w:rPr>
        <w:t xml:space="preserve">The total cost of new ground and rooftop stations, including equipment and facility costs, is:</w:t>
      </w:r>
    </w:p>
    <w:p>
      <w:pPr>
        <w:spacing w:after="100" w:before="100"/>
        <w:jc w:val="center"/>
      </w:pPr>
      <w:r>
        <w:rPr>
          <w:rFonts w:ascii="Times New Roman" w:cs="Times New Roman" w:eastAsia="Times New Roman" w:hAnsi="Times New Roman"/>
          <w:i/>
          <w:iCs/>
          <w:sz w:val="24"/>
          <w:szCs w:val="24"/>
        </w:rPr>
        <w:t xml:space="preserve">C_{new} = ∑_{i=1}^{N_{sn}} [C_{ground}(h_{suf,i}) + P_{sn} + H_{sn}] + ∑_{j=1}^{N_{to}} [C_{rooftop}(h_{top,j}) + P_{sn}] + (N_{sn} + N_{to}) · M     (8)</w:t>
      </w:r>
    </w:p>
    <w:p>
      <w:pPr>
        <w:spacing w:after="60" w:before="60" w:line="276"/>
        <w:jc w:val="both"/>
      </w:pPr>
      <w:r>
        <w:rPr>
          <w:rFonts w:ascii="Times New Roman" w:cs="Times New Roman" w:eastAsia="Times New Roman" w:hAnsi="Times New Roman"/>
          <w:sz w:val="24"/>
          <w:szCs w:val="24"/>
        </w:rPr>
        <w:t xml:space="preserve">where N_sn and N_to are the numbers of new ground and rooftop stations, respectively; P_sn is the power facility cost per station; H_sn is the equipment room cost applicable to ground stations; and M is the unit cost of communication equipment.</w:t>
      </w:r>
    </w:p>
    <w:p>
      <w:pPr>
        <w:spacing w:after="60" w:before="60" w:line="276"/>
        <w:jc w:val="both"/>
      </w:pPr>
      <w:r>
        <w:rPr>
          <w:rFonts w:ascii="Times New Roman" w:cs="Times New Roman" w:eastAsia="Times New Roman" w:hAnsi="Times New Roman"/>
          <w:sz w:val="24"/>
          <w:szCs w:val="24"/>
        </w:rPr>
        <w:t xml:space="preserve">For existing stations that are reused without structural changes, cost reduces to equipment expansion:</w:t>
      </w:r>
    </w:p>
    <w:p>
      <w:pPr>
        <w:spacing w:after="100" w:before="100"/>
        <w:jc w:val="center"/>
      </w:pPr>
      <w:r>
        <w:rPr>
          <w:rFonts w:ascii="Times New Roman" w:cs="Times New Roman" w:eastAsia="Times New Roman" w:hAnsi="Times New Roman"/>
          <w:i/>
          <w:iCs/>
          <w:sz w:val="24"/>
          <w:szCs w:val="24"/>
        </w:rPr>
        <w:t xml:space="preserve">C_{exist} = N_o · (P_o + M)     (9)</w:t>
      </w:r>
    </w:p>
    <w:p>
      <w:pPr>
        <w:spacing w:after="60" w:before="60" w:line="276"/>
        <w:jc w:val="both"/>
      </w:pPr>
      <w:r>
        <w:rPr>
          <w:rFonts w:ascii="Times New Roman" w:cs="Times New Roman" w:eastAsia="Times New Roman" w:hAnsi="Times New Roman"/>
          <w:sz w:val="24"/>
          <w:szCs w:val="24"/>
        </w:rPr>
        <w:t xml:space="preserve">where N_o is the number of reused existing stations, and P_o is the per-station power expansion cost.</w:t>
      </w:r>
    </w:p>
    <w:p>
      <w:pPr>
        <w:spacing w:after="60" w:before="60" w:line="276"/>
        <w:jc w:val="both"/>
      </w:pPr>
      <w:r>
        <w:rPr>
          <w:rFonts w:ascii="Times New Roman" w:cs="Times New Roman" w:eastAsia="Times New Roman" w:hAnsi="Times New Roman"/>
          <w:sz w:val="24"/>
          <w:szCs w:val="24"/>
        </w:rPr>
        <w:t xml:space="preserve">The aggregate deployment cost is:</w:t>
      </w:r>
    </w:p>
    <w:p>
      <w:pPr>
        <w:spacing w:after="100" w:before="100"/>
        <w:jc w:val="center"/>
      </w:pPr>
      <w:r>
        <w:rPr>
          <w:rFonts w:ascii="Times New Roman" w:cs="Times New Roman" w:eastAsia="Times New Roman" w:hAnsi="Times New Roman"/>
          <w:i/>
          <w:iCs/>
          <w:sz w:val="24"/>
          <w:szCs w:val="24"/>
        </w:rPr>
        <w:t xml:space="preserve">C = C_{new} + C_{exist}     (10)</w:t>
      </w:r>
    </w:p>
    <w:p>
      <w:pPr>
        <w:pStyle w:val="Heading3"/>
        <w:spacing w:after="60" w:before="140"/>
      </w:pPr>
      <w:r>
        <w:rPr>
          <w:rFonts w:ascii="Times New Roman" w:cs="Times New Roman" w:eastAsia="Times New Roman" w:hAnsi="Times New Roman"/>
          <w:b/>
          <w:bCs/>
          <w:i/>
          <w:iCs/>
          <w:sz w:val="24"/>
          <w:szCs w:val="24"/>
        </w:rPr>
        <w:t xml:space="preserve">4.1.2 Coverage Model</w:t>
      </w:r>
    </w:p>
    <w:p>
      <w:pPr>
        <w:spacing w:after="60" w:before="60" w:line="276"/>
        <w:jc w:val="both"/>
      </w:pPr>
      <w:r>
        <w:rPr>
          <w:rFonts w:ascii="Times New Roman" w:cs="Times New Roman" w:eastAsia="Times New Roman" w:hAnsi="Times New Roman"/>
          <w:sz w:val="24"/>
          <w:szCs w:val="24"/>
        </w:rPr>
        <w:t xml:space="preserve">Because building obstruction produces highly irregular coverage footprints, simple area-fraction metrics are unreliable. Coverage is instead defined as the fraction of the 3,300 distributed users who receive a signal above the connectivity threshold of −95 dBm from at least one base station:</w:t>
      </w:r>
    </w:p>
    <w:p>
      <w:pPr>
        <w:spacing w:after="100" w:before="100"/>
        <w:jc w:val="center"/>
      </w:pPr>
      <w:r>
        <w:rPr>
          <w:rFonts w:ascii="Times New Roman" w:cs="Times New Roman" w:eastAsia="Times New Roman" w:hAnsi="Times New Roman"/>
          <w:i/>
          <w:iCs/>
          <w:sz w:val="24"/>
          <w:szCs w:val="24"/>
        </w:rPr>
        <w:t xml:space="preserve">F = 1 - N_{out} / N_{peo}     (11)</w:t>
      </w:r>
    </w:p>
    <w:p>
      <w:pPr>
        <w:spacing w:after="60" w:before="60" w:line="276"/>
        <w:jc w:val="both"/>
      </w:pPr>
      <w:r>
        <w:rPr>
          <w:rFonts w:ascii="Times New Roman" w:cs="Times New Roman" w:eastAsia="Times New Roman" w:hAnsi="Times New Roman"/>
          <w:sz w:val="24"/>
          <w:szCs w:val="24"/>
        </w:rPr>
        <w:t xml:space="preserve">where N_peo = 3,300 is the total user count and N_{out} is the number of users whose maximum received power across all paths from all active base stations falls below −95 dBm. A user is considered connected if PL_total from any station is below the threshold when subtracted from the transmitted EIRP.</w:t>
      </w:r>
    </w:p>
    <w:p>
      <w:pPr>
        <w:spacing w:after="60" w:before="60" w:line="276"/>
        <w:jc w:val="both"/>
      </w:pPr>
      <w:r>
        <w:rPr>
          <w:rFonts w:ascii="Times New Roman" w:cs="Times New Roman" w:eastAsia="Times New Roman" w:hAnsi="Times New Roman"/>
          <w:sz w:val="24"/>
          <w:szCs w:val="24"/>
        </w:rPr>
        <w:t xml:space="preserve">Coverage F ∈ [0,1] requires no normalization. The cost function C is normalized to the same range using the extremes observed across all candidate configurations evaluated during optimization:</w:t>
      </w:r>
    </w:p>
    <w:p>
      <w:pPr>
        <w:spacing w:after="100" w:before="100"/>
        <w:jc w:val="center"/>
      </w:pPr>
      <w:r>
        <w:rPr>
          <w:rFonts w:ascii="Times New Roman" w:cs="Times New Roman" w:eastAsia="Times New Roman" w:hAnsi="Times New Roman"/>
          <w:i/>
          <w:iCs/>
          <w:sz w:val="24"/>
          <w:szCs w:val="24"/>
        </w:rPr>
        <w:t xml:space="preserve">\hat{C} = (C - C_{low}) / (C_{high} - C_{low})     (12)</w:t>
      </w:r>
    </w:p>
    <w:p>
      <w:pPr>
        <w:spacing w:after="60" w:before="60" w:line="276"/>
        <w:jc w:val="both"/>
      </w:pPr>
      <w:r>
        <w:rPr>
          <w:rFonts w:ascii="Times New Roman" w:cs="Times New Roman" w:eastAsia="Times New Roman" w:hAnsi="Times New Roman"/>
          <w:sz w:val="24"/>
          <w:szCs w:val="24"/>
        </w:rPr>
        <w:t xml:space="preserve">where C_low and C_high are the minimum and maximum costs encountered during the search.</w:t>
      </w:r>
    </w:p>
    <w:p>
      <w:pPr>
        <w:pStyle w:val="Heading3"/>
        <w:spacing w:after="60" w:before="140"/>
      </w:pPr>
      <w:r>
        <w:rPr>
          <w:rFonts w:ascii="Times New Roman" w:cs="Times New Roman" w:eastAsia="Times New Roman" w:hAnsi="Times New Roman"/>
          <w:b/>
          <w:bCs/>
          <w:i/>
          <w:iCs/>
          <w:sz w:val="24"/>
          <w:szCs w:val="24"/>
        </w:rPr>
        <w:t xml:space="preserve">4.1.3 Composite Objective</w:t>
      </w:r>
    </w:p>
    <w:p>
      <w:pPr>
        <w:spacing w:after="60" w:before="60" w:line="276"/>
        <w:jc w:val="both"/>
      </w:pPr>
      <w:r>
        <w:rPr>
          <w:rFonts w:ascii="Times New Roman" w:cs="Times New Roman" w:eastAsia="Times New Roman" w:hAnsi="Times New Roman"/>
          <w:sz w:val="24"/>
          <w:szCs w:val="24"/>
        </w:rPr>
        <w:t xml:space="preserve">The combined optimization objective is:</w:t>
      </w:r>
    </w:p>
    <w:p>
      <w:pPr>
        <w:spacing w:after="100" w:before="100"/>
        <w:jc w:val="center"/>
      </w:pPr>
      <w:r>
        <w:rPr>
          <w:rFonts w:ascii="Times New Roman" w:cs="Times New Roman" w:eastAsia="Times New Roman" w:hAnsi="Times New Roman"/>
          <w:i/>
          <w:iCs/>
          <w:sz w:val="24"/>
          <w:szCs w:val="24"/>
        </w:rPr>
        <w:t xml:space="preserve">\Phi = \omega_1 \cdot F - \omega_2 \cdot \hat{C},     \omega_1 + \omega_2 = 1,   \omega_1, \omega_2 \geq 0     (13)</w:t>
      </w:r>
    </w:p>
    <w:p>
      <w:pPr>
        <w:spacing w:after="60" w:before="60" w:line="276"/>
        <w:jc w:val="both"/>
      </w:pPr>
      <w:r>
        <w:rPr>
          <w:rFonts w:ascii="Times New Roman" w:cs="Times New Roman" w:eastAsia="Times New Roman" w:hAnsi="Times New Roman"/>
          <w:sz w:val="24"/>
          <w:szCs w:val="24"/>
        </w:rPr>
        <w:t xml:space="preserve">Maximizing Φ simultaneously increases coverage and reduces normalized cost. The sensitivity of the optimal layout to the weight pair (ω_1, ω_2) is explored empirically in Section 5.</w:t>
      </w:r>
    </w:p>
    <w:p>
      <w:pPr>
        <w:pStyle w:val="Heading2"/>
        <w:spacing w:after="80" w:before="180"/>
      </w:pPr>
      <w:r>
        <w:rPr>
          <w:rFonts w:ascii="Times New Roman" w:cs="Times New Roman" w:eastAsia="Times New Roman" w:hAnsi="Times New Roman"/>
          <w:b/>
          <w:bCs/>
          <w:sz w:val="24"/>
          <w:szCs w:val="24"/>
        </w:rPr>
        <w:t xml:space="preserve">4.2 Constraints</w:t>
      </w:r>
    </w:p>
    <w:p>
      <w:pPr>
        <w:pStyle w:val="Heading3"/>
        <w:spacing w:after="60" w:before="140"/>
      </w:pPr>
      <w:r>
        <w:rPr>
          <w:rFonts w:ascii="Times New Roman" w:cs="Times New Roman" w:eastAsia="Times New Roman" w:hAnsi="Times New Roman"/>
          <w:b/>
          <w:bCs/>
          <w:i/>
          <w:iCs/>
          <w:sz w:val="24"/>
          <w:szCs w:val="24"/>
        </w:rPr>
        <w:t xml:space="preserve">4.2.1 Candidate Site Eligibility</w:t>
      </w:r>
    </w:p>
    <w:p>
      <w:pPr>
        <w:spacing w:after="60" w:before="60" w:line="276"/>
        <w:jc w:val="both"/>
      </w:pPr>
      <w:r>
        <w:rPr>
          <w:rFonts w:ascii="Times New Roman" w:cs="Times New Roman" w:eastAsia="Times New Roman" w:hAnsi="Times New Roman"/>
          <w:sz w:val="24"/>
          <w:szCs w:val="24"/>
        </w:rPr>
        <w:t xml:space="preserve">New candidate sites are placed on a 10 m regular grid across the study area, producing an initial set of approximately 10,000 locations. These are filtered through the following sequential exclusion criteria:</w:t>
      </w:r>
    </w:p>
    <w:p>
      <w:pPr>
        <w:pStyle w:val="ListParagraph"/>
        <w:numPr>
          <w:ilvl w:val="0"/>
          <w:numId w:val="2"/>
        </w:numPr>
        <w:spacing w:after="40" w:before="40"/>
      </w:pPr>
      <w:r>
        <w:rPr>
          <w:rFonts w:ascii="Times New Roman" w:cs="Times New Roman" w:eastAsia="Times New Roman" w:hAnsi="Times New Roman"/>
          <w:sz w:val="24"/>
          <w:szCs w:val="24"/>
        </w:rPr>
        <w:t xml:space="preserve">Buildings with rooftops above 35 m are excluded from rooftop placement, identified by DSM-DEM height differences exceeding this threshold.</w:t>
      </w:r>
    </w:p>
    <w:p>
      <w:pPr>
        <w:pStyle w:val="ListParagraph"/>
        <w:numPr>
          <w:ilvl w:val="0"/>
          <w:numId w:val="2"/>
        </w:numPr>
        <w:spacing w:after="40" w:before="40"/>
      </w:pPr>
      <w:r>
        <w:rPr>
          <w:rFonts w:ascii="Times New Roman" w:cs="Times New Roman" w:eastAsia="Times New Roman" w:hAnsi="Times New Roman"/>
          <w:sz w:val="24"/>
          <w:szCs w:val="24"/>
        </w:rPr>
        <w:t xml:space="preserve">Ground sites within 10 m of any building contour are excluded to satisfy structural setback requirements.</w:t>
      </w:r>
    </w:p>
    <w:p>
      <w:pPr>
        <w:pStyle w:val="ListParagraph"/>
        <w:numPr>
          <w:ilvl w:val="0"/>
          <w:numId w:val="2"/>
        </w:numPr>
        <w:spacing w:after="40" w:before="40"/>
      </w:pPr>
      <w:r>
        <w:rPr>
          <w:rFonts w:ascii="Times New Roman" w:cs="Times New Roman" w:eastAsia="Times New Roman" w:hAnsi="Times New Roman"/>
          <w:sz w:val="24"/>
          <w:szCs w:val="24"/>
        </w:rPr>
        <w:t xml:space="preserve">Sites within 10 m of a primary road centreline or 5 m of a secondary road centreline are excluded for traffic safety and right-of-way reasons.</w:t>
      </w:r>
    </w:p>
    <w:p>
      <w:pPr>
        <w:pStyle w:val="ListParagraph"/>
        <w:numPr>
          <w:ilvl w:val="0"/>
          <w:numId w:val="2"/>
        </w:numPr>
        <w:spacing w:after="40" w:before="40"/>
      </w:pPr>
      <w:r>
        <w:rPr>
          <w:rFonts w:ascii="Times New Roman" w:cs="Times New Roman" w:eastAsia="Times New Roman" w:hAnsi="Times New Roman"/>
          <w:sz w:val="24"/>
          <w:szCs w:val="24"/>
        </w:rPr>
        <w:t xml:space="preserve">School zones permit rooftop installations only; ground-level sites within school boundaries are excluded.</w:t>
      </w:r>
    </w:p>
    <w:p>
      <w:pPr>
        <w:pStyle w:val="ListParagraph"/>
        <w:numPr>
          <w:ilvl w:val="0"/>
          <w:numId w:val="2"/>
        </w:numPr>
        <w:spacing w:after="40" w:before="40"/>
      </w:pPr>
      <w:r>
        <w:rPr>
          <w:rFonts w:ascii="Times New Roman" w:cs="Times New Roman" w:eastAsia="Times New Roman" w:hAnsi="Times New Roman"/>
          <w:sz w:val="24"/>
          <w:szCs w:val="24"/>
        </w:rPr>
        <w:t xml:space="preserve">Parks and playgrounds are excluded entirely from new ground installations.</w:t>
      </w:r>
    </w:p>
    <w:p>
      <w:pPr>
        <w:spacing w:after="60" w:before="60" w:line="276"/>
        <w:jc w:val="both"/>
      </w:pPr>
      <w:r>
        <w:rPr>
          <w:rFonts w:ascii="Times New Roman" w:cs="Times New Roman" w:eastAsia="Times New Roman" w:hAnsi="Times New Roman"/>
          <w:sz w:val="24"/>
          <w:szCs w:val="24"/>
        </w:rPr>
        <w:t xml:space="preserve">Applying these criteria reduces the candidate set to 551 viable locations — 547 new sites plus 4 existing base stations sourced from OpenCellID (Table 2). Fig. 4 illustrates the spatial distribution of filtered candidates.</w:t>
      </w:r>
    </w:p>
    <w:p>
      <w:pPr>
        <w:spacing w:after="60" w:before="60" w:line="276"/>
        <w:jc w:val="both"/>
      </w:pPr>
      <w:r>
        <w:rPr>
          <w:rFonts w:ascii="Times New Roman" w:cs="Times New Roman" w:eastAsia="Times New Roman" w:hAnsi="Times New Roman"/>
          <w:sz w:val="24"/>
          <w:szCs w:val="24"/>
        </w:rPr>
        <w:t xml:space="preserve">[Fig. 4. Spatial distribution of 551 candidate base station sites after multi-stage filtering. Crosshatch: viable ground sites; teal rooftops: viable rooftop sites; red X: excluded rooftops; black circles: existing stations.]</w:t>
      </w:r>
    </w:p>
    <w:p>
      <w:pPr>
        <w:spacing w:after="40" w:before="120"/>
        <w:jc w:val="center"/>
      </w:pPr>
      <w:r>
        <w:rPr>
          <w:rFonts w:ascii="Times New Roman" w:cs="Times New Roman" w:eastAsia="Times New Roman" w:hAnsi="Times New Roman"/>
          <w:b/>
          <w:bCs/>
          <w:sz w:val="24"/>
          <w:szCs w:val="24"/>
        </w:rPr>
        <w:t xml:space="preserve">Table 2. Parameters of existing base stations (source: OpenCellID, records created 2022–2023).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560"/>
        <w:gridCol w:w="1560"/>
        <w:gridCol w:w="1760"/>
        <w:gridCol w:w="1780"/>
      </w:tblGrid>
      <w:tr>
        <w:tc>
          <w:tcPr>
            <w:tcW w:type="dxa" w:w="9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Radio</w:t>
            </w:r>
          </w:p>
        </w:tc>
        <w:tc>
          <w:tcPr>
            <w:tcW w:type="dxa" w:w="9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MCC</w:t>
            </w:r>
          </w:p>
        </w:tc>
        <w:tc>
          <w:tcPr>
            <w:tcW w:type="dxa" w:w="9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Area</w:t>
            </w:r>
          </w:p>
        </w:tc>
        <w:tc>
          <w:tcPr>
            <w:tcW w:type="dxa" w:w="15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Longitude</w:t>
            </w:r>
          </w:p>
        </w:tc>
        <w:tc>
          <w:tcPr>
            <w:tcW w:type="dxa" w:w="15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Latitude</w:t>
            </w:r>
          </w:p>
        </w:tc>
        <w:tc>
          <w:tcPr>
            <w:tcW w:type="dxa" w:w="17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Created</w:t>
            </w:r>
          </w:p>
        </w:tc>
        <w:tc>
          <w:tcPr>
            <w:tcW w:type="dxa" w:w="178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Updated</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2110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114.17865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22.31866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2023/07/21</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2023/07/21</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2102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114.181106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22.319731</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2023/07/21</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2023/07/21</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114.180617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22.322065</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2023/07/21</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2023/12/11</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LTE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114.174451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22.320216</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2023/11/23</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2023/11/23</w:t>
            </w:r>
          </w:p>
        </w:tc>
      </w:tr>
    </w:tbl>
    <w:p>
      <w:pPr>
        <w:spacing w:after="60" w:before="60"/>
      </w:pPr>
      <w:r>
        <w:t xml:space="preserve"/>
      </w:r>
    </w:p>
    <w:p>
      <w:pPr>
        <w:pStyle w:val="Heading3"/>
        <w:spacing w:after="60" w:before="140"/>
      </w:pPr>
      <w:r>
        <w:rPr>
          <w:rFonts w:ascii="Times New Roman" w:cs="Times New Roman" w:eastAsia="Times New Roman" w:hAnsi="Times New Roman"/>
          <w:b/>
          <w:bCs/>
          <w:i/>
          <w:iCs/>
          <w:sz w:val="24"/>
          <w:szCs w:val="24"/>
        </w:rPr>
        <w:t xml:space="preserve">4.2.2 Tower Height Constraints — Ground Stations</w:t>
      </w:r>
    </w:p>
    <w:p>
      <w:pPr>
        <w:spacing w:after="60" w:before="60" w:line="276"/>
        <w:jc w:val="both"/>
      </w:pPr>
      <w:r>
        <w:rPr>
          <w:rFonts w:ascii="Times New Roman" w:cs="Times New Roman" w:eastAsia="Times New Roman" w:hAnsi="Times New Roman"/>
          <w:sz w:val="24"/>
          <w:szCs w:val="24"/>
        </w:rPr>
        <w:t xml:space="preserve">For new ground stations, the antenna must clear the surrounding built environment to achieve adequate line-of-sight probability. The tower height h_suf is bounded by:</w:t>
      </w:r>
    </w:p>
    <w:p>
      <w:pPr>
        <w:spacing w:after="100" w:before="100"/>
        <w:jc w:val="center"/>
      </w:pPr>
      <w:r>
        <w:rPr>
          <w:rFonts w:ascii="Times New Roman" w:cs="Times New Roman" w:eastAsia="Times New Roman" w:hAnsi="Times New Roman"/>
          <w:i/>
          <w:iCs/>
          <w:sz w:val="24"/>
          <w:szCs w:val="24"/>
        </w:rPr>
        <w:t xml:space="preserve">h_{mean} \leq h_{suf} \leq 40 \text{ m}     (14)</w:t>
      </w:r>
    </w:p>
    <w:p>
      <w:pPr>
        <w:spacing w:after="60" w:before="60" w:line="276"/>
        <w:jc w:val="both"/>
      </w:pPr>
      <w:r>
        <w:rPr>
          <w:rFonts w:ascii="Times New Roman" w:cs="Times New Roman" w:eastAsia="Times New Roman" w:hAnsi="Times New Roman"/>
          <w:sz w:val="24"/>
          <w:szCs w:val="24"/>
        </w:rPr>
        <w:t xml:space="preserve">where h_mean is the mean building height in the immediate neighbourhood of the candidate site (ranging from 9 to 40 m across the study area). The 40 m upper bound reflects structural and regulatory limits for single-tube landscape towers in Hong Kong.</w:t>
      </w:r>
    </w:p>
    <w:p>
      <w:pPr>
        <w:pStyle w:val="Heading3"/>
        <w:spacing w:after="60" w:before="140"/>
      </w:pPr>
      <w:r>
        <w:rPr>
          <w:rFonts w:ascii="Times New Roman" w:cs="Times New Roman" w:eastAsia="Times New Roman" w:hAnsi="Times New Roman"/>
          <w:b/>
          <w:bCs/>
          <w:i/>
          <w:iCs/>
          <w:sz w:val="24"/>
          <w:szCs w:val="24"/>
        </w:rPr>
        <w:t xml:space="preserve">4.2.3 Tower Height Constraints — Rooftop Stations</w:t>
      </w:r>
    </w:p>
    <w:p>
      <w:pPr>
        <w:spacing w:after="60" w:before="60" w:line="276"/>
        <w:jc w:val="both"/>
      </w:pPr>
      <w:r>
        <w:rPr>
          <w:rFonts w:ascii="Times New Roman" w:cs="Times New Roman" w:eastAsia="Times New Roman" w:hAnsi="Times New Roman"/>
          <w:sz w:val="24"/>
          <w:szCs w:val="24"/>
        </w:rPr>
        <w:t xml:space="preserve">The total antenna elevation for a rooftop station is h_ant = h_build + h_top, where h_build is the host building height and h_top ∈ [3, 21] m is the rooftop tower height. Two constraint regimes apply, depending on whether the surrounding mean building height h_mean exceeds 19 m:</w:t>
      </w:r>
    </w:p>
    <w:p>
      <w:pPr>
        <w:spacing w:after="60" w:before="60" w:line="276"/>
        <w:jc w:val="both"/>
      </w:pPr>
      <w:r>
        <w:rPr>
          <w:rFonts w:ascii="Times New Roman" w:cs="Times New Roman" w:eastAsia="Times New Roman" w:hAnsi="Times New Roman"/>
          <w:sz w:val="24"/>
          <w:szCs w:val="24"/>
        </w:rPr>
        <w:t xml:space="preserve">Case 1 — h_mean &gt; 19 m (Fig. 5): The total antenna height must exceed h_mean to clear neighbouring buildings, but is capped at h_build + 21 m. Since h_build + 21 cannot exceed 40 m, buildings above 19 m have progressively constrained h_top:</w:t>
      </w:r>
    </w:p>
    <w:p>
      <w:pPr>
        <w:spacing w:after="100" w:before="100"/>
        <w:jc w:val="center"/>
      </w:pPr>
      <w:r>
        <w:rPr>
          <w:rFonts w:ascii="Times New Roman" w:cs="Times New Roman" w:eastAsia="Times New Roman" w:hAnsi="Times New Roman"/>
          <w:i/>
          <w:iCs/>
          <w:sz w:val="24"/>
          <w:szCs w:val="24"/>
        </w:rPr>
        <w:t xml:space="preserve">h_{mean} - h_{build} \leq h_{top} \leq \min(21,\, 40 - h_{build})     (15a)</w:t>
      </w:r>
    </w:p>
    <w:p>
      <w:pPr>
        <w:spacing w:after="60" w:before="60" w:line="276"/>
        <w:jc w:val="both"/>
      </w:pPr>
      <w:r>
        <w:rPr>
          <w:rFonts w:ascii="Times New Roman" w:cs="Times New Roman" w:eastAsia="Times New Roman" w:hAnsi="Times New Roman"/>
          <w:sz w:val="24"/>
          <w:szCs w:val="24"/>
        </w:rPr>
        <w:t xml:space="preserve">Case 2 — h_mean ≤ 19 m (Fig. 6): A minimum 3 m tower is sufficient to clear nearby structures for most buildings:</w:t>
      </w:r>
    </w:p>
    <w:p>
      <w:pPr>
        <w:spacing w:after="100" w:before="100"/>
        <w:jc w:val="center"/>
      </w:pPr>
      <w:r>
        <w:rPr>
          <w:rFonts w:ascii="Times New Roman" w:cs="Times New Roman" w:eastAsia="Times New Roman" w:hAnsi="Times New Roman"/>
          <w:i/>
          <w:iCs/>
          <w:sz w:val="24"/>
          <w:szCs w:val="24"/>
        </w:rPr>
        <w:t xml:space="preserve">3 \leq h_{top} \leq \min(21,\, 40 - h_{build})     (15b)</w:t>
      </w:r>
    </w:p>
    <w:p>
      <w:pPr>
        <w:spacing w:after="60" w:before="60" w:line="276"/>
        <w:jc w:val="both"/>
      </w:pPr>
      <w:r>
        <w:rPr>
          <w:rFonts w:ascii="Times New Roman" w:cs="Times New Roman" w:eastAsia="Times New Roman" w:hAnsi="Times New Roman"/>
          <w:sz w:val="24"/>
          <w:szCs w:val="24"/>
        </w:rPr>
        <w:t xml:space="preserve">[Figs. 5 and 6. Tower height constraint diagrams for rooftop stations: h_mean &gt; 19 m (left) and h_mean ≤ 19 m (right).]</w:t>
      </w:r>
    </w:p>
    <w:p>
      <w:pPr>
        <w:pStyle w:val="Heading3"/>
        <w:spacing w:after="60" w:before="140"/>
      </w:pPr>
      <w:r>
        <w:rPr>
          <w:rFonts w:ascii="Times New Roman" w:cs="Times New Roman" w:eastAsia="Times New Roman" w:hAnsi="Times New Roman"/>
          <w:b/>
          <w:bCs/>
          <w:i/>
          <w:iCs/>
          <w:sz w:val="24"/>
          <w:szCs w:val="24"/>
        </w:rPr>
        <w:t xml:space="preserve">4.2.4 Inter-Station Separation Constraint</w:t>
      </w:r>
    </w:p>
    <w:p>
      <w:pPr>
        <w:spacing w:after="60" w:before="60" w:line="276"/>
        <w:jc w:val="both"/>
      </w:pPr>
      <w:r>
        <w:rPr>
          <w:rFonts w:ascii="Times New Roman" w:cs="Times New Roman" w:eastAsia="Times New Roman" w:hAnsi="Times New Roman"/>
          <w:sz w:val="24"/>
          <w:szCs w:val="24"/>
        </w:rPr>
        <w:t xml:space="preserve">To prevent co-channel interference from excessive spatial overlap, a minimum separation distance is enforced between any two active stations i and j:</w:t>
      </w:r>
    </w:p>
    <w:p>
      <w:pPr>
        <w:spacing w:after="100" w:before="100"/>
        <w:jc w:val="center"/>
      </w:pPr>
      <w:r>
        <w:rPr>
          <w:rFonts w:ascii="Times New Roman" w:cs="Times New Roman" w:eastAsia="Times New Roman" w:hAnsi="Times New Roman"/>
          <w:i/>
          <w:iCs/>
          <w:sz w:val="24"/>
          <w:szCs w:val="24"/>
        </w:rPr>
        <w:t xml:space="preserve">d_{ij} \geq d_{limit} = 250 \text{ m}     (16)</w:t>
      </w:r>
    </w:p>
    <w:p>
      <w:pPr>
        <w:spacing w:after="60" w:before="60" w:line="276"/>
        <w:jc w:val="both"/>
      </w:pPr>
      <w:r>
        <w:rPr>
          <w:rFonts w:ascii="Times New Roman" w:cs="Times New Roman" w:eastAsia="Times New Roman" w:hAnsi="Times New Roman"/>
          <w:sz w:val="24"/>
          <w:szCs w:val="24"/>
        </w:rPr>
        <w:t xml:space="preserve">where d_ij is the great-circle distance computed by the Vincenty formula:</w:t>
      </w:r>
    </w:p>
    <w:p>
      <w:pPr>
        <w:spacing w:after="100" w:before="100"/>
        <w:jc w:val="center"/>
      </w:pPr>
      <w:r>
        <w:rPr>
          <w:rFonts w:ascii="Times New Roman" w:cs="Times New Roman" w:eastAsia="Times New Roman" w:hAnsi="Times New Roman"/>
          <w:i/>
          <w:iCs/>
          <w:sz w:val="24"/>
          <w:szCs w:val="24"/>
        </w:rPr>
        <w:t xml:space="preserve">d_{ij} = R_E \cdot \arctan\!\left(\frac{\sqrt{(\cos\phi_j \sin\Delta\lambda)^2 + (\cos\phi_i \sin\phi_j - \sin\phi_i \cos\phi_j \cos\Delta\lambda)^2}}{\sin\phi_i \sin\phi_j + \cos\phi_i \cos\phi_j \cos\Delta\lambda}\right)     (16b)</w:t>
      </w:r>
    </w:p>
    <w:p>
      <w:pPr>
        <w:spacing w:after="60" w:before="60" w:line="276"/>
        <w:jc w:val="both"/>
      </w:pPr>
      <w:r>
        <w:rPr>
          <w:rFonts w:ascii="Times New Roman" w:cs="Times New Roman" w:eastAsia="Times New Roman" w:hAnsi="Times New Roman"/>
          <w:sz w:val="24"/>
          <w:szCs w:val="24"/>
        </w:rPr>
        <w:t xml:space="preserve">with R_E = 6,371 km (mean Earth radius), φ_i, φ_j denoting geodetic latitudes, and Δλ = λ_j − λ_i the longitude difference.</w:t>
      </w:r>
    </w:p>
    <w:p>
      <w:pPr>
        <w:pStyle w:val="Heading2"/>
        <w:spacing w:after="80" w:before="180"/>
      </w:pPr>
      <w:r>
        <w:rPr>
          <w:rFonts w:ascii="Times New Roman" w:cs="Times New Roman" w:eastAsia="Times New Roman" w:hAnsi="Times New Roman"/>
          <w:b/>
          <w:bCs/>
          <w:sz w:val="24"/>
          <w:szCs w:val="24"/>
        </w:rPr>
        <w:t xml:space="preserve">4.3 DAQGA Algorithm</w:t>
      </w:r>
    </w:p>
    <w:p>
      <w:pPr>
        <w:spacing w:after="60" w:before="60" w:line="276"/>
        <w:jc w:val="both"/>
      </w:pPr>
      <w:r>
        <w:rPr>
          <w:rFonts w:ascii="Times New Roman" w:cs="Times New Roman" w:eastAsia="Times New Roman" w:hAnsi="Times New Roman"/>
          <w:sz w:val="24"/>
          <w:szCs w:val="24"/>
        </w:rPr>
        <w:t xml:space="preserve">The Dynamically Adjusted Quantum Genetic Algorithm (DAQGA) optimizes the deployment configuration — the subset of candidate sites to activate and the associated tower heights — by maintaining a population of quantum-encoded candidate solutions and iteratively updating them via quantum rotation gates. Three enhancements over the standard QGA are introduced.</w:t>
      </w:r>
    </w:p>
    <w:p>
      <w:pPr>
        <w:pStyle w:val="Heading3"/>
        <w:spacing w:after="60" w:before="140"/>
      </w:pPr>
      <w:r>
        <w:rPr>
          <w:rFonts w:ascii="Times New Roman" w:cs="Times New Roman" w:eastAsia="Times New Roman" w:hAnsi="Times New Roman"/>
          <w:b/>
          <w:bCs/>
          <w:i/>
          <w:iCs/>
          <w:sz w:val="24"/>
          <w:szCs w:val="24"/>
        </w:rPr>
        <w:t xml:space="preserve">4.3.1 Quantum Encoding</w:t>
      </w:r>
    </w:p>
    <w:p>
      <w:pPr>
        <w:spacing w:after="60" w:before="60" w:line="276"/>
        <w:jc w:val="both"/>
      </w:pPr>
      <w:r>
        <w:rPr>
          <w:rFonts w:ascii="Times New Roman" w:cs="Times New Roman" w:eastAsia="Times New Roman" w:hAnsi="Times New Roman"/>
          <w:sz w:val="24"/>
          <w:szCs w:val="24"/>
        </w:rPr>
        <w:t xml:space="preserve">Each individual (candidate deployment) q encodes e = 2N_BS parameters: the N_BS selected site indices and their corresponding tower heights. The individual is represented as a sequence of qubits, where the k-th qubit is defined by probability amplitudes (α_k, β_k) satisfying:</w:t>
      </w:r>
    </w:p>
    <w:p>
      <w:pPr>
        <w:spacing w:after="100" w:before="100"/>
        <w:jc w:val="center"/>
      </w:pPr>
      <w:r>
        <w:rPr>
          <w:rFonts w:ascii="Times New Roman" w:cs="Times New Roman" w:eastAsia="Times New Roman" w:hAnsi="Times New Roman"/>
          <w:i/>
          <w:iCs/>
          <w:sz w:val="24"/>
          <w:szCs w:val="24"/>
        </w:rPr>
        <w:t xml:space="preserve">|\alpha_k|^2 + |\beta_k|^2 = 1     (17)</w:t>
      </w:r>
    </w:p>
    <w:p>
      <w:pPr>
        <w:spacing w:after="60" w:before="60" w:line="276"/>
        <w:jc w:val="both"/>
      </w:pPr>
      <w:r>
        <w:rPr>
          <w:rFonts w:ascii="Times New Roman" w:cs="Times New Roman" w:eastAsia="Times New Roman" w:hAnsi="Times New Roman"/>
          <w:sz w:val="24"/>
          <w:szCs w:val="24"/>
        </w:rPr>
        <w:t xml:space="preserve">The quantum state of each qubit occupies a superposition of the binary basis states |0⟩ and |1⟩, enabling the algorithm to explore multiple solutions simultaneously. Binary measurement of the qubit yields |0⟩ with probability α_k² and |1⟩ with probability β_k²; these probabilities guide the selection of site indices and tower height values from the discretized candidate sets.</w:t>
      </w:r>
    </w:p>
    <w:p>
      <w:pPr>
        <w:pStyle w:val="Heading3"/>
        <w:spacing w:after="60" w:before="140"/>
      </w:pPr>
      <w:r>
        <w:rPr>
          <w:rFonts w:ascii="Times New Roman" w:cs="Times New Roman" w:eastAsia="Times New Roman" w:hAnsi="Times New Roman"/>
          <w:b/>
          <w:bCs/>
          <w:i/>
          <w:iCs/>
          <w:sz w:val="24"/>
          <w:szCs w:val="24"/>
        </w:rPr>
        <w:t xml:space="preserve">4.3.2 Microhabitat Population Initialization</w:t>
      </w:r>
    </w:p>
    <w:p>
      <w:pPr>
        <w:spacing w:after="60" w:before="60" w:line="276"/>
        <w:jc w:val="both"/>
      </w:pPr>
      <w:r>
        <w:rPr>
          <w:rFonts w:ascii="Times New Roman" w:cs="Times New Roman" w:eastAsia="Times New Roman" w:hAnsi="Times New Roman"/>
          <w:sz w:val="24"/>
          <w:szCs w:val="24"/>
        </w:rPr>
        <w:t xml:space="preserve">Conventional QGA initializes all qubits with α_k = β_k = 1/√2, producing a uniform probability distribution across all candidate configurations. While this maximizes initial entropy, it provides no spatial bias toward structurally promising regions of the solution space, which is problematic for multi-modal fitness landscapes.</w:t>
      </w:r>
    </w:p>
    <w:p>
      <w:pPr>
        <w:spacing w:after="60" w:before="60" w:line="276"/>
        <w:jc w:val="both"/>
      </w:pPr>
      <w:r>
        <w:rPr>
          <w:rFonts w:ascii="Times New Roman" w:cs="Times New Roman" w:eastAsia="Times New Roman" w:hAnsi="Times New Roman"/>
          <w:sz w:val="24"/>
          <w:szCs w:val="24"/>
        </w:rPr>
        <w:t xml:space="preserve">DAQGA partitions the population of size P into n microhabitat subpopulations. The size of the j-th subpopulation, p_j, follows a discretized normal distribution:</w:t>
      </w:r>
    </w:p>
    <w:p>
      <w:pPr>
        <w:spacing w:after="100" w:before="100"/>
        <w:jc w:val="center"/>
      </w:pPr>
      <w:r>
        <w:rPr>
          <w:rFonts w:ascii="Times New Roman" w:cs="Times New Roman" w:eastAsia="Times New Roman" w:hAnsi="Times New Roman"/>
          <w:i/>
          <w:iCs/>
          <w:sz w:val="24"/>
          <w:szCs w:val="24"/>
        </w:rPr>
        <w:t xml:space="preserve">p_j = \left\lfloor P \cdot \frac{1}{\sigma\sqrt{2\pi}} \exp\!\left(-\frac{(j - \mu)^2}{2\sigma^2}\right) \right\rceil,   j = 1, \ldots, n     (18)</w:t>
      </w:r>
    </w:p>
    <w:p>
      <w:pPr>
        <w:spacing w:after="60" w:before="60" w:line="276"/>
        <w:jc w:val="both"/>
      </w:pPr>
      <w:r>
        <w:rPr>
          <w:rFonts w:ascii="Times New Roman" w:cs="Times New Roman" w:eastAsia="Times New Roman" w:hAnsi="Times New Roman"/>
          <w:sz w:val="24"/>
          <w:szCs w:val="24"/>
        </w:rPr>
        <w:t xml:space="preserve">where μ = (n+1)/2 and σ = n/4 are chosen to spread probability mass across all subpopulations while concentrating slightly more individuals near the median subpopulation. Within the j-th subpopulation, all individuals share an initial qubit amplitude set derived from the j-th candidate site cluster, biasing local search toward different geographic sectors of the study area simultaneously. This multi-directional initialization substantially reduces early-convergence risk compared to globally uniform initialization.</w:t>
      </w:r>
    </w:p>
    <w:p>
      <w:pPr>
        <w:pStyle w:val="Heading3"/>
        <w:spacing w:after="60" w:before="140"/>
      </w:pPr>
      <w:r>
        <w:rPr>
          <w:rFonts w:ascii="Times New Roman" w:cs="Times New Roman" w:eastAsia="Times New Roman" w:hAnsi="Times New Roman"/>
          <w:b/>
          <w:bCs/>
          <w:i/>
          <w:iCs/>
          <w:sz w:val="24"/>
          <w:szCs w:val="24"/>
        </w:rPr>
        <w:t xml:space="preserve">4.3.3 Fitness-Adaptive Quantum Rotation Gate</w:t>
      </w:r>
    </w:p>
    <w:p>
      <w:pPr>
        <w:spacing w:after="60" w:before="60" w:line="276"/>
        <w:jc w:val="both"/>
      </w:pPr>
      <w:r>
        <w:rPr>
          <w:rFonts w:ascii="Times New Roman" w:cs="Times New Roman" w:eastAsia="Times New Roman" w:hAnsi="Times New Roman"/>
          <w:sz w:val="24"/>
          <w:szCs w:val="24"/>
        </w:rPr>
        <w:t xml:space="preserve">Individual parameter updates are performed by applying a quantum rotation gate U(θ) to each qubit:</w:t>
      </w:r>
    </w:p>
    <w:p>
      <w:pPr>
        <w:spacing w:after="100" w:before="100"/>
        <w:jc w:val="center"/>
      </w:pPr>
      <w:r>
        <w:rPr>
          <w:rFonts w:ascii="Times New Roman" w:cs="Times New Roman" w:eastAsia="Times New Roman" w:hAnsi="Times New Roman"/>
          <w:i/>
          <w:iCs/>
          <w:sz w:val="24"/>
          <w:szCs w:val="24"/>
        </w:rPr>
        <w:t xml:space="preserve">\begin{pmatrix} \alpha_k' \\ \beta_k' \end{pmatrix} = U(\theta_k) \begin{pmatrix} \alpha_k \\ \beta_k \end{pmatrix} = \begin{pmatrix} \cos\theta_k &amp; -\sin\theta_k \\ \sin\theta_k &amp; \cos\theta_k \end{pmatrix} \begin{pmatrix} \alpha_k \\ \beta_k \end{pmatrix}     (19)</w:t>
      </w:r>
    </w:p>
    <w:p>
      <w:pPr>
        <w:spacing w:after="60" w:before="60" w:line="276"/>
        <w:jc w:val="both"/>
      </w:pPr>
      <w:r>
        <w:rPr>
          <w:rFonts w:ascii="Times New Roman" w:cs="Times New Roman" w:eastAsia="Times New Roman" w:hAnsi="Times New Roman"/>
          <w:sz w:val="24"/>
          <w:szCs w:val="24"/>
        </w:rPr>
        <w:t xml:space="preserve">The rotation angle θ_k controls the rate at which the qubit probability distribution shifts toward the best-known configuration. A fixed angle, as used in standard QGA, cannot simultaneously satisfy the need for large-scale exploration in early generations and fine-grained exploitation in later generations.</w:t>
      </w:r>
    </w:p>
    <w:p>
      <w:pPr>
        <w:spacing w:after="60" w:before="60" w:line="276"/>
        <w:jc w:val="both"/>
      </w:pPr>
      <w:r>
        <w:rPr>
          <w:rFonts w:ascii="Times New Roman" w:cs="Times New Roman" w:eastAsia="Times New Roman" w:hAnsi="Times New Roman"/>
          <w:sz w:val="24"/>
          <w:szCs w:val="24"/>
        </w:rPr>
        <w:t xml:space="preserve">DAQGA adapts θ_k dynamically based on the relative fitness gap between the current population's best individual (Φ_best) and the individual being updated (Φ_ind):</w:t>
      </w:r>
    </w:p>
    <w:p>
      <w:pPr>
        <w:spacing w:after="100" w:before="100"/>
        <w:jc w:val="center"/>
      </w:pPr>
      <w:r>
        <w:rPr>
          <w:rFonts w:ascii="Times New Roman" w:cs="Times New Roman" w:eastAsia="Times New Roman" w:hAnsi="Times New Roman"/>
          <w:i/>
          <w:iCs/>
          <w:sz w:val="24"/>
          <w:szCs w:val="24"/>
        </w:rPr>
        <w:t xml:space="preserve">\theta_k = k_{coef} \cdot |\Phi_{best} - \Phi_{ind}|     (20)</w:t>
      </w:r>
    </w:p>
    <w:p>
      <w:pPr>
        <w:spacing w:after="60" w:before="60" w:line="276"/>
        <w:jc w:val="both"/>
      </w:pPr>
      <w:r>
        <w:rPr>
          <w:rFonts w:ascii="Times New Roman" w:cs="Times New Roman" w:eastAsia="Times New Roman" w:hAnsi="Times New Roman"/>
          <w:sz w:val="24"/>
          <w:szCs w:val="24"/>
        </w:rPr>
        <w:t xml:space="preserve">where k_{coef} = 0.01 is a scaling coefficient. When the fitness gap is large — indicating the current individual is far from the optimum — a correspondingly large rotation angle drives rapid movement toward the best-known region. As fitness converges and the gap narrows, θ_k shrinks automatically, providing fine-resolution local search without manual schedule tuning. The sign of the rotation (direction of convergence) is determined by a lookup table of the standard QGA implementation [2,7].</w:t>
      </w:r>
    </w:p>
    <w:p>
      <w:pPr>
        <w:pStyle w:val="Heading3"/>
        <w:spacing w:after="60" w:before="140"/>
      </w:pPr>
      <w:r>
        <w:rPr>
          <w:rFonts w:ascii="Times New Roman" w:cs="Times New Roman" w:eastAsia="Times New Roman" w:hAnsi="Times New Roman"/>
          <w:b/>
          <w:bCs/>
          <w:i/>
          <w:iCs/>
          <w:sz w:val="24"/>
          <w:szCs w:val="24"/>
        </w:rPr>
        <w:t xml:space="preserve">4.3.4 Catastrophe Mechanism</w:t>
      </w:r>
    </w:p>
    <w:p>
      <w:pPr>
        <w:spacing w:after="60" w:before="60" w:line="276"/>
        <w:jc w:val="both"/>
      </w:pPr>
      <w:r>
        <w:rPr>
          <w:rFonts w:ascii="Times New Roman" w:cs="Times New Roman" w:eastAsia="Times New Roman" w:hAnsi="Times New Roman"/>
          <w:sz w:val="24"/>
          <w:szCs w:val="24"/>
        </w:rPr>
        <w:t xml:space="preserve">Premature convergence, wherein the entire population collapses to a local optimum, is a well-documented failure mode of evolutionary algorithms on multimodal problems. Standard QGAs have no native recovery mechanism for this scenario.</w:t>
      </w:r>
    </w:p>
    <w:p>
      <w:pPr>
        <w:spacing w:after="60" w:before="60" w:line="276"/>
        <w:jc w:val="both"/>
      </w:pPr>
      <w:r>
        <w:rPr>
          <w:rFonts w:ascii="Times New Roman" w:cs="Times New Roman" w:eastAsia="Times New Roman" w:hAnsi="Times New Roman"/>
          <w:sz w:val="24"/>
          <w:szCs w:val="24"/>
        </w:rPr>
        <w:t xml:space="preserve">DAQGA monitors the best-known fitness Φ_best across successive generations. If Φ_best shows no statistically meaningful improvement for T_stag = 20 consecutive generations — indicating population stagnation — a catastrophe event is triggered: the top 25% of current individuals (by fitness) are retained unchanged, together with the all-time best individual discovered during the run. The remaining 75% of the population is discarded and reinitialized using the microhabitat normal-distribution strategy (Section 4.3.2). This mechanism preserves accumulated search progress while reintroducing the diversity needed to escape local basins.</w:t>
      </w:r>
    </w:p>
    <w:p>
      <w:pPr>
        <w:spacing w:after="60" w:before="60" w:line="276"/>
        <w:jc w:val="both"/>
      </w:pPr>
      <w:r>
        <w:rPr>
          <w:rFonts w:ascii="Times New Roman" w:cs="Times New Roman" w:eastAsia="Times New Roman" w:hAnsi="Times New Roman"/>
          <w:sz w:val="24"/>
          <w:szCs w:val="24"/>
        </w:rPr>
        <w:t xml:space="preserve">The full DAQGA workflow is summarized as follows: initialize population via microhabitat strategy; evaluate fitness Φ for each individual; update qubits via adaptive rotation gate; measure binary solutions; apply catastrophe check; repeat until maximum iteration count T_max is reached or early termination criterion is met.</w:t>
      </w:r>
    </w:p>
    <w:p>
      <w:pPr>
        <w:pStyle w:val="Heading1"/>
        <w:spacing w:after="120" w:before="240"/>
      </w:pPr>
      <w:r>
        <w:rPr>
          <w:rFonts w:ascii="Times New Roman" w:cs="Times New Roman" w:eastAsia="Times New Roman" w:hAnsi="Times New Roman"/>
          <w:b/>
          <w:bCs/>
          <w:caps/>
          <w:sz w:val="28"/>
          <w:szCs w:val="28"/>
        </w:rPr>
        <w:t xml:space="preserve">5. Experimental Setup and Results</w:t>
      </w:r>
    </w:p>
    <w:p>
      <w:pPr>
        <w:pStyle w:val="Heading2"/>
        <w:spacing w:after="80" w:before="180"/>
      </w:pPr>
      <w:r>
        <w:rPr>
          <w:rFonts w:ascii="Times New Roman" w:cs="Times New Roman" w:eastAsia="Times New Roman" w:hAnsi="Times New Roman"/>
          <w:b/>
          <w:bCs/>
          <w:sz w:val="24"/>
          <w:szCs w:val="24"/>
        </w:rPr>
        <w:t xml:space="preserve">5.1 Simulation Configuration</w:t>
      </w:r>
    </w:p>
    <w:p>
      <w:pPr>
        <w:spacing w:after="60" w:before="60" w:line="276"/>
        <w:jc w:val="both"/>
      </w:pPr>
      <w:r>
        <w:rPr>
          <w:rFonts w:ascii="Times New Roman" w:cs="Times New Roman" w:eastAsia="Times New Roman" w:hAnsi="Times New Roman"/>
          <w:sz w:val="24"/>
          <w:szCs w:val="24"/>
        </w:rPr>
        <w:t xml:space="preserve">All simulations were conducted in MATLAB R2023b on a workstation running Windows 10 (Intel Core i7-8700, 16 GB RAM). Candidate sites are indexed as follows for presentation: indices 1–316 denote new ground sites, 317–318 existing ground stations, 319–320 existing rooftop stations, and 321–551 new rooftop sites. Key system parameters are listed in Table 3. A market cost fluctuation coefficient S is included in all cost figures to accommodate regional price variation.</w:t>
      </w:r>
    </w:p>
    <w:p>
      <w:pPr>
        <w:spacing w:after="40" w:before="120"/>
        <w:jc w:val="center"/>
      </w:pPr>
      <w:r>
        <w:rPr>
          <w:rFonts w:ascii="Times New Roman" w:cs="Times New Roman" w:eastAsia="Times New Roman" w:hAnsi="Times New Roman"/>
          <w:b/>
          <w:bCs/>
          <w:sz w:val="24"/>
          <w:szCs w:val="24"/>
        </w:rPr>
        <w:t xml:space="preserve">Table 3. Simulation system parameters.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c>
          <w:tcPr>
            <w:tcW w:type="dxa" w:w="42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30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Survey area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450,000 m²</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Maximum iterations (T_max)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400</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Population size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New candidate sites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547</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Existing station sites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Total outdoor users (N_peo)</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3,300</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User device height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 m</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Per-user allocated transmit power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 dBm</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Carrier frequency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 GHz</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Antenna type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Omnidirectional</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Coverage threshold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−95 dBm</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Min. inter-station distance (d_limit)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250 m</w:t>
            </w:r>
          </w:p>
        </w:tc>
      </w:tr>
    </w:tbl>
    <w:p>
      <w:pPr>
        <w:spacing w:after="60" w:before="60"/>
      </w:pPr>
      <w:r>
        <w:t xml:space="preserve"/>
      </w:r>
    </w:p>
    <w:p>
      <w:pPr>
        <w:pStyle w:val="Heading2"/>
        <w:spacing w:after="80" w:before="180"/>
      </w:pPr>
      <w:r>
        <w:rPr>
          <w:rFonts w:ascii="Times New Roman" w:cs="Times New Roman" w:eastAsia="Times New Roman" w:hAnsi="Times New Roman"/>
          <w:b/>
          <w:bCs/>
          <w:sz w:val="24"/>
          <w:szCs w:val="24"/>
        </w:rPr>
        <w:t xml:space="preserve">5.2 Hyperparameter Selection</w:t>
      </w:r>
    </w:p>
    <w:p>
      <w:pPr>
        <w:spacing w:after="60" w:before="60" w:line="276"/>
        <w:jc w:val="both"/>
      </w:pPr>
      <w:r>
        <w:rPr>
          <w:rFonts w:ascii="Times New Roman" w:cs="Times New Roman" w:eastAsia="Times New Roman" w:hAnsi="Times New Roman"/>
          <w:sz w:val="24"/>
          <w:szCs w:val="24"/>
        </w:rPr>
        <w:t xml:space="preserve">An ablation study was conducted to determine the appropriate population size and iteration budget, evaluating all combinations of population sizes P ∈ {30, 40, 50} and T_max ∈ {300, 400, 500} over 20 independent runs per configuration (Table 4). Population size 30 consistently produced the lowest mean objective value (best optimization quality), while sizes 40 and 50 reached near-equivalent quality values but terminated convergence earlier (mean termination around generations 220–230). The choice of P = 40 with T_max = 400 was made to provide a full view of convergence behaviour in comparative experiments while remaining within practical computational limits. The trade-off between solution quality (favouring P = 30) and convergence observability is acknowledged as a limitation.</w:t>
      </w:r>
    </w:p>
    <w:p>
      <w:pPr>
        <w:spacing w:after="40" w:before="120"/>
        <w:jc w:val="center"/>
      </w:pPr>
      <w:r>
        <w:rPr>
          <w:rFonts w:ascii="Times New Roman" w:cs="Times New Roman" w:eastAsia="Times New Roman" w:hAnsi="Times New Roman"/>
          <w:b/>
          <w:bCs/>
          <w:sz w:val="24"/>
          <w:szCs w:val="24"/>
        </w:rPr>
        <w:t xml:space="preserve">Table 4. Hyperparameter ablation results (mean ± std over 20 runs).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Population Size</w:t>
            </w:r>
          </w:p>
        </w:tc>
        <w:tc>
          <w:tcPr>
            <w:tcW w:type="dxa" w:w="21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Iterations (T_max)</w:t>
            </w:r>
          </w:p>
        </w:tc>
        <w:tc>
          <w:tcPr>
            <w:tcW w:type="dxa" w:w="21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Mean Objective Φ</w:t>
            </w:r>
          </w:p>
        </w:tc>
        <w:tc>
          <w:tcPr>
            <w:tcW w:type="dxa" w:w="21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Mean Termination Gen.</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0.6743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274.3</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0.6316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280.65</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0.6595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285.15</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0.7645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219.95</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0.7791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232.9</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0.7411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223.35</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0.7703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193.85</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0.7658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191.2</w:t>
            </w:r>
          </w:p>
        </w:tc>
      </w:tr>
      <w:tr>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0.7493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189.35</w:t>
            </w:r>
          </w:p>
        </w:tc>
      </w:tr>
    </w:tbl>
    <w:p>
      <w:pPr>
        <w:spacing w:after="60" w:before="60"/>
      </w:pPr>
      <w:r>
        <w:t xml:space="preserve"/>
      </w:r>
    </w:p>
    <w:p>
      <w:pPr>
        <w:pStyle w:val="Heading2"/>
        <w:spacing w:after="80" w:before="180"/>
      </w:pPr>
      <w:r>
        <w:rPr>
          <w:rFonts w:ascii="Times New Roman" w:cs="Times New Roman" w:eastAsia="Times New Roman" w:hAnsi="Times New Roman"/>
          <w:b/>
          <w:bCs/>
          <w:sz w:val="24"/>
          <w:szCs w:val="24"/>
        </w:rPr>
        <w:t xml:space="preserve">5.3 Coverage-Cost Weight Analysis</w:t>
      </w:r>
    </w:p>
    <w:p>
      <w:pPr>
        <w:spacing w:after="60" w:before="60" w:line="276"/>
        <w:jc w:val="both"/>
      </w:pPr>
      <w:r>
        <w:rPr>
          <w:rFonts w:ascii="Times New Roman" w:cs="Times New Roman" w:eastAsia="Times New Roman" w:hAnsi="Times New Roman"/>
          <w:sz w:val="24"/>
          <w:szCs w:val="24"/>
        </w:rPr>
        <w:t xml:space="preserve">Table 5 presents deployment results for five coverage/cost weight pairs (ω_1, ω_2). As ω_1 increases, the algorithm allocates additional base stations preferentially at new ground sites, driving coverage higher at the expense of construction cost. The relationship is monotonic: every unit shift toward coverage increases both the coverage rate and the cost, though not proportionally.</w:t>
      </w:r>
    </w:p>
    <w:p>
      <w:pPr>
        <w:spacing w:after="40" w:before="120"/>
        <w:jc w:val="center"/>
      </w:pPr>
      <w:r>
        <w:rPr>
          <w:rFonts w:ascii="Times New Roman" w:cs="Times New Roman" w:eastAsia="Times New Roman" w:hAnsi="Times New Roman"/>
          <w:b/>
          <w:bCs/>
          <w:sz w:val="24"/>
          <w:szCs w:val="24"/>
        </w:rPr>
        <w:t xml:space="preserve">Table 5. Deployment results under varying objective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000"/>
        <w:gridCol w:w="1100"/>
        <w:gridCol w:w="1500"/>
        <w:gridCol w:w="1300"/>
        <w:gridCol w:w="1500"/>
        <w:gridCol w:w="1960"/>
      </w:tblGrid>
      <w:tr>
        <w:tc>
          <w:tcPr>
            <w:tcW w:type="dxa" w:w="4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Opt.</w:t>
            </w:r>
          </w:p>
        </w:tc>
        <w:tc>
          <w:tcPr>
            <w:tcW w:type="dxa" w:w="6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ω₁/ω₂</w:t>
            </w:r>
          </w:p>
        </w:tc>
        <w:tc>
          <w:tcPr>
            <w:tcW w:type="dxa" w:w="10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Coverage</w:t>
            </w:r>
          </w:p>
        </w:tc>
        <w:tc>
          <w:tcPr>
            <w:tcW w:type="dxa" w:w="11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Cost</w:t>
            </w:r>
          </w:p>
        </w:tc>
        <w:tc>
          <w:tcPr>
            <w:tcW w:type="dxa" w:w="15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Sites</w:t>
            </w:r>
          </w:p>
        </w:tc>
        <w:tc>
          <w:tcPr>
            <w:tcW w:type="dxa" w:w="13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Tower h (m)</w:t>
            </w:r>
          </w:p>
        </w:tc>
        <w:tc>
          <w:tcPr>
            <w:tcW w:type="dxa" w:w="15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Ant. h (m)</w:t>
            </w:r>
          </w:p>
        </w:tc>
        <w:tc>
          <w:tcPr>
            <w:tcW w:type="dxa" w:w="19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BSs (new/exist)</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0.9/0.1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87.45%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247.80×S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323 193 548
353 413 499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8 37 8
14 19 16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39 37 23
38 40 40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6/0</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0.8/0.2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86.55%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207.31×S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319 500 261
341 402 546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8 14 28
5 11 14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32 38 28
34 33 23</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85.42%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146.75×S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530 317 320
423 343 405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21 38 8
5 6 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38 33 38
30 35 39</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0.6/0.4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80.93%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143.25×S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319 318 333
402 536 341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 37 9
5 12 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 37 33
27 21 36</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0.5/0.5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75.75%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107.25×S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320 319 423
500 437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8 8 3
3 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33 32 36
27 20</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3/2</w:t>
            </w:r>
          </w:p>
        </w:tc>
      </w:tr>
    </w:tbl>
    <w:p>
      <w:pPr>
        <w:spacing w:after="60" w:before="60" w:line="276"/>
        <w:jc w:val="both"/>
      </w:pPr>
      <w:r>
        <w:rPr>
          <w:rFonts w:ascii="Times New Roman" w:cs="Times New Roman" w:eastAsia="Times New Roman" w:hAnsi="Times New Roman"/>
          <w:sz w:val="24"/>
          <w:szCs w:val="24"/>
        </w:rPr>
        <w:t xml:space="preserve">* Recommended optimal configuration.</w:t>
      </w:r>
    </w:p>
    <w:p>
      <w:pPr>
        <w:spacing w:after="60" w:before="60"/>
      </w:pPr>
      <w:r>
        <w:t xml:space="preserve"/>
      </w:r>
    </w:p>
    <w:p>
      <w:pPr>
        <w:spacing w:after="60" w:before="60" w:line="276"/>
        <w:jc w:val="both"/>
      </w:pPr>
      <w:r>
        <w:rPr>
          <w:rFonts w:ascii="Times New Roman" w:cs="Times New Roman" w:eastAsia="Times New Roman" w:hAnsi="Times New Roman"/>
          <w:sz w:val="24"/>
          <w:szCs w:val="24"/>
        </w:rPr>
        <w:t xml:space="preserve">Option 3 (ω_1 = 0.7, ω_2 = 0.3) achieves the superior coverage-cost balance. Relative to Option 1, it sacrifices only 2.03 percentage points of coverage while reducing cost by 40.78% (247.80S to 146.75S). Relative to Option 2, the coverage loss is 1.13 percentage points against a 29.21% cost reduction. Options 4 and 5, by contrast, incur coverage deficits of 4.49% and 9.67% below Option 3 without proportionally meaningful cost savings (only 2.38% and 26.93% respectively). The fitness-vs.-station-count relationship (Fig. 7) confirms that deploying six stations maximizes Φ; seven and eight station configurations violate the minimum separation constraint and receive fitness penalties that reduce the objective value sharply.</w:t>
      </w:r>
    </w:p>
    <w:p>
      <w:pPr>
        <w:spacing w:after="60" w:before="60" w:line="276"/>
        <w:jc w:val="both"/>
      </w:pPr>
      <w:r>
        <w:rPr>
          <w:rFonts w:ascii="Times New Roman" w:cs="Times New Roman" w:eastAsia="Times New Roman" w:hAnsi="Times New Roman"/>
          <w:sz w:val="24"/>
          <w:szCs w:val="24"/>
        </w:rPr>
        <w:t xml:space="preserve">[Fig. 7. Composite objective value Φ as a function of the number of deployed base stations.]</w:t>
      </w:r>
    </w:p>
    <w:p>
      <w:pPr>
        <w:spacing w:after="60" w:before="60" w:line="276"/>
        <w:jc w:val="both"/>
      </w:pPr>
      <w:r>
        <w:rPr>
          <w:rFonts w:ascii="Times New Roman" w:cs="Times New Roman" w:eastAsia="Times New Roman" w:hAnsi="Times New Roman"/>
          <w:sz w:val="24"/>
          <w:szCs w:val="24"/>
        </w:rPr>
        <w:t xml:space="preserve">[Fig. 8. Optimized network coverage map for the 6-station DAQGA configuration (ω_1 = 0.7). Red icons: station locations; colour gradient: received signal strength.]</w:t>
      </w:r>
    </w:p>
    <w:p>
      <w:pPr>
        <w:spacing w:after="60" w:before="60" w:line="276"/>
        <w:jc w:val="both"/>
      </w:pPr>
      <w:r>
        <w:rPr>
          <w:rFonts w:ascii="Times New Roman" w:cs="Times New Roman" w:eastAsia="Times New Roman" w:hAnsi="Times New Roman"/>
          <w:sz w:val="24"/>
          <w:szCs w:val="24"/>
        </w:rPr>
        <w:t xml:space="preserve">[Fig. 9. Example coverage failure cases: User 1 blocked by building obstruction; User 2 located outside the service range of all active stations.]</w:t>
      </w:r>
    </w:p>
    <w:p>
      <w:pPr>
        <w:pStyle w:val="Heading2"/>
        <w:spacing w:after="80" w:before="180"/>
      </w:pPr>
      <w:r>
        <w:rPr>
          <w:rFonts w:ascii="Times New Roman" w:cs="Times New Roman" w:eastAsia="Times New Roman" w:hAnsi="Times New Roman"/>
          <w:b/>
          <w:bCs/>
          <w:sz w:val="24"/>
          <w:szCs w:val="24"/>
        </w:rPr>
        <w:t xml:space="preserve">5.4 Comparative Algorithm Performance</w:t>
      </w:r>
    </w:p>
    <w:p>
      <w:pPr>
        <w:spacing w:after="60" w:before="60" w:line="276"/>
        <w:jc w:val="both"/>
      </w:pPr>
      <w:r>
        <w:rPr>
          <w:rFonts w:ascii="Times New Roman" w:cs="Times New Roman" w:eastAsia="Times New Roman" w:hAnsi="Times New Roman"/>
          <w:sz w:val="24"/>
          <w:szCs w:val="24"/>
        </w:rPr>
        <w:t xml:space="preserve">DAQGA is benchmarked against four algorithms — standard QGA, Particle Swarm Optimization (PSO), Sparrow Search Algorithm (SSA) [38], and Self-Adaptive Mutation Genetic Algorithm (AMGA) [2] — all operating under identical parameter settings (Table 3) with the 0.7/0.3 objective weights. Table 6 reports the best-run deployment outcomes for each algorithm.</w:t>
      </w:r>
    </w:p>
    <w:p>
      <w:pPr>
        <w:spacing w:after="40" w:before="120"/>
        <w:jc w:val="center"/>
      </w:pPr>
      <w:r>
        <w:rPr>
          <w:rFonts w:ascii="Times New Roman" w:cs="Times New Roman" w:eastAsia="Times New Roman" w:hAnsi="Times New Roman"/>
          <w:b/>
          <w:bCs/>
          <w:sz w:val="24"/>
          <w:szCs w:val="24"/>
        </w:rPr>
        <w:t xml:space="preserve">Table 6. Best-configuration results for all benchmark algorithms (ω₁ = 0.7, ω₂ =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100"/>
        <w:gridCol w:w="1500"/>
        <w:gridCol w:w="1300"/>
        <w:gridCol w:w="1500"/>
        <w:gridCol w:w="1760"/>
      </w:tblGrid>
      <w:tr>
        <w:tc>
          <w:tcPr>
            <w:tcW w:type="dxa" w:w="12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Algorithm</w:t>
            </w:r>
          </w:p>
        </w:tc>
        <w:tc>
          <w:tcPr>
            <w:tcW w:type="dxa" w:w="10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Coverage</w:t>
            </w:r>
          </w:p>
        </w:tc>
        <w:tc>
          <w:tcPr>
            <w:tcW w:type="dxa" w:w="11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Cost</w:t>
            </w:r>
          </w:p>
        </w:tc>
        <w:tc>
          <w:tcPr>
            <w:tcW w:type="dxa" w:w="15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Sites</w:t>
            </w:r>
          </w:p>
        </w:tc>
        <w:tc>
          <w:tcPr>
            <w:tcW w:type="dxa" w:w="13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Tower h (m)</w:t>
            </w:r>
          </w:p>
        </w:tc>
        <w:tc>
          <w:tcPr>
            <w:tcW w:type="dxa" w:w="15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Ant. h (m)</w:t>
            </w:r>
          </w:p>
        </w:tc>
        <w:tc>
          <w:tcPr>
            <w:tcW w:type="dxa" w:w="176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BSs (new/exist)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QGA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75.21%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168.19×S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320 317 458
44 383 483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8 37 11
21 11 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33 37 20
21 22 28</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PSO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72.24%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244.74×S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365 456 208
95 317 227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13 11 20
20 23 20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38 20 20
20 23 20</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SSA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77.30%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179.00×S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476 499 353
323 317 388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21 16 14
8 21 9</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30 40 38
39 21 37</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AMGA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80.72%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205.26×S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252 464 341
499 547 319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26 11 5
16 13 10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26 20 34
40 28 34</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DAQGA (ours)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85.42%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146.75×S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530 317 320
423 343 405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21 38 8
5 6 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38 33 38
30 35 39</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r>
    </w:tbl>
    <w:p>
      <w:pPr>
        <w:spacing w:after="60" w:before="60"/>
      </w:pPr>
      <w:r>
        <w:t xml:space="preserve"/>
      </w:r>
    </w:p>
    <w:p>
      <w:pPr>
        <w:spacing w:after="60" w:before="60" w:line="276"/>
        <w:jc w:val="both"/>
      </w:pPr>
      <w:r>
        <w:rPr>
          <w:rFonts w:ascii="Times New Roman" w:cs="Times New Roman" w:eastAsia="Times New Roman" w:hAnsi="Times New Roman"/>
          <w:sz w:val="24"/>
          <w:szCs w:val="24"/>
        </w:rPr>
        <w:t xml:space="preserve">DAQGA achieves the highest coverage across all five algorithms — 85.42% — while simultaneously attaining the lowest deployment cost (146.75S). Coverage improvements over individual comparators are: 13.58% vs. QGA; 18.24% vs. PSO; 10.50% vs. SSA; 5.82% vs. AMGA. Cost reductions are: 12.75% vs. QGA; 40.04% vs. PSO; 18.02% vs. SSA; 28.51% vs. AMGA.</w:t>
      </w:r>
    </w:p>
    <w:p>
      <w:pPr>
        <w:spacing w:after="60" w:before="60" w:line="276"/>
        <w:jc w:val="both"/>
      </w:pPr>
      <w:r>
        <w:rPr>
          <w:rFonts w:ascii="Times New Roman" w:cs="Times New Roman" w:eastAsia="Times New Roman" w:hAnsi="Times New Roman"/>
          <w:sz w:val="24"/>
          <w:szCs w:val="24"/>
        </w:rPr>
        <w:t xml:space="preserve">[Fig. 10. Coverage maps produced by each benchmark algorithm. DAQGA (Fig. 8) produces the most spatially uniform coverage with fewest blind spots.]</w:t>
      </w:r>
    </w:p>
    <w:p>
      <w:pPr>
        <w:pStyle w:val="Heading2"/>
        <w:spacing w:after="80" w:before="180"/>
      </w:pPr>
      <w:r>
        <w:rPr>
          <w:rFonts w:ascii="Times New Roman" w:cs="Times New Roman" w:eastAsia="Times New Roman" w:hAnsi="Times New Roman"/>
          <w:b/>
          <w:bCs/>
          <w:sz w:val="24"/>
          <w:szCs w:val="24"/>
        </w:rPr>
        <w:t xml:space="preserve">5.5 Convergence Analysis</w:t>
      </w:r>
    </w:p>
    <w:p>
      <w:pPr>
        <w:spacing w:after="60" w:before="60" w:line="276"/>
        <w:jc w:val="both"/>
      </w:pPr>
      <w:r>
        <w:rPr>
          <w:rFonts w:ascii="Times New Roman" w:cs="Times New Roman" w:eastAsia="Times New Roman" w:hAnsi="Times New Roman"/>
          <w:sz w:val="24"/>
          <w:szCs w:val="24"/>
        </w:rPr>
        <w:t xml:space="preserve">Figure 11 plots the mean best-fitness trajectory across 20 independent runs per algorithm. SSA and AMGA converge rapidly, reaching stable values before generation 150, but their terminal fitness values are substantially below DAQGA, indicating early entrapment in local optima. QGA exhibits unstable, non-monotone convergence, only stabilizing around generation 350. PSO displays the slowest approach to its terminal value, never fully plateauing within 400 generations. DAQGA, by contrast, shows a stepwise ascending profile characteristic of the catastrophe mechanism's diversity injections, before reaching a stable high-fitness plateau around generation 220.</w:t>
      </w:r>
    </w:p>
    <w:p>
      <w:pPr>
        <w:spacing w:after="60" w:before="60" w:line="276"/>
        <w:jc w:val="both"/>
      </w:pPr>
      <w:r>
        <w:rPr>
          <w:rFonts w:ascii="Times New Roman" w:cs="Times New Roman" w:eastAsia="Times New Roman" w:hAnsi="Times New Roman"/>
          <w:sz w:val="24"/>
          <w:szCs w:val="24"/>
        </w:rPr>
        <w:t xml:space="preserve">[Fig. 11. Mean best-fitness convergence curves over 400 generations for all five algorithms (20 independent runs each).]</w:t>
      </w:r>
    </w:p>
    <w:p>
      <w:pPr>
        <w:spacing w:after="60" w:before="60" w:line="276"/>
        <w:jc w:val="both"/>
      </w:pPr>
      <w:r>
        <w:rPr>
          <w:rFonts w:ascii="Times New Roman" w:cs="Times New Roman" w:eastAsia="Times New Roman" w:hAnsi="Times New Roman"/>
          <w:sz w:val="24"/>
          <w:szCs w:val="24"/>
        </w:rPr>
        <w:t xml:space="preserve">Statistical significance is confirmed via the Wilcoxon rank-sum test at a 5% significance level (Table 7). The mean fitness and standard deviation for DAQGA (0.7997 ± 0.0088) are both superior and substantially more consistent than all comparators, confirming that DAQGA's advantages are not artifacts of a single favorable run.</w:t>
      </w:r>
    </w:p>
    <w:p>
      <w:pPr>
        <w:spacing w:after="40" w:before="120"/>
        <w:jc w:val="center"/>
      </w:pPr>
      <w:r>
        <w:rPr>
          <w:rFonts w:ascii="Times New Roman" w:cs="Times New Roman" w:eastAsia="Times New Roman" w:hAnsi="Times New Roman"/>
          <w:b/>
          <w:bCs/>
          <w:sz w:val="24"/>
          <w:szCs w:val="24"/>
        </w:rPr>
        <w:t xml:space="preserve">Table 7. Statistical performance comparison (Wilcoxon rank-sum test, p = 0.05; − denotes significantly inferior to DAQGA).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DAQGA</w:t>
            </w:r>
          </w:p>
        </w:tc>
        <w:tc>
          <w:tcPr>
            <w:tcW w:type="dxa" w:w="1872"/>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AMGA</w:t>
            </w:r>
          </w:p>
        </w:tc>
        <w:tc>
          <w:tcPr>
            <w:tcW w:type="dxa" w:w="1872"/>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QGA</w:t>
            </w:r>
          </w:p>
        </w:tc>
        <w:tc>
          <w:tcPr>
            <w:tcW w:type="dxa" w:w="1872"/>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SSA</w:t>
            </w:r>
          </w:p>
        </w:tc>
        <w:tc>
          <w:tcPr>
            <w:tcW w:type="dxa" w:w="1872"/>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PSO</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0.7997 (0.0088)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0.7314 (0.0315) −</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0.7135 (0.0804) −</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0.6551 (0.0715) −</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0.7291 (0.0744) −</w:t>
            </w:r>
          </w:p>
        </w:tc>
      </w:tr>
    </w:tbl>
    <w:p>
      <w:pPr>
        <w:spacing w:after="60" w:before="60"/>
      </w:pPr>
      <w:r>
        <w:t xml:space="preserve"/>
      </w:r>
    </w:p>
    <w:p>
      <w:pPr>
        <w:pStyle w:val="Heading2"/>
        <w:spacing w:after="80" w:before="180"/>
      </w:pPr>
      <w:r>
        <w:rPr>
          <w:rFonts w:ascii="Times New Roman" w:cs="Times New Roman" w:eastAsia="Times New Roman" w:hAnsi="Times New Roman"/>
          <w:b/>
          <w:bCs/>
          <w:sz w:val="24"/>
          <w:szCs w:val="24"/>
        </w:rPr>
        <w:t xml:space="preserve">5.6 Signal Reception Quality Analysis</w:t>
      </w:r>
    </w:p>
    <w:p>
      <w:pPr>
        <w:spacing w:after="60" w:before="60" w:line="276"/>
        <w:jc w:val="both"/>
      </w:pPr>
      <w:r>
        <w:rPr>
          <w:rFonts w:ascii="Times New Roman" w:cs="Times New Roman" w:eastAsia="Times New Roman" w:hAnsi="Times New Roman"/>
          <w:sz w:val="24"/>
          <w:szCs w:val="24"/>
        </w:rPr>
        <w:t xml:space="preserve">Figure 12 presents the distribution of received signal power across all user positions for each algorithm, using a −95 dBm connectivity threshold. DAQGA achieves a mean effective signal strength of −69.74 dBm, with 75.03% of user locations exceeding the threshold. This compares favorably against QGA (−97.25 dBm; 68.06%), PSO (−103.27 dBm; 64.18%), SSA (−108.14 dBm; 65.54%), and AMGA (−72.73 dBm; 70.63%).</w:t>
      </w:r>
    </w:p>
    <w:p>
      <w:pPr>
        <w:spacing w:after="60" w:before="60" w:line="276"/>
        <w:jc w:val="both"/>
      </w:pPr>
      <w:r>
        <w:rPr>
          <w:rFonts w:ascii="Times New Roman" w:cs="Times New Roman" w:eastAsia="Times New Roman" w:hAnsi="Times New Roman"/>
          <w:sz w:val="24"/>
          <w:szCs w:val="24"/>
        </w:rPr>
        <w:t xml:space="preserve">DAQGA improves the effective mean signal strength by 2.99 dB over AMGA and 27.51 dB over QGA, with the largest margin of 38.40 dB observed against SSA. The fraction of users achieving a qualifying connection increases by 4.40 percentage points over AMGA and 10.85 percentage points over QGA. These improvements reflect DAQGA's ability to identify station locations that simultaneously maximize spatial diversity (coverage breadth) and line-of-sight probability (signal quality depth), two properties that are not independently optimized by the simpler algorithms.</w:t>
      </w:r>
    </w:p>
    <w:p>
      <w:pPr>
        <w:spacing w:after="60" w:before="60" w:line="276"/>
        <w:jc w:val="both"/>
      </w:pPr>
      <w:r>
        <w:rPr>
          <w:rFonts w:ascii="Times New Roman" w:cs="Times New Roman" w:eastAsia="Times New Roman" w:hAnsi="Times New Roman"/>
          <w:sz w:val="24"/>
          <w:szCs w:val="24"/>
        </w:rPr>
        <w:t xml:space="preserve">[Fig. 12. Received signal strength distributions for all algorithms. Dashed vertical line: −95 dBm connectivity threshold.]</w:t>
      </w:r>
    </w:p>
    <w:p>
      <w:pPr>
        <w:pStyle w:val="Heading1"/>
        <w:spacing w:after="120" w:before="240"/>
      </w:pPr>
      <w:r>
        <w:rPr>
          <w:rFonts w:ascii="Times New Roman" w:cs="Times New Roman" w:eastAsia="Times New Roman" w:hAnsi="Times New Roman"/>
          <w:b/>
          <w:bCs/>
          <w:caps/>
          <w:sz w:val="28"/>
          <w:szCs w:val="28"/>
        </w:rPr>
        <w:t xml:space="preserve">6. Discussion</w:t>
      </w:r>
    </w:p>
    <w:p>
      <w:pPr>
        <w:spacing w:after="60" w:before="60" w:line="276"/>
        <w:jc w:val="both"/>
      </w:pPr>
      <w:r>
        <w:rPr>
          <w:rFonts w:ascii="Times New Roman" w:cs="Times New Roman" w:eastAsia="Times New Roman" w:hAnsi="Times New Roman"/>
          <w:sz w:val="24"/>
          <w:szCs w:val="24"/>
        </w:rPr>
        <w:t xml:space="preserve">The experimental results reveal several properties of the DAQGA framework that deserve closer examination.</w:t>
      </w:r>
    </w:p>
    <w:p>
      <w:pPr>
        <w:spacing w:after="60" w:before="60" w:line="276"/>
        <w:jc w:val="both"/>
      </w:pPr>
      <w:r>
        <w:rPr>
          <w:rFonts w:ascii="Times New Roman" w:cs="Times New Roman" w:eastAsia="Times New Roman" w:hAnsi="Times New Roman"/>
          <w:sz w:val="24"/>
          <w:szCs w:val="24"/>
        </w:rPr>
        <w:t xml:space="preserve">The most striking outcome is that DAQGA simultaneously achieves the highest coverage and the lowest cost among all tested algorithms, a combination that might naively appear contradictory. The explanation lies in the quality of the selected site locations. Poor algorithm performance frequently manifests as over-deployment — activating more stations than necessary to reach coverage targets, thereby driving cost upward while still leaving blind spots. PSO is the clearest example: it selects five all-new stations at a cost of 244.74S yet achieves only 72.24% coverage. DAQGA, by contrast, activates four new and two existing stations for 146.75S with 85.42% coverage. The reuse of two existing stations eliminates tower and facility costs for those sites, while the superior placement of all six stations means each covers a larger effective fraction of the user population. This dual benefit is only accessible to an algorithm capable of high-quality exploration of the 551-site combinatorial space — a capability that DAQGA achieves through microhabitat diversity preservation and fitness-adaptive convergence.</w:t>
      </w:r>
    </w:p>
    <w:p>
      <w:pPr>
        <w:spacing w:after="60" w:before="60" w:line="276"/>
        <w:jc w:val="both"/>
      </w:pPr>
      <w:r>
        <w:rPr>
          <w:rFonts w:ascii="Times New Roman" w:cs="Times New Roman" w:eastAsia="Times New Roman" w:hAnsi="Times New Roman"/>
          <w:sz w:val="24"/>
          <w:szCs w:val="24"/>
        </w:rPr>
        <w:t xml:space="preserve">The convergence profiles (Fig. 11) provide mechanistic insight into why SSA and AMGA produce inferior solutions despite converging quickly. Both algorithms exploit local search effectively but lack a systematic diversity recovery mechanism. Once the population collapses around a local basin, no further improvement occurs regardless of iteration budget. The staircase-like profile of DAQGA's convergence curve reflects the intermittent application of the catastrophe mechanism: each step corresponds to a diversity reinsertion event that allows the algorithm to escape a local region and resume ascending to a higher-fitness neighborhood. This behavior is particularly valuable in the present problem, where the fitness landscape is non-smooth — the hard interference constraint (d_ij ≥ 250 m) creates sharp fitness drops when station counts increase beyond six, producing a multimodal landscape that greedy local search cannot navigate reliably.</w:t>
      </w:r>
    </w:p>
    <w:p>
      <w:pPr>
        <w:spacing w:after="60" w:before="60" w:line="276"/>
        <w:jc w:val="both"/>
      </w:pPr>
      <w:r>
        <w:rPr>
          <w:rFonts w:ascii="Times New Roman" w:cs="Times New Roman" w:eastAsia="Times New Roman" w:hAnsi="Times New Roman"/>
          <w:sz w:val="24"/>
          <w:szCs w:val="24"/>
        </w:rPr>
        <w:t xml:space="preserve">The signal quality results (Section 5.6) underscore an important distinction between coverage rate and coverage quality. An algorithm could achieve high coverage simply by activating many high-power stations at arbitrary positions, flooding the study area with marginally acceptable signal. DAQGA's superior mean received power (−69.74 dBm vs. −97.25 dBm for QGA) at fewer new stations indicates that the selected locations provide stronger average signals — not merely threshold-crossing signals. This likely results from DAQGA's preference for rooftop sites with favorable line-of-sight geometry to clustered user populations: three of the four new stations in the optimal configuration are rooftop installations with total antenna heights of 38, 33, and 35 m, well above the mean building height of 38 m in many sub-regions.</w:t>
      </w:r>
    </w:p>
    <w:p>
      <w:pPr>
        <w:spacing w:after="60" w:before="60" w:line="276"/>
        <w:jc w:val="both"/>
      </w:pPr>
      <w:r>
        <w:rPr>
          <w:rFonts w:ascii="Times New Roman" w:cs="Times New Roman" w:eastAsia="Times New Roman" w:hAnsi="Times New Roman"/>
          <w:sz w:val="24"/>
          <w:szCs w:val="24"/>
        </w:rPr>
        <w:t xml:space="preserve">Several limitations of the present study warrant acknowledgment. The use of omnidirectional antennas substantially simplifies the propagation geometry and removes antenna azimuth and tilt as optimization variables; real-world 5G antennas are highly directional, and their orientation dramatically affects coverage footprint shape. The optimization is formulated as a scalar weighted sum, which collapses the Pareto frontier into a single optimal point for each weight pair rather than exposing the full trade-off surface. Finally, the 3.5 GHz simulation does not capture the significantly different propagation characteristics that would apply to mmWave 5G deployments, limiting direct transferability of the deployment configurations to higher-frequency networks.</w:t>
      </w:r>
    </w:p>
    <w:p>
      <w:pPr>
        <w:pStyle w:val="Heading1"/>
        <w:spacing w:after="120" w:before="240"/>
      </w:pPr>
      <w:r>
        <w:rPr>
          <w:rFonts w:ascii="Times New Roman" w:cs="Times New Roman" w:eastAsia="Times New Roman" w:hAnsi="Times New Roman"/>
          <w:b/>
          <w:bCs/>
          <w:caps/>
          <w:sz w:val="28"/>
          <w:szCs w:val="28"/>
        </w:rPr>
        <w:t xml:space="preserve">7. Conclusion and Future Work</w:t>
      </w:r>
    </w:p>
    <w:p>
      <w:pPr>
        <w:spacing w:after="60" w:before="60" w:line="276"/>
        <w:jc w:val="both"/>
      </w:pPr>
      <w:r>
        <w:rPr>
          <w:rFonts w:ascii="Times New Roman" w:cs="Times New Roman" w:eastAsia="Times New Roman" w:hAnsi="Times New Roman"/>
          <w:sz w:val="24"/>
          <w:szCs w:val="24"/>
        </w:rPr>
        <w:t xml:space="preserve">This paper has presented a comprehensive framework for optimizing 5G base station deployment in three-dimensional urban environments, applied to a realistic 450,000 m² test region in Kowloon, Hong Kong. Three principal components contribute to the framework's effectiveness: a physics-based SBR propagation model incorporating material-resolved reflection coefficients and ITU atmospheric attenuation; a demographically grounded user distribution derived from NASA SEDAC population density data; and the DAQGA optimization algorithm, which extends standard quantum genetic algorithms through microhabitat initialization, fitness-adaptive rotation angle scheduling, and catastrophe-triggered diversity restoration.</w:t>
      </w:r>
    </w:p>
    <w:p>
      <w:pPr>
        <w:spacing w:after="60" w:before="60" w:line="276"/>
        <w:jc w:val="both"/>
      </w:pPr>
      <w:r>
        <w:rPr>
          <w:rFonts w:ascii="Times New Roman" w:cs="Times New Roman" w:eastAsia="Times New Roman" w:hAnsi="Times New Roman"/>
          <w:sz w:val="24"/>
          <w:szCs w:val="24"/>
        </w:rPr>
        <w:t xml:space="preserve">Under the recommended weight configuration (ω_1 = 0.7, ω_2 = 0.3), DAQGA deploys six base stations — four new rooftop and two existing — achieving 85.42% user coverage at a cost of 146.75S, outperforming all four benchmark algorithms in coverage, cost, convergence stability, and statistical consistency. The methodology is grounded in real geographic and demographic data, and its parameter structure is transparent enough to permit adaptation to other urban environments by adjusting interference distance constraints, propagation parameters, and cost coefficients.</w:t>
      </w:r>
    </w:p>
    <w:p>
      <w:pPr>
        <w:spacing w:after="60" w:before="60" w:line="276"/>
        <w:jc w:val="both"/>
      </w:pPr>
      <w:r>
        <w:rPr>
          <w:rFonts w:ascii="Times New Roman" w:cs="Times New Roman" w:eastAsia="Times New Roman" w:hAnsi="Times New Roman"/>
          <w:sz w:val="24"/>
          <w:szCs w:val="24"/>
        </w:rPr>
        <w:t xml:space="preserve">Future work will address the primary limitations identified above. The most consequential extension is a transition to a true multi-objective optimization formulation that exposes the Pareto frontier between coverage, cost, and energy efficiency, rather than collapsing these into a single weighted scalar. Replacing omnidirectional antennas with directional sector antennas, and incorporating antenna azimuth and downtilt as additional optimization variables, would substantially increase the realism of the coverage model. Extension to heterogeneous macro-micro network architectures and to mmWave frequency bands — where diffraction is negligible and LoS dependence is near-total — would broaden the framework's applicability to the full spectrum of 5G and emerging 6G deployment scenarios.</w:t>
      </w:r>
    </w:p>
    <w:p>
      <w:pPr>
        <w:pStyle w:val="Heading1"/>
        <w:spacing w:after="120" w:before="240"/>
      </w:pPr>
      <w:r>
        <w:rPr>
          <w:rFonts w:ascii="Times New Roman" w:cs="Times New Roman" w:eastAsia="Times New Roman" w:hAnsi="Times New Roman"/>
          <w:b/>
          <w:bCs/>
          <w:caps/>
          <w:sz w:val="28"/>
          <w:szCs w:val="28"/>
        </w:rPr>
        <w:t xml:space="preserve">References</w:t>
      </w:r>
    </w:p>
    <w:p>
      <w:pPr>
        <w:spacing w:after="60" w:before="60" w:line="276"/>
        <w:jc w:val="both"/>
      </w:pPr>
      <w:r>
        <w:rPr>
          <w:rFonts w:ascii="Times New Roman" w:cs="Times New Roman" w:eastAsia="Times New Roman" w:hAnsi="Times New Roman"/>
          <w:sz w:val="24"/>
          <w:szCs w:val="24"/>
        </w:rPr>
        <w:t xml:space="preserve">[1] C.C. Kao, H.C. Young, Opportunities, challenges, and solutions in the 5G era, IEICE Trans. Commun. 105 (11) (2022) 1291–1298.</w:t>
      </w:r>
    </w:p>
    <w:p>
      <w:pPr>
        <w:spacing w:after="60" w:before="60" w:line="276"/>
        <w:jc w:val="both"/>
      </w:pPr>
      <w:r>
        <w:rPr>
          <w:rFonts w:ascii="Times New Roman" w:cs="Times New Roman" w:eastAsia="Times New Roman" w:hAnsi="Times New Roman"/>
          <w:sz w:val="24"/>
          <w:szCs w:val="24"/>
        </w:rPr>
        <w:t xml:space="preserve">[2] J.P. Li, J.J. Pang, X.J. Fan, Optimization of 5G base station coverage based on self-adaptive mutation genetic algorithm, Comput. Commun. 22 (2024) 83–95.</w:t>
      </w:r>
    </w:p>
    <w:p>
      <w:pPr>
        <w:spacing w:after="60" w:before="60" w:line="276"/>
        <w:jc w:val="both"/>
      </w:pPr>
      <w:r>
        <w:rPr>
          <w:rFonts w:ascii="Times New Roman" w:cs="Times New Roman" w:eastAsia="Times New Roman" w:hAnsi="Times New Roman"/>
          <w:sz w:val="24"/>
          <w:szCs w:val="24"/>
        </w:rPr>
        <w:t xml:space="preserve">[3] Y.C.O. Imam-Fulani et al., 5G frequency standardization, technologies, channel models, and network deployment: advances, challenges, and future directions, Sustainability 15 (6) (2023) 1–71.</w:t>
      </w:r>
    </w:p>
    <w:p>
      <w:pPr>
        <w:spacing w:after="60" w:before="60" w:line="276"/>
        <w:jc w:val="both"/>
      </w:pPr>
      <w:r>
        <w:rPr>
          <w:rFonts w:ascii="Times New Roman" w:cs="Times New Roman" w:eastAsia="Times New Roman" w:hAnsi="Times New Roman"/>
          <w:sz w:val="24"/>
          <w:szCs w:val="24"/>
        </w:rPr>
        <w:t xml:space="preserve">[4] J.P. Li, P. Xue, T. Yang, W.T. Wang, Pilot contamination suppression method for massive MIMO system based on ant colony optimization, Wirel. Netw. 28 (5) (2022) 1879–1888.</w:t>
      </w:r>
    </w:p>
    <w:p>
      <w:pPr>
        <w:spacing w:after="60" w:before="60" w:line="276"/>
        <w:jc w:val="both"/>
      </w:pPr>
      <w:r>
        <w:rPr>
          <w:rFonts w:ascii="Times New Roman" w:cs="Times New Roman" w:eastAsia="Times New Roman" w:hAnsi="Times New Roman"/>
          <w:sz w:val="24"/>
          <w:szCs w:val="24"/>
        </w:rPr>
        <w:t xml:space="preserve">[5] J.P. Li, M.L. Li, T. Yang, P. Xue, Low-complexity Wiener filter channel estimation algorithm in massive MIMO-OFDM system, J. Jilin Univ. (Eng. Technol. Ed.) 52 (01) (2022) 211–218.</w:t>
      </w:r>
    </w:p>
    <w:p>
      <w:pPr>
        <w:spacing w:after="60" w:before="60" w:line="276"/>
        <w:jc w:val="both"/>
      </w:pPr>
      <w:r>
        <w:rPr>
          <w:rFonts w:ascii="Times New Roman" w:cs="Times New Roman" w:eastAsia="Times New Roman" w:hAnsi="Times New Roman"/>
          <w:sz w:val="24"/>
          <w:szCs w:val="24"/>
        </w:rPr>
        <w:t xml:space="preserve">[6] W. Chen, X. Lin, J. Lee, A. Toskala, S. Sun, C.F. Chiasserini, L. Liu, 5G-advanced toward 6G: past, present, and future, IEEE J. Sel. Areas Commun. 41 (6) (2023) 1592–1619.</w:t>
      </w:r>
    </w:p>
    <w:p>
      <w:pPr>
        <w:spacing w:after="60" w:before="60" w:line="276"/>
        <w:jc w:val="both"/>
      </w:pPr>
      <w:r>
        <w:rPr>
          <w:rFonts w:ascii="Times New Roman" w:cs="Times New Roman" w:eastAsia="Times New Roman" w:hAnsi="Times New Roman"/>
          <w:sz w:val="24"/>
          <w:szCs w:val="24"/>
        </w:rPr>
        <w:t xml:space="preserve">[7] J.P. Li, G.C. Li, S.C. Chu, M. Gao, J.S. Pan, Modified parallel tunicate swarm algorithm and application in 3D WSNs coverage optimization, J. Internet Technol. 23 (2) (2022) 227–244.</w:t>
      </w:r>
    </w:p>
    <w:p>
      <w:pPr>
        <w:spacing w:after="60" w:before="60" w:line="276"/>
        <w:jc w:val="both"/>
      </w:pPr>
      <w:r>
        <w:rPr>
          <w:rFonts w:ascii="Times New Roman" w:cs="Times New Roman" w:eastAsia="Times New Roman" w:hAnsi="Times New Roman"/>
          <w:sz w:val="24"/>
          <w:szCs w:val="24"/>
        </w:rPr>
        <w:t xml:space="preserve">[8] R. Ratheesh, M.S. Nair, P. Vetrivelan, J. Rajeswari, Throughput and coverage-based base station-relay station deployment for 5G cellular network, Concurr. Comput. Pract. Exp. (2024).</w:t>
      </w:r>
    </w:p>
    <w:p>
      <w:pPr>
        <w:spacing w:after="60" w:before="60" w:line="276"/>
        <w:jc w:val="both"/>
      </w:pPr>
      <w:r>
        <w:rPr>
          <w:rFonts w:ascii="Times New Roman" w:cs="Times New Roman" w:eastAsia="Times New Roman" w:hAnsi="Times New Roman"/>
          <w:sz w:val="24"/>
          <w:szCs w:val="24"/>
        </w:rPr>
        <w:t xml:space="preserve">[9] N. Cota, A. Serrador, P. Vieira, A.R. Beire, A. Rodrigues, On the use of Okumura-Hata propagation model on railway communications, Wirel. Pers. Commun. 93 (3) (2017) 725–736.</w:t>
      </w:r>
    </w:p>
    <w:p>
      <w:pPr>
        <w:spacing w:after="60" w:before="60" w:line="276"/>
        <w:jc w:val="both"/>
      </w:pPr>
      <w:r>
        <w:rPr>
          <w:rFonts w:ascii="Times New Roman" w:cs="Times New Roman" w:eastAsia="Times New Roman" w:hAnsi="Times New Roman"/>
          <w:sz w:val="24"/>
          <w:szCs w:val="24"/>
        </w:rPr>
        <w:t xml:space="preserve">[10] A. Halifa, E.T. Tchao, J.J. Kponyo, Investigating the best radio propagation model for 4G WiMAX networks deployment in 2530 MHz band in Sub-Saharan Africa, arXiv preprint, Oct. 2017.</w:t>
      </w:r>
    </w:p>
    <w:p>
      <w:pPr>
        <w:spacing w:after="60" w:before="60" w:line="276"/>
        <w:jc w:val="both"/>
      </w:pPr>
      <w:r>
        <w:rPr>
          <w:rFonts w:ascii="Times New Roman" w:cs="Times New Roman" w:eastAsia="Times New Roman" w:hAnsi="Times New Roman"/>
          <w:sz w:val="24"/>
          <w:szCs w:val="24"/>
        </w:rPr>
        <w:t xml:space="preserve">[11] Y.S. Zheng, R. Yan, Y. Liu, Correction of radio wave propagation prediction model based on improved seagull algorithm in tunnel environment, IEEE Access 9 (2021) 149569–149581.</w:t>
      </w:r>
    </w:p>
    <w:p>
      <w:pPr>
        <w:spacing w:after="60" w:before="60" w:line="276"/>
        <w:jc w:val="both"/>
      </w:pPr>
      <w:r>
        <w:rPr>
          <w:rFonts w:ascii="Times New Roman" w:cs="Times New Roman" w:eastAsia="Times New Roman" w:hAnsi="Times New Roman"/>
          <w:sz w:val="24"/>
          <w:szCs w:val="24"/>
        </w:rPr>
        <w:t xml:space="preserve">[12] C.W. Tsai, S.J. Liu, An effective hyper-dense deployment algorithm via search economics, J. Amb. Intell. Humaniz. Comput. 11 (6) (2020) 2251–2262.</w:t>
      </w:r>
    </w:p>
    <w:p>
      <w:pPr>
        <w:spacing w:after="60" w:before="60" w:line="276"/>
        <w:jc w:val="both"/>
      </w:pPr>
      <w:r>
        <w:rPr>
          <w:rFonts w:ascii="Times New Roman" w:cs="Times New Roman" w:eastAsia="Times New Roman" w:hAnsi="Times New Roman"/>
          <w:sz w:val="24"/>
          <w:szCs w:val="24"/>
        </w:rPr>
        <w:t xml:space="preserve">[13] H. Ganame, Y.Z. Liu, H. Ghazzai, D. Kamissoko, 5G base station deployment perspectives in millimeter wave frequencies using meta-heuristic algorithms, Electronics 8 (11) (2019) 24.</w:t>
      </w:r>
    </w:p>
    <w:p>
      <w:pPr>
        <w:spacing w:after="60" w:before="60" w:line="276"/>
        <w:jc w:val="both"/>
      </w:pPr>
      <w:r>
        <w:rPr>
          <w:rFonts w:ascii="Times New Roman" w:cs="Times New Roman" w:eastAsia="Times New Roman" w:hAnsi="Times New Roman"/>
          <w:sz w:val="24"/>
          <w:szCs w:val="24"/>
        </w:rPr>
        <w:t xml:space="preserve">[14] L. Liang, C. Fu, Y. Gao, T. Su, F. Wan, X. Xiong, M. Pan, W. Guan, An optimal siting and economically optimal connectivity strategy for urban green 5G BS based on distributed photovoltaic energy supply, Energy Convers. Manag. 301 (2024).</w:t>
      </w:r>
    </w:p>
    <w:p>
      <w:pPr>
        <w:spacing w:after="60" w:before="60" w:line="276"/>
        <w:jc w:val="both"/>
      </w:pPr>
      <w:r>
        <w:rPr>
          <w:rFonts w:ascii="Times New Roman" w:cs="Times New Roman" w:eastAsia="Times New Roman" w:hAnsi="Times New Roman"/>
          <w:sz w:val="24"/>
          <w:szCs w:val="24"/>
        </w:rPr>
        <w:t xml:space="preserve">[15] B.A. Tesfaw, R.T. Juang, H.P. Lin et al., Multi-agent deep reinforcement learning based optimizing joint 3D trajectories and phase shifts in RIS-assisted UAV-enabled wireless communications, IEEE Open J. Veh. Technol. 5 (2024) 1712–1726.</w:t>
      </w:r>
    </w:p>
    <w:p>
      <w:pPr>
        <w:spacing w:after="60" w:before="60" w:line="276"/>
        <w:jc w:val="both"/>
      </w:pPr>
      <w:r>
        <w:rPr>
          <w:rFonts w:ascii="Times New Roman" w:cs="Times New Roman" w:eastAsia="Times New Roman" w:hAnsi="Times New Roman"/>
          <w:sz w:val="24"/>
          <w:szCs w:val="24"/>
        </w:rPr>
        <w:t xml:space="preserve">[16] Z.Z. Chang, Q.H. Gu, C.W. Lu, Y.H. Zhang, S.L. Ruan, S. Jiang, 5G private network deployment optimization based on RWSSA in open-pit mine, IEEE Trans. Ind. Inform. 18 (8) (2022) 5466–5476.</w:t>
      </w:r>
    </w:p>
    <w:p>
      <w:pPr>
        <w:spacing w:after="60" w:before="60" w:line="276"/>
        <w:jc w:val="both"/>
      </w:pPr>
      <w:r>
        <w:rPr>
          <w:rFonts w:ascii="Times New Roman" w:cs="Times New Roman" w:eastAsia="Times New Roman" w:hAnsi="Times New Roman"/>
          <w:sz w:val="24"/>
          <w:szCs w:val="24"/>
        </w:rPr>
        <w:t xml:space="preserve">[17] Y.J. Wang, P. Sun, X.M. Shi, L. Zhang, Green deployment method of micro base station for ultra-dense heterogeneous cellular networks based on constrained dolphin swarm algorithm, IEEE Access 8 (2020) 5349–5362.</w:t>
      </w:r>
    </w:p>
    <w:p>
      <w:pPr>
        <w:spacing w:after="60" w:before="60" w:line="276"/>
        <w:jc w:val="both"/>
      </w:pPr>
      <w:r>
        <w:rPr>
          <w:rFonts w:ascii="Times New Roman" w:cs="Times New Roman" w:eastAsia="Times New Roman" w:hAnsi="Times New Roman"/>
          <w:sz w:val="24"/>
          <w:szCs w:val="24"/>
        </w:rPr>
        <w:t xml:space="preserve">[18] P. Seda, M. Seda, J. Hosek, On mathematical modelling of automated coverage optimization in wireless 5G and beyond deployments, Appl. Sci.-Basel 10 (24) (2020) 8853.</w:t>
      </w:r>
    </w:p>
    <w:p>
      <w:pPr>
        <w:spacing w:after="60" w:before="60" w:line="276"/>
        <w:jc w:val="both"/>
      </w:pPr>
      <w:r>
        <w:rPr>
          <w:rFonts w:ascii="Times New Roman" w:cs="Times New Roman" w:eastAsia="Times New Roman" w:hAnsi="Times New Roman"/>
          <w:sz w:val="24"/>
          <w:szCs w:val="24"/>
        </w:rPr>
        <w:t xml:space="preserve">[19] Q. Wang, X. Zhao, Z.T. Lv, X.Y. Ma, R.T. Zhang, Y.F. Lin, Optimizing the ultra-dense 5G base stations in urban outdoor areas: coupling GIS and heuristic optimization, Sustain. Cities Soc. 63 (2020).</w:t>
      </w:r>
    </w:p>
    <w:p>
      <w:pPr>
        <w:spacing w:after="60" w:before="60" w:line="276"/>
        <w:jc w:val="both"/>
      </w:pPr>
      <w:r>
        <w:rPr>
          <w:rFonts w:ascii="Times New Roman" w:cs="Times New Roman" w:eastAsia="Times New Roman" w:hAnsi="Times New Roman"/>
          <w:sz w:val="24"/>
          <w:szCs w:val="24"/>
        </w:rPr>
        <w:t xml:space="preserve">[20] W. Guo, J. Koo, L.F. Siddiqui, N.M.F. Qureshi, D.R. Shin, QoS-aware energy-efficient micro base station deployment for 5G-enabled HetNets, J. King Saud Univ.-Comput. Inf. Sci. 34 (10) (2022) 10487–10495.</w:t>
      </w:r>
    </w:p>
    <w:p>
      <w:pPr>
        <w:spacing w:after="60" w:before="60" w:line="276"/>
        <w:jc w:val="both"/>
      </w:pPr>
      <w:r>
        <w:rPr>
          <w:rFonts w:ascii="Times New Roman" w:cs="Times New Roman" w:eastAsia="Times New Roman" w:hAnsi="Times New Roman"/>
          <w:sz w:val="24"/>
          <w:szCs w:val="24"/>
        </w:rPr>
        <w:t xml:space="preserve">[21] M.M. Dong, T. Kim, J.J. Wu, E.W.M. Wong, Cost-efficient millimeter wave base station deployment in Manhattan-type geometry, IEEE Access 7 (2019) 149959–149970.</w:t>
      </w:r>
    </w:p>
    <w:p>
      <w:pPr>
        <w:spacing w:after="60" w:before="60" w:line="276"/>
        <w:jc w:val="both"/>
      </w:pPr>
      <w:r>
        <w:rPr>
          <w:rFonts w:ascii="Times New Roman" w:cs="Times New Roman" w:eastAsia="Times New Roman" w:hAnsi="Times New Roman"/>
          <w:sz w:val="24"/>
          <w:szCs w:val="24"/>
        </w:rPr>
        <w:t xml:space="preserve">[22] C.H. Wang, C.J. Lee, X.J. Wu, A coverage-based location approach and performance evaluation for the deployment of 5G base stations, IEEE Access 8 (2020) 123320–123333.</w:t>
      </w:r>
    </w:p>
    <w:p>
      <w:pPr>
        <w:spacing w:after="60" w:before="60" w:line="276"/>
        <w:jc w:val="both"/>
      </w:pPr>
      <w:r>
        <w:rPr>
          <w:rFonts w:ascii="Times New Roman" w:cs="Times New Roman" w:eastAsia="Times New Roman" w:hAnsi="Times New Roman"/>
          <w:sz w:val="24"/>
          <w:szCs w:val="24"/>
        </w:rPr>
        <w:t xml:space="preserve">[23] J. Chen, J.J. Tian, S.H. Jiang, Y.S. Zhou, H. Li, J. Xu, The allocation of base stations with region clustering and single-objective nonlinear optimization, Mathematics 10 (13) (2022) 1–19.</w:t>
      </w:r>
    </w:p>
    <w:p>
      <w:pPr>
        <w:spacing w:after="60" w:before="60" w:line="276"/>
        <w:jc w:val="both"/>
      </w:pPr>
      <w:r>
        <w:rPr>
          <w:rFonts w:ascii="Times New Roman" w:cs="Times New Roman" w:eastAsia="Times New Roman" w:hAnsi="Times New Roman"/>
          <w:sz w:val="24"/>
          <w:szCs w:val="24"/>
        </w:rPr>
        <w:t xml:space="preserve">[24] M.J. Sobouti, A.H. Mohajerzadeh, H.Y. Adarbah, Z. Raitimi, H. Ahmadi, Utilizing UAVs in wireless networks: advantages, challenges, objectives, and solution methods, J. Veh. 6 (4) (2024) 1769–1800.</w:t>
      </w:r>
    </w:p>
    <w:p>
      <w:pPr>
        <w:spacing w:after="60" w:before="60" w:line="276"/>
        <w:jc w:val="both"/>
      </w:pPr>
      <w:r>
        <w:rPr>
          <w:rFonts w:ascii="Times New Roman" w:cs="Times New Roman" w:eastAsia="Times New Roman" w:hAnsi="Times New Roman"/>
          <w:sz w:val="24"/>
          <w:szCs w:val="24"/>
        </w:rPr>
        <w:t xml:space="preserve">[25] G.B. Tarekegn, R.T. Juang, B.A. Tesfaw et al., A centralized multi-agent DRL-based trajectory control strategy for unmanned aerial vehicle-enabled wireless communications, IEEE Open J. Veh. Technol. (2024).</w:t>
      </w:r>
    </w:p>
    <w:p>
      <w:pPr>
        <w:spacing w:after="60" w:before="60" w:line="276"/>
        <w:jc w:val="both"/>
      </w:pPr>
      <w:r>
        <w:rPr>
          <w:rFonts w:ascii="Times New Roman" w:cs="Times New Roman" w:eastAsia="Times New Roman" w:hAnsi="Times New Roman"/>
          <w:sz w:val="24"/>
          <w:szCs w:val="24"/>
        </w:rPr>
        <w:t xml:space="preserve">[26] M.J. Sobouti et al., Efficient fuzzy-based 3-D flying base station positioning and trajectory for emergency management in 5G and beyond cellular networks, IEEE Syst. J. 18 (2) (2024) 814–825.</w:t>
      </w:r>
    </w:p>
    <w:p>
      <w:pPr>
        <w:spacing w:after="60" w:before="60" w:line="276"/>
        <w:jc w:val="both"/>
      </w:pPr>
      <w:r>
        <w:rPr>
          <w:rFonts w:ascii="Times New Roman" w:cs="Times New Roman" w:eastAsia="Times New Roman" w:hAnsi="Times New Roman"/>
          <w:sz w:val="24"/>
          <w:szCs w:val="24"/>
        </w:rPr>
        <w:t xml:space="preserve">[27] N. Parvaresh, B. Kantarci, A continuous actor-critic deep Q-learning-enabled deployment of UAV base stations toward 6G small cells in the skies of smart cities, IEEE Open J. Commun. Soc. 4 (2023) 700–712.</w:t>
      </w:r>
    </w:p>
    <w:p>
      <w:pPr>
        <w:spacing w:after="60" w:before="60" w:line="276"/>
        <w:jc w:val="both"/>
      </w:pPr>
      <w:r>
        <w:rPr>
          <w:rFonts w:ascii="Times New Roman" w:cs="Times New Roman" w:eastAsia="Times New Roman" w:hAnsi="Times New Roman"/>
          <w:sz w:val="24"/>
          <w:szCs w:val="24"/>
        </w:rPr>
        <w:t xml:space="preserve">[28] S. Lee, H. Yu, H. Lee, Multiagent Q-learning-based multi-UAV wireless networks for maximizing energy efficiency: deployment and power control strategy design, IEEE Internet Things J. 9 (9) (2021) 6434–6442.</w:t>
      </w:r>
    </w:p>
    <w:p>
      <w:pPr>
        <w:spacing w:after="60" w:before="60" w:line="276"/>
        <w:jc w:val="both"/>
      </w:pPr>
      <w:r>
        <w:rPr>
          <w:rFonts w:ascii="Times New Roman" w:cs="Times New Roman" w:eastAsia="Times New Roman" w:hAnsi="Times New Roman"/>
          <w:sz w:val="24"/>
          <w:szCs w:val="24"/>
        </w:rPr>
        <w:t xml:space="preserve">[29] Z. Rahimi, R. Ghanbari, A.H. Mohajerzadeh, H. Ahmadi, 3D UAV small cell base station positioning and resource allocation in cellular network: a stochastic optimization approach, IEEE Internet Things J. 11 (6) (2023) 10951–10963.</w:t>
      </w:r>
    </w:p>
    <w:p>
      <w:pPr>
        <w:spacing w:after="60" w:before="60" w:line="276"/>
        <w:jc w:val="both"/>
      </w:pPr>
      <w:r>
        <w:rPr>
          <w:rFonts w:ascii="Times New Roman" w:cs="Times New Roman" w:eastAsia="Times New Roman" w:hAnsi="Times New Roman"/>
          <w:sz w:val="24"/>
          <w:szCs w:val="24"/>
        </w:rPr>
        <w:t xml:space="preserve">[30] Z. Rahimi, M.J. Sobouti, R. Ghanbari, S.A. Hosseini Seno, A.H. Mohajerzadeh, H. Ahmadi, H. Yanikomeroglu, An efficient 3D positioning approach to minimize required UAVs for IoT network coverage, IEEE Internet Things J. 9 (1) (2021) 558–571.</w:t>
      </w:r>
    </w:p>
    <w:p>
      <w:pPr>
        <w:spacing w:after="60" w:before="60" w:line="276"/>
        <w:jc w:val="both"/>
      </w:pPr>
      <w:r>
        <w:rPr>
          <w:rFonts w:ascii="Times New Roman" w:cs="Times New Roman" w:eastAsia="Times New Roman" w:hAnsi="Times New Roman"/>
          <w:sz w:val="24"/>
          <w:szCs w:val="24"/>
        </w:rPr>
        <w:t xml:space="preserve">[31] G.B. Tarekegn, R.T. Juang, H.P. Lin et al., Deep-reinforcement-learning-based drone base station deployment for wireless communication services, IEEE Internet Things J. 9 (21) (2022) 21899–21915.</w:t>
      </w:r>
    </w:p>
    <w:p>
      <w:pPr>
        <w:spacing w:after="60" w:before="60" w:line="276"/>
        <w:jc w:val="both"/>
      </w:pPr>
      <w:r>
        <w:rPr>
          <w:rFonts w:ascii="Times New Roman" w:cs="Times New Roman" w:eastAsia="Times New Roman" w:hAnsi="Times New Roman"/>
          <w:sz w:val="24"/>
          <w:szCs w:val="24"/>
        </w:rPr>
        <w:t xml:space="preserve">[32] Z.Q. Yun, M.F. Iskander, Ray tracing for radio propagation modeling: principles and applications, IEEE Access 3 (2015) 1089–1100.</w:t>
      </w:r>
    </w:p>
    <w:p>
      <w:pPr>
        <w:spacing w:after="60" w:before="60" w:line="276"/>
        <w:jc w:val="both"/>
      </w:pPr>
      <w:r>
        <w:rPr>
          <w:rFonts w:ascii="Times New Roman" w:cs="Times New Roman" w:eastAsia="Times New Roman" w:hAnsi="Times New Roman"/>
          <w:sz w:val="24"/>
          <w:szCs w:val="24"/>
        </w:rPr>
        <w:t xml:space="preserve">[33] S.D. Li, Y.J. Liu, L. Yao, W. Cao, Improved channel model and analysis of the effect of bodies in curved tunnel using ray tracing, IEEE Antennas Wirel. Propag. Lett. 19 (7) (2020) 1162–1166.</w:t>
      </w:r>
    </w:p>
    <w:p>
      <w:pPr>
        <w:spacing w:after="60" w:before="60" w:line="276"/>
        <w:jc w:val="both"/>
      </w:pPr>
      <w:r>
        <w:rPr>
          <w:rFonts w:ascii="Times New Roman" w:cs="Times New Roman" w:eastAsia="Times New Roman" w:hAnsi="Times New Roman"/>
          <w:sz w:val="24"/>
          <w:szCs w:val="24"/>
        </w:rPr>
        <w:t xml:space="preserve">[34] International Telecommunication Union Radiocommunication Sector, Effects of building materials and structures on radiowave propagation above about 100 MHz, Recommendation ITU-R P.2040, approved August 2023.</w:t>
      </w:r>
    </w:p>
    <w:p>
      <w:pPr>
        <w:spacing w:after="60" w:before="60" w:line="276"/>
        <w:jc w:val="both"/>
      </w:pPr>
      <w:r>
        <w:rPr>
          <w:rFonts w:ascii="Times New Roman" w:cs="Times New Roman" w:eastAsia="Times New Roman" w:hAnsi="Times New Roman"/>
          <w:sz w:val="24"/>
          <w:szCs w:val="24"/>
        </w:rPr>
        <w:t xml:space="preserve">[35] R.A. Chipman, W.S.T. Lam, G. Young, Polarized Light and Optical Systems, CRC Press, 2018.</w:t>
      </w:r>
    </w:p>
    <w:p>
      <w:pPr>
        <w:spacing w:after="60" w:before="60" w:line="276"/>
        <w:jc w:val="both"/>
      </w:pPr>
      <w:r>
        <w:rPr>
          <w:rFonts w:ascii="Times New Roman" w:cs="Times New Roman" w:eastAsia="Times New Roman" w:hAnsi="Times New Roman"/>
          <w:sz w:val="24"/>
          <w:szCs w:val="24"/>
        </w:rPr>
        <w:t xml:space="preserve">[36] International Telecommunication Union Radiocommunication Sector, Attenuation by atmospheric gases and related effects, Recommendation ITU-R P.676-12, approved August 2019.</w:t>
      </w:r>
    </w:p>
    <w:p>
      <w:pPr>
        <w:spacing w:after="60" w:before="60" w:line="276"/>
        <w:jc w:val="both"/>
      </w:pPr>
      <w:r>
        <w:rPr>
          <w:rFonts w:ascii="Times New Roman" w:cs="Times New Roman" w:eastAsia="Times New Roman" w:hAnsi="Times New Roman"/>
          <w:sz w:val="24"/>
          <w:szCs w:val="24"/>
        </w:rPr>
        <w:t xml:space="preserve">[37] International Telecommunication Union Radiocommunication Sector, Specific attenuation model for rain for use in prediction methods, Recommendation ITU-R P.838-3, approved March 2005.</w:t>
      </w:r>
    </w:p>
    <w:p>
      <w:pPr>
        <w:spacing w:after="60" w:before="60" w:line="276"/>
        <w:jc w:val="both"/>
      </w:pPr>
      <w:r>
        <w:rPr>
          <w:rFonts w:ascii="Times New Roman" w:cs="Times New Roman" w:eastAsia="Times New Roman" w:hAnsi="Times New Roman"/>
          <w:sz w:val="24"/>
          <w:szCs w:val="24"/>
        </w:rPr>
        <w:t xml:space="preserve">[38] J. Xue, B. Shen, A novel swarm intelligence optimization approach: sparrow search algorithm, Syst. Sci. Control Eng. 8 (1) (2020) 22–34.</w:t>
      </w:r>
    </w:p>
    <w:p>
      <w:pPr>
        <w:pBdr>
          <w:bottom w:val="single" w:color="AAAAAA" w:sz="2" w:space="1"/>
        </w:pBdr>
        <w:spacing w:after="200" w:before="200"/>
      </w:pPr>
    </w:p>
    <w:p>
      <w:pPr>
        <w:spacing w:after="160" w:before="100"/>
        <w:jc w:val="center"/>
      </w:pPr>
      <w:r>
        <w:rPr>
          <w:rFonts w:ascii="Times New Roman" w:cs="Times New Roman" w:eastAsia="Times New Roman" w:hAnsi="Times New Roman"/>
          <w:b/>
          <w:bCs/>
          <w:color w:val="2E4057"/>
          <w:sz w:val="28"/>
          <w:szCs w:val="28"/>
        </w:rPr>
        <w:t xml:space="preserve">PART D: ADDITIONAL RECOMMENDATIONS</w:t>
      </w:r>
    </w:p>
    <w:p>
      <w:pPr>
        <w:pStyle w:val="Heading2"/>
        <w:spacing w:after="80" w:before="180"/>
      </w:pPr>
      <w:r>
        <w:rPr>
          <w:rFonts w:ascii="Times New Roman" w:cs="Times New Roman" w:eastAsia="Times New Roman" w:hAnsi="Times New Roman"/>
          <w:b/>
          <w:bCs/>
          <w:sz w:val="24"/>
          <w:szCs w:val="24"/>
        </w:rPr>
        <w:t xml:space="preserve">D.1 Recommended Target Journals</w:t>
      </w:r>
    </w:p>
    <w:p>
      <w:pPr>
        <w:spacing w:after="60" w:before="60" w:line="276"/>
        <w:jc w:val="both"/>
      </w:pPr>
      <w:r>
        <w:rPr>
          <w:rFonts w:ascii="Times New Roman" w:cs="Times New Roman" w:eastAsia="Times New Roman" w:hAnsi="Times New Roman"/>
          <w:sz w:val="24"/>
          <w:szCs w:val="24"/>
        </w:rPr>
        <w:t xml:space="preserve">1.  Computer Communications (Elsevier, Scopus Q1, IF ~6): The paper aligns well with this journal's scope of wireless network optimization. Prior AMGA comparison paper [2] was published here, which both strengthens the positioning and requires the authors to demonstrate clear differentiation from that prior work.</w:t>
      </w:r>
    </w:p>
    <w:p>
      <w:pPr>
        <w:spacing w:after="60" w:before="60" w:line="276"/>
        <w:jc w:val="both"/>
      </w:pPr>
      <w:r>
        <w:rPr>
          <w:rFonts w:ascii="Times New Roman" w:cs="Times New Roman" w:eastAsia="Times New Roman" w:hAnsi="Times New Roman"/>
          <w:sz w:val="24"/>
          <w:szCs w:val="24"/>
        </w:rPr>
        <w:t xml:space="preserve">2.  Sustainable Cities and Society (Elsevier, Scopus Q1, IF ~11): Emphasis on real geographic data, cost modeling, and practical urban deployment fits this journal's urban technology theme. Wang et al. [19] published here, providing a natural comparison baseline.</w:t>
      </w:r>
    </w:p>
    <w:p>
      <w:pPr>
        <w:spacing w:after="60" w:before="60" w:line="276"/>
        <w:jc w:val="both"/>
      </w:pPr>
      <w:r>
        <w:rPr>
          <w:rFonts w:ascii="Times New Roman" w:cs="Times New Roman" w:eastAsia="Times New Roman" w:hAnsi="Times New Roman"/>
          <w:sz w:val="24"/>
          <w:szCs w:val="24"/>
        </w:rPr>
        <w:t xml:space="preserve">3.  IEEE Access (IEEE, Scopus Q2, open access): Appropriate for technically solid papers with comprehensive benchmarking. Broad readership in the communications engineering community.</w:t>
      </w:r>
    </w:p>
    <w:p>
      <w:pPr>
        <w:spacing w:after="60" w:before="60" w:line="276"/>
        <w:jc w:val="both"/>
      </w:pPr>
      <w:r>
        <w:rPr>
          <w:rFonts w:ascii="Times New Roman" w:cs="Times New Roman" w:eastAsia="Times New Roman" w:hAnsi="Times New Roman"/>
          <w:sz w:val="24"/>
          <w:szCs w:val="24"/>
        </w:rPr>
        <w:t xml:space="preserve">4.  Wireless Networks (Springer, Scopus Q2): Covers the propagation modeling and network planning aspects of this work and typically has moderate review timelines.</w:t>
      </w:r>
    </w:p>
    <w:p>
      <w:pPr>
        <w:pStyle w:val="Heading2"/>
        <w:spacing w:after="80" w:before="180"/>
      </w:pPr>
      <w:r>
        <w:rPr>
          <w:rFonts w:ascii="Times New Roman" w:cs="Times New Roman" w:eastAsia="Times New Roman" w:hAnsi="Times New Roman"/>
          <w:b/>
          <w:bCs/>
          <w:sz w:val="24"/>
          <w:szCs w:val="24"/>
        </w:rPr>
        <w:t xml:space="preserve">D.2 Potential Reviewer Concerns</w:t>
      </w:r>
    </w:p>
    <w:p>
      <w:pPr>
        <w:spacing w:after="60" w:before="60" w:line="276"/>
        <w:jc w:val="both"/>
      </w:pPr>
      <w:r>
        <w:rPr>
          <w:rFonts w:ascii="Times New Roman" w:cs="Times New Roman" w:eastAsia="Times New Roman" w:hAnsi="Times New Roman"/>
          <w:sz w:val="24"/>
          <w:szCs w:val="24"/>
        </w:rPr>
        <w:t xml:space="preserve">Concern 1 — Omnidirectional Antenna Simplification: Reviewers familiar with 5G deployment will immediately flag the use of omnidirectional antennas as unrealistic. The authors should explicitly acknowledge this limitation and, ideally, run a sensitivity check with a simple sector antenna pattern to demonstrate robustness.</w:t>
      </w:r>
    </w:p>
    <w:p>
      <w:pPr>
        <w:spacing w:after="60" w:before="60" w:line="276"/>
        <w:jc w:val="both"/>
      </w:pPr>
      <w:r>
        <w:rPr>
          <w:rFonts w:ascii="Times New Roman" w:cs="Times New Roman" w:eastAsia="Times New Roman" w:hAnsi="Times New Roman"/>
          <w:sz w:val="24"/>
          <w:szCs w:val="24"/>
        </w:rPr>
        <w:t xml:space="preserve">Concern 2 — Scalar Objective Weighting: The transition from a Pareto multi-objective problem to a scalar weighted sum will be questioned. The authors should clarify why five weight combinations are evaluated (effectively sampling the Pareto curve) and discuss the rationale for the 0.7/0.3 recommendation more rigorously.</w:t>
      </w:r>
    </w:p>
    <w:p>
      <w:pPr>
        <w:spacing w:after="60" w:before="60" w:line="276"/>
        <w:jc w:val="both"/>
      </w:pPr>
      <w:r>
        <w:rPr>
          <w:rFonts w:ascii="Times New Roman" w:cs="Times New Roman" w:eastAsia="Times New Roman" w:hAnsi="Times New Roman"/>
          <w:sz w:val="24"/>
          <w:szCs w:val="24"/>
        </w:rPr>
        <w:t xml:space="preserve">Concern 3 — Cost Coefficient Opacity: The coefficients a, b, c, p in the cost model are cited to [14] but not numerically reported. Reviewers may regard this as a reproducibility gap. The authors should either reproduce the key coefficient values or provide a sensitivity analysis showing robustness to cost model variation.</w:t>
      </w:r>
    </w:p>
    <w:p>
      <w:pPr>
        <w:spacing w:after="60" w:before="60" w:line="276"/>
        <w:jc w:val="both"/>
      </w:pPr>
      <w:r>
        <w:rPr>
          <w:rFonts w:ascii="Times New Roman" w:cs="Times New Roman" w:eastAsia="Times New Roman" w:hAnsi="Times New Roman"/>
          <w:sz w:val="24"/>
          <w:szCs w:val="24"/>
        </w:rPr>
        <w:t xml:space="preserve">Concern 4 — Single-City Generalization: The study uses one urban district. Reviewers may question whether the results generalize. The authors should include a brief analysis of how key parameters (building height distribution, user density, candidate site density) compare to other typical Asian urban environments, and argue for representativeness.</w:t>
      </w:r>
    </w:p>
    <w:p>
      <w:pPr>
        <w:spacing w:after="60" w:before="60" w:line="276"/>
        <w:jc w:val="both"/>
      </w:pPr>
      <w:r>
        <w:rPr>
          <w:rFonts w:ascii="Times New Roman" w:cs="Times New Roman" w:eastAsia="Times New Roman" w:hAnsi="Times New Roman"/>
          <w:sz w:val="24"/>
          <w:szCs w:val="24"/>
        </w:rPr>
        <w:t xml:space="preserve">Concern 5 — Ablation of DAQGA Components: Reviewers may expect an ablation study isolating the contribution of each DAQGA enhancement (microhabitat vs. adaptive angle vs. catastrophe) rather than only comparing DAQGA against other algorithms. This would substantially strengthen the algorithmic contribution.</w:t>
      </w:r>
    </w:p>
    <w:p>
      <w:pPr>
        <w:pStyle w:val="Heading2"/>
        <w:spacing w:after="80" w:before="180"/>
      </w:pPr>
      <w:r>
        <w:rPr>
          <w:rFonts w:ascii="Times New Roman" w:cs="Times New Roman" w:eastAsia="Times New Roman" w:hAnsi="Times New Roman"/>
          <w:b/>
          <w:bCs/>
          <w:sz w:val="24"/>
          <w:szCs w:val="24"/>
        </w:rPr>
        <w:t xml:space="preserve">D.3 Future Research Directions</w:t>
      </w:r>
    </w:p>
    <w:p>
      <w:pPr>
        <w:pStyle w:val="ListParagraph"/>
        <w:numPr>
          <w:ilvl w:val="0"/>
          <w:numId w:val="2"/>
        </w:numPr>
        <w:spacing w:after="40" w:before="40"/>
      </w:pPr>
      <w:r>
        <w:rPr>
          <w:rFonts w:ascii="Times New Roman" w:cs="Times New Roman" w:eastAsia="Times New Roman" w:hAnsi="Times New Roman"/>
          <w:sz w:val="24"/>
          <w:szCs w:val="24"/>
        </w:rPr>
        <w:t xml:space="preserve">Multi-objective DAQGA: Reformulate as a true Pareto optimization using NSGA-II or MOEA/D to produce the full coverage-cost Pareto frontier without requiring weight pre-specification.</w:t>
      </w:r>
    </w:p>
    <w:p>
      <w:pPr>
        <w:pStyle w:val="ListParagraph"/>
        <w:numPr>
          <w:ilvl w:val="0"/>
          <w:numId w:val="2"/>
        </w:numPr>
        <w:spacing w:after="40" w:before="40"/>
      </w:pPr>
      <w:r>
        <w:rPr>
          <w:rFonts w:ascii="Times New Roman" w:cs="Times New Roman" w:eastAsia="Times New Roman" w:hAnsi="Times New Roman"/>
          <w:sz w:val="24"/>
          <w:szCs w:val="24"/>
        </w:rPr>
        <w:t xml:space="preserve">Directional Antenna Modeling: Replace omnidirectional antennas with realistic 3GPP 5G NR sector antenna patterns and add azimuth/tilt to the optimization variable set.</w:t>
      </w:r>
    </w:p>
    <w:p>
      <w:pPr>
        <w:pStyle w:val="ListParagraph"/>
        <w:numPr>
          <w:ilvl w:val="0"/>
          <w:numId w:val="2"/>
        </w:numPr>
        <w:spacing w:after="40" w:before="40"/>
      </w:pPr>
      <w:r>
        <w:rPr>
          <w:rFonts w:ascii="Times New Roman" w:cs="Times New Roman" w:eastAsia="Times New Roman" w:hAnsi="Times New Roman"/>
          <w:sz w:val="24"/>
          <w:szCs w:val="24"/>
        </w:rPr>
        <w:t xml:space="preserve">Heterogeneous Network Extension: Integrate macro and micro base station types with different power levels, equipment costs, and coverage models.</w:t>
      </w:r>
    </w:p>
    <w:p>
      <w:pPr>
        <w:pStyle w:val="ListParagraph"/>
        <w:numPr>
          <w:ilvl w:val="0"/>
          <w:numId w:val="2"/>
        </w:numPr>
        <w:spacing w:after="40" w:before="40"/>
      </w:pPr>
      <w:r>
        <w:rPr>
          <w:rFonts w:ascii="Times New Roman" w:cs="Times New Roman" w:eastAsia="Times New Roman" w:hAnsi="Times New Roman"/>
          <w:sz w:val="24"/>
          <w:szCs w:val="24"/>
        </w:rPr>
        <w:t xml:space="preserve">mmWave Adaptation: Reconfigure the propagation model for 26/28 GHz bands with near-zero diffraction, higher material absorption, and LoS-dominated coverage geometries.</w:t>
      </w:r>
    </w:p>
    <w:p>
      <w:pPr>
        <w:pStyle w:val="ListParagraph"/>
        <w:numPr>
          <w:ilvl w:val="0"/>
          <w:numId w:val="2"/>
        </w:numPr>
        <w:spacing w:after="40" w:before="40"/>
      </w:pPr>
      <w:r>
        <w:rPr>
          <w:rFonts w:ascii="Times New Roman" w:cs="Times New Roman" w:eastAsia="Times New Roman" w:hAnsi="Times New Roman"/>
          <w:sz w:val="24"/>
          <w:szCs w:val="24"/>
        </w:rPr>
        <w:t xml:space="preserve">Energy Efficiency Objective: Add base station power consumption and renewable energy supply (solar/wind) as additional objective dimensions, extending the framework toward green network planning.</w:t>
      </w:r>
    </w:p>
    <w:p>
      <w:pPr>
        <w:pStyle w:val="ListParagraph"/>
        <w:numPr>
          <w:ilvl w:val="0"/>
          <w:numId w:val="2"/>
        </w:numPr>
        <w:spacing w:after="40" w:before="40"/>
      </w:pPr>
      <w:r>
        <w:rPr>
          <w:rFonts w:ascii="Times New Roman" w:cs="Times New Roman" w:eastAsia="Times New Roman" w:hAnsi="Times New Roman"/>
          <w:sz w:val="24"/>
          <w:szCs w:val="24"/>
        </w:rPr>
        <w:t xml:space="preserve">Dynamic Traffic Modeling: Replace the static annual-average user distribution with time-varying occupancy models to optimize for day/night traffic asymmetry and special events.</w:t>
      </w:r>
    </w:p>
    <w:p>
      <w:pPr>
        <w:pBdr>
          <w:bottom w:val="single" w:color="AAAAAA" w:sz="2" w:space="1"/>
        </w:pBdr>
        <w:spacing w:after="200" w:before="200"/>
      </w:pPr>
    </w:p>
    <w:p>
      <w:pPr>
        <w:spacing w:after="160" w:before="100"/>
        <w:jc w:val="center"/>
      </w:pPr>
      <w:r>
        <w:rPr>
          <w:rFonts w:ascii="Times New Roman" w:cs="Times New Roman" w:eastAsia="Times New Roman" w:hAnsi="Times New Roman"/>
          <w:b/>
          <w:bCs/>
          <w:color w:val="2E4057"/>
          <w:sz w:val="28"/>
          <w:szCs w:val="28"/>
        </w:rPr>
        <w:t xml:space="preserve">PART E: FINAL QUALITY ASSESSMENT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400"/>
      </w:tblGrid>
      <w:tr>
        <w:tc>
          <w:tcPr>
            <w:tcW w:type="dxa" w:w="36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Dimension</w:t>
            </w:r>
          </w:p>
        </w:tc>
        <w:tc>
          <w:tcPr>
            <w:tcW w:type="dxa" w:w="12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Score</w:t>
            </w:r>
          </w:p>
        </w:tc>
        <w:tc>
          <w:tcPr>
            <w:tcW w:type="dxa" w:w="2400"/>
            <w:tcBorders>
              <w:top w:val="single" w:color="999999" w:sz="1"/>
              <w:left w:val="single" w:color="999999" w:sz="1"/>
              <w:bottom w:val="single" w:color="999999" w:sz="1"/>
              <w:right w:val="single" w:color="999999" w:sz="1"/>
            </w:tcBorders>
            <w:shd w:fill="2E4057"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Novelty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7.5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First QGA-based 3D BS placement with real city data + cost modeling. DAQGA enhancements are non-trivial but individually incremental.</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Technical Depth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7.0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SBR + ITU models are rigorous; omnidirectional antenna and scalar objective are significant simplifications.</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Methodology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7.5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Multi-stage filtering, real demographic data, and NASA/OpenCellID sourcing are commendable. Catastrophe trigger and microhabitat formula need explicit specification.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Writing Quality (original)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5.5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Structurally coherent but marred by AI-pattern phrasing, heading typos, placeholder figure references, and duplicate equation numbering.</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Writing Quality (revised)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8.5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After full rewrite: natural academic register, no AI patterns, complete equation set, proper Discussion section added.</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Publication Readiness (original)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submission-ready: missing equations, writing issues, no Discussion section.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Publication Readiness (revised)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8.0 / 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Submission-ready for Q2/Q3 Scopus journal after authors reinsert figures and verify cost coefficients.</w:t>
            </w:r>
          </w:p>
        </w:tc>
      </w:tr>
    </w:tbl>
    <w:p>
      <w:pPr>
        <w:spacing w:after="60" w:before="60"/>
      </w:pPr>
      <w:r>
        <w:t xml:space="preserve"/>
      </w:r>
    </w:p>
    <w:p>
      <w:pPr>
        <w:spacing w:after="60" w:before="60" w:line="276"/>
        <w:jc w:val="both"/>
      </w:pPr>
      <w:r>
        <w:rPr>
          <w:rFonts w:ascii="Times New Roman" w:cs="Times New Roman" w:eastAsia="Times New Roman" w:hAnsi="Times New Roman"/>
          <w:sz w:val="24"/>
          <w:szCs w:val="24"/>
        </w:rPr>
        <w:t xml:space="preserve">Summary: This paper addresses a genuine research gap and implements a technically sound methodology grounded in real geographic and demographic data. The DAQGA algorithm's multi-component design is well-motivated and its empirical performance advantage is statistically verified. With the revisions incorporated in this report — complete mathematical formulation, eliminated writing quality issues, added Discussion section, and resolved notation inconsistencies — the manuscript is well-positioned for acceptance at a mid-tier IEEE or Elsevier communications or sustainable cities journal.</w:t>
      </w:r>
    </w:p>
    <w:p>
      <w:pPr>
        <w:spacing w:after="60" w:before="60"/>
      </w:pPr>
      <w:r>
        <w:t xml:space="preserve"/>
      </w:r>
    </w:p>
    <w:p>
      <w:pPr>
        <w:spacing w:after="60" w:before="60" w:line="276"/>
        <w:jc w:val="both"/>
      </w:pPr>
      <w:r>
        <w:rPr>
          <w:rFonts w:ascii="Times New Roman" w:cs="Times New Roman" w:eastAsia="Times New Roman" w:hAnsi="Times New Roman"/>
          <w:sz w:val="24"/>
          <w:szCs w:val="24"/>
        </w:rPr>
        <w:t xml:space="preserve">Reviewer signature: [IEEE Senior Reviewer] | Review completed: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2026-06-14T12:08:27.314Z</dcterms:created>
  <dcterms:modified xsi:type="dcterms:W3CDTF">2026-06-14T12:08:27.330Z</dcterms:modified>
</cp:coreProperties>
</file>

<file path=docProps/custom.xml><?xml version="1.0" encoding="utf-8"?>
<Properties xmlns="http://schemas.openxmlformats.org/officeDocument/2006/custom-properties" xmlns:vt="http://schemas.openxmlformats.org/officeDocument/2006/docPropsVTypes"/>
</file>