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4vjlk6f8ro" w:id="0"/>
      <w:bookmarkEnd w:id="0"/>
      <w:r w:rsidDel="00000000" w:rsidR="00000000" w:rsidRPr="00000000">
        <w:rPr>
          <w:rtl w:val="0"/>
        </w:rPr>
        <w:t xml:space="preserve">IF-PHYS Physical Interface and Port Access Mapping Table #### 1. Functional Group Overview: Physical Interface IF-PHYS The IF-PHYS functional group defines the parameters and programmatic methods required to manage, configure, and tune physical hardware ports on a network element. This document provides a standardized mapping across five target Network Operating Systems (NOS) as required by the technical directive: * Cisco IOS-XE * Cisco NX-OS * Extreme Switch Engine (EXOS) * Fabric Engine (VOSS) * SLX-OS ##### 1.1 Naming Convention Transitions Starting with Release 31.6, Extreme Networks updated its nomenclature for Network Operating Systems. </w:t>
      </w:r>
      <w:r w:rsidDel="00000000" w:rsidR="00000000" w:rsidRPr="00000000">
        <w:rPr>
          <w:b w:val="1"/>
          <w:bCs w:val="1"/>
          <w:rtl w:val="0"/>
        </w:rPr>
        <w:t xml:space="preserve">ExtremeXOS (EXOS)</w:t>
      </w:r>
      <w:r w:rsidDel="00000000" w:rsidR="00000000" w:rsidRPr="00000000">
        <w:rPr>
          <w:rtl w:val="0"/>
        </w:rPr>
        <w:t xml:space="preserve"> was renamed to </w:t>
      </w:r>
      <w:r w:rsidDel="00000000" w:rsidR="00000000" w:rsidRPr="00000000">
        <w:rPr>
          <w:b w:val="1"/>
          <w:bCs w:val="1"/>
          <w:rtl w:val="0"/>
        </w:rPr>
        <w:t xml:space="preserve">Switch Engine</w:t>
      </w:r>
      <w:r w:rsidDel="00000000" w:rsidR="00000000" w:rsidRPr="00000000">
        <w:rPr>
          <w:rtl w:val="0"/>
        </w:rPr>
        <w:t xml:space="preserve"> , and </w:t>
      </w:r>
      <w:r w:rsidDel="00000000" w:rsidR="00000000" w:rsidRPr="00000000">
        <w:rPr>
          <w:b w:val="1"/>
          <w:bCs w:val="1"/>
          <w:rtl w:val="0"/>
        </w:rPr>
        <w:t xml:space="preserve">VSP Operating System Software (VOSS)</w:t>
      </w:r>
      <w:r w:rsidDel="00000000" w:rsidR="00000000" w:rsidRPr="00000000">
        <w:rPr>
          <w:rtl w:val="0"/>
        </w:rPr>
        <w:t xml:space="preserve"> was renamed to </w:t>
      </w:r>
      <w:r w:rsidDel="00000000" w:rsidR="00000000" w:rsidRPr="00000000">
        <w:rPr>
          <w:b w:val="1"/>
          <w:bCs w:val="1"/>
          <w:rtl w:val="0"/>
        </w:rPr>
        <w:t xml:space="preserve">Fabric Engine</w:t>
      </w:r>
      <w:r w:rsidDel="00000000" w:rsidR="00000000" w:rsidRPr="00000000">
        <w:rPr>
          <w:rtl w:val="0"/>
        </w:rPr>
        <w:t xml:space="preserve"> . This reference uses the modern naming conventions while maintaining backwards compatibility with legacy command logic found in the Switch Engine v33.1.1 codebase. #### 2. NOS Command Mapping Table This mapping facilitates configuration consistency during multi-vendor migrations and unified policy application across disparate hardware architectures. | Configuration Feature | Cisco Systems (IOS-XE / NX-OS) | Extreme Switch Engine (EXOS) | Fabric Engine (VOSS) | SLX-OS | | ------ | ------ | ------ | ------ | ------ | | </w:t>
      </w:r>
      <w:r w:rsidDel="00000000" w:rsidR="00000000" w:rsidRPr="00000000">
        <w:rPr>
          <w:b w:val="1"/>
          <w:bCs w:val="1"/>
          <w:rtl w:val="0"/>
        </w:rPr>
        <w:t xml:space="preserve">Administrative Port Naming and Description</w:t>
      </w:r>
      <w:r w:rsidDel="00000000" w:rsidR="00000000" w:rsidRPr="00000000">
        <w:rPr>
          <w:rtl w:val="0"/>
        </w:rPr>
        <w:t xml:space="preserve"> | Command not present in source context. | configure port description-string</w:t>
      </w:r>
    </w:p>
    <w:p w:rsidR="00000000" w:rsidDel="00000000" w:rsidP="00000000" w:rsidRDefault="00000000" w:rsidRPr="00000000" w14:paraId="00000002">
      <w:pPr>
        <w:rPr/>
      </w:pPr>
      <w:r w:rsidDel="00000000" w:rsidR="00000000" w:rsidRPr="00000000">
        <w:rPr>
          <w:rtl w:val="0"/>
        </w:rPr>
        <w:t xml:space="preserve">configure ports display-string | Command not present in source context. | Command not present in source context. | | </w:t>
      </w:r>
      <w:r w:rsidDel="00000000" w:rsidR="00000000" w:rsidRPr="00000000">
        <w:rPr>
          <w:b w:val="1"/>
          <w:bCs w:val="1"/>
          <w:rtl w:val="0"/>
        </w:rPr>
        <w:t xml:space="preserve">Speed and Duplex Configuration</w:t>
      </w:r>
      <w:r w:rsidDel="00000000" w:rsidR="00000000" w:rsidRPr="00000000">
        <w:rPr>
          <w:rtl w:val="0"/>
        </w:rPr>
        <w:t xml:space="preserve"> | Command not present in source context. | configure ports auto off \| onconfigure ports auto 1G-optics-in-10G-ports | Command not present in source context. | Command not present in source context. | | </w:t>
      </w:r>
      <w:r w:rsidDel="00000000" w:rsidR="00000000" w:rsidRPr="00000000">
        <w:rPr>
          <w:b w:val="1"/>
          <w:bCs w:val="1"/>
          <w:rtl w:val="0"/>
        </w:rPr>
        <w:t xml:space="preserve">Breakout / Port Partitioning</w:t>
      </w:r>
      <w:r w:rsidDel="00000000" w:rsidR="00000000" w:rsidRPr="00000000">
        <w:rPr>
          <w:rtl w:val="0"/>
        </w:rPr>
        <w:t xml:space="preserve"> | Command not present in source context. | configure ports partition | Command not present in source context. | Command not present in source context. | | </w:t>
      </w:r>
      <w:r w:rsidDel="00000000" w:rsidR="00000000" w:rsidRPr="00000000">
        <w:rPr>
          <w:b w:val="1"/>
          <w:bCs w:val="1"/>
          <w:rtl w:val="0"/>
        </w:rPr>
        <w:t xml:space="preserve">Administrative State Management</w:t>
      </w:r>
      <w:r w:rsidDel="00000000" w:rsidR="00000000" w:rsidRPr="00000000">
        <w:rPr>
          <w:rtl w:val="0"/>
        </w:rPr>
        <w:t xml:space="preserve"> | Command not present in source context. | enable portdisable port | Command not present in source context. | Command not present in source context. | | </w:t>
      </w:r>
      <w:r w:rsidDel="00000000" w:rsidR="00000000" w:rsidRPr="00000000">
        <w:rPr>
          <w:b w:val="1"/>
          <w:bCs w:val="1"/>
          <w:rtl w:val="0"/>
        </w:rPr>
        <w:t xml:space="preserve">Physical Layer Convergence and MTU Configuration</w:t>
      </w:r>
      <w:r w:rsidDel="00000000" w:rsidR="00000000" w:rsidRPr="00000000">
        <w:rPr>
          <w:rtl w:val="0"/>
        </w:rPr>
        <w:t xml:space="preserve"> | Command not present in source context. | configure ports debounce timeconfigure jumbo-frame-size | Command not present in source context. | Command not present in source context. | #### 3. Port Numbering and Syntax Logic Hardware-specific port identification is required for all administrative tasks. Switch Engine utilizes a numerical system that adapts to both stand-alone and stacked architectural configurations. ##### 3.1 Stand-alone Switches Port identification relies on numerical ranges to specify individual or grouped interfaces: * </w:t>
      </w:r>
      <w:r w:rsidDel="00000000" w:rsidR="00000000" w:rsidRPr="00000000">
        <w:rPr>
          <w:b w:val="1"/>
          <w:bCs w:val="1"/>
          <w:rtl w:val="0"/>
        </w:rPr>
        <w:t xml:space="preserve">Contiguous Range:</w:t>
      </w:r>
      <w:r w:rsidDel="00000000" w:rsidR="00000000" w:rsidRPr="00000000">
        <w:rPr>
          <w:rtl w:val="0"/>
        </w:rPr>
        <w:t xml:space="preserve"> Identified by a dash (x-y), such as 1-10. * </w:t>
      </w:r>
      <w:r w:rsidDel="00000000" w:rsidR="00000000" w:rsidRPr="00000000">
        <w:rPr>
          <w:b w:val="1"/>
          <w:bCs w:val="1"/>
          <w:rtl w:val="0"/>
        </w:rPr>
        <w:t xml:space="preserve">Non-contiguous Series:</w:t>
      </w:r>
      <w:r w:rsidDel="00000000" w:rsidR="00000000" w:rsidRPr="00000000">
        <w:rPr>
          <w:rtl w:val="0"/>
        </w:rPr>
        <w:t xml:space="preserve"> Identified by a comma (,), such as 1,5. * </w:t>
      </w:r>
      <w:r w:rsidDel="00000000" w:rsidR="00000000" w:rsidRPr="00000000">
        <w:rPr>
          <w:b w:val="1"/>
          <w:bCs w:val="1"/>
          <w:rtl w:val="0"/>
        </w:rPr>
        <w:t xml:space="preserve">Mixed Series:</w:t>
      </w:r>
      <w:r w:rsidDel="00000000" w:rsidR="00000000" w:rsidRPr="00000000">
        <w:rPr>
          <w:rtl w:val="0"/>
        </w:rPr>
        <w:t xml:space="preserve"> Comprising both contiguous and non-contiguous series, such as 1-5,7,10. ##### 3.2 Stacked Configurations (SummitStack) For SummitStack environments, which support a combination of </w:t>
      </w:r>
      <w:r w:rsidDel="00000000" w:rsidR="00000000" w:rsidRPr="00000000">
        <w:rPr>
          <w:b w:val="1"/>
          <w:bCs w:val="1"/>
          <w:rtl w:val="0"/>
        </w:rPr>
        <w:t xml:space="preserve">up to eight</w:t>
      </w:r>
      <w:r w:rsidDel="00000000" w:rsidR="00000000" w:rsidRPr="00000000">
        <w:rPr>
          <w:rtl w:val="0"/>
        </w:rPr>
        <w:t xml:space="preserve"> switches, identification uses a slot-based nomenclature (slot:port): * </w:t>
      </w:r>
      <w:r w:rsidDel="00000000" w:rsidR="00000000" w:rsidRPr="00000000">
        <w:rPr>
          <w:b w:val="1"/>
          <w:bCs w:val="1"/>
          <w:rtl w:val="0"/>
        </w:rPr>
        <w:t xml:space="preserve">Single Port:</w:t>
      </w:r>
      <w:r w:rsidDel="00000000" w:rsidR="00000000" w:rsidRPr="00000000">
        <w:rPr>
          <w:rtl w:val="0"/>
        </w:rPr>
        <w:t xml:space="preserve"> slot:port (e.g., 2:1 specifies Port 1 on Slot 2). * </w:t>
      </w:r>
      <w:r w:rsidDel="00000000" w:rsidR="00000000" w:rsidRPr="00000000">
        <w:rPr>
          <w:b w:val="1"/>
          <w:bCs w:val="1"/>
          <w:rtl w:val="0"/>
        </w:rPr>
        <w:t xml:space="preserve">Full Slot Identification:</w:t>
      </w:r>
      <w:r w:rsidDel="00000000" w:rsidR="00000000" w:rsidRPr="00000000">
        <w:rPr>
          <w:rtl w:val="0"/>
        </w:rPr>
        <w:t xml:space="preserve"> slot:* specifies every port on a specific switch within the stack. * </w:t>
      </w:r>
      <w:r w:rsidDel="00000000" w:rsidR="00000000" w:rsidRPr="00000000">
        <w:rPr>
          <w:b w:val="1"/>
          <w:bCs w:val="1"/>
          <w:rtl w:val="0"/>
        </w:rPr>
        <w:t xml:space="preserve">Cross-Slot Ranges:</w:t>
      </w:r>
      <w:r w:rsidDel="00000000" w:rsidR="00000000" w:rsidRPr="00000000">
        <w:rPr>
          <w:rtl w:val="0"/>
        </w:rPr>
        <w:t xml:space="preserve"> Contiguous ports spanning multiple units are identified as slota:x-slotb:y. ##### 3.3 Channelized Ports Multi-level identification is used for ports partitioned into sub-channels. This is supported on the 4120, 5720, 7520, and 7720 series: * </w:t>
      </w:r>
      <w:r w:rsidDel="00000000" w:rsidR="00000000" w:rsidRPr="00000000">
        <w:rPr>
          <w:b w:val="1"/>
          <w:bCs w:val="1"/>
          <w:rtl w:val="0"/>
        </w:rPr>
        <w:t xml:space="preserve">Stand-alone Syntax:</w:t>
      </w:r>
      <w:r w:rsidDel="00000000" w:rsidR="00000000" w:rsidRPr="00000000">
        <w:rPr>
          <w:rtl w:val="0"/>
        </w:rPr>
        <w:t xml:space="preserve"> Port:Channel (e.g., 49:4). * </w:t>
      </w:r>
      <w:r w:rsidDel="00000000" w:rsidR="00000000" w:rsidRPr="00000000">
        <w:rPr>
          <w:b w:val="1"/>
          <w:bCs w:val="1"/>
          <w:rtl w:val="0"/>
        </w:rPr>
        <w:t xml:space="preserve">Stacked Syntax:</w:t>
      </w:r>
      <w:r w:rsidDel="00000000" w:rsidR="00000000" w:rsidRPr="00000000">
        <w:rPr>
          <w:rtl w:val="0"/>
        </w:rPr>
        <w:t xml:space="preserve"> Slot:Port:Channel (e.g., 2:49:4). #### 4. Interface Programmability Context While traditional CLI remains the primary interface for manual configuration (see Section 2), NX-OS facilitates large-scale automation through Programmable Interface Agents. These agents process requests via YANG data models, converting them into abstract message objects to interact with the device datastore. </w:t>
      </w:r>
      <w:r w:rsidDel="00000000" w:rsidR="00000000" w:rsidRPr="00000000">
        <w:rPr>
          <w:b w:val="1"/>
          <w:bCs w:val="1"/>
          <w:rtl w:val="0"/>
        </w:rPr>
        <w:t xml:space="preserve">NX-OS Programmable Interface Agents:</w:t>
      </w:r>
      <w:r w:rsidDel="00000000" w:rsidR="00000000" w:rsidRPr="00000000">
        <w:rPr>
          <w:rtl w:val="0"/>
        </w:rPr>
        <w:t xml:space="preserve"> * </w:t>
      </w:r>
      <w:r w:rsidDel="00000000" w:rsidR="00000000" w:rsidRPr="00000000">
        <w:rPr>
          <w:b w:val="1"/>
          <w:bCs w:val="1"/>
          <w:rtl w:val="0"/>
        </w:rPr>
        <w:t xml:space="preserve">NETCONF:</w:t>
      </w:r>
      <w:r w:rsidDel="00000000" w:rsidR="00000000" w:rsidRPr="00000000">
        <w:rPr>
          <w:rtl w:val="0"/>
        </w:rPr>
        <w:t xml:space="preserve"> Utilizes SSH transport with XML encoding. * </w:t>
      </w:r>
      <w:r w:rsidDel="00000000" w:rsidR="00000000" w:rsidRPr="00000000">
        <w:rPr>
          <w:b w:val="1"/>
          <w:bCs w:val="1"/>
          <w:rtl w:val="0"/>
        </w:rPr>
        <w:t xml:space="preserve">RESTCONF:</w:t>
      </w:r>
      <w:r w:rsidDel="00000000" w:rsidR="00000000" w:rsidRPr="00000000">
        <w:rPr>
          <w:rtl w:val="0"/>
        </w:rPr>
        <w:t xml:space="preserve"> Utilizes HTTP transport with XML or JSON encoding. * </w:t>
      </w:r>
      <w:r w:rsidDel="00000000" w:rsidR="00000000" w:rsidRPr="00000000">
        <w:rPr>
          <w:b w:val="1"/>
          <w:bCs w:val="1"/>
          <w:rtl w:val="0"/>
        </w:rPr>
        <w:t xml:space="preserve">gRPC:</w:t>
      </w:r>
      <w:r w:rsidDel="00000000" w:rsidR="00000000" w:rsidRPr="00000000">
        <w:rPr>
          <w:rtl w:val="0"/>
        </w:rPr>
        <w:t xml:space="preserve"> Utilizes HTTP transport with Google Protobuf encoding. #### 5. Implementation Guidelines and Restrictions ##### 5.1 System Restrictions * </w:t>
      </w:r>
      <w:r w:rsidDel="00000000" w:rsidR="00000000" w:rsidRPr="00000000">
        <w:rPr>
          <w:b w:val="1"/>
          <w:bCs w:val="1"/>
          <w:rtl w:val="0"/>
        </w:rPr>
        <w:t xml:space="preserve">XML Reserved Characters:</w:t>
      </w:r>
      <w:r w:rsidDel="00000000" w:rsidR="00000000" w:rsidRPr="00000000">
        <w:rPr>
          <w:rtl w:val="0"/>
        </w:rPr>
        <w:t xml:space="preserve"> The ampersand (&amp;), left angle bracket (&lt;), and right angle bracket (&gt;) are strictly prohibited in configurations. These are reserved characters with special meaning in XML and will cause processing errors. * </w:t>
      </w:r>
      <w:r w:rsidDel="00000000" w:rsidR="00000000" w:rsidRPr="00000000">
        <w:rPr>
          <w:b w:val="1"/>
          <w:bCs w:val="1"/>
          <w:rtl w:val="0"/>
        </w:rPr>
        <w:t xml:space="preserve">Object Naming Standards:</w:t>
      </w:r>
      <w:r w:rsidDel="00000000" w:rsidR="00000000" w:rsidRPr="00000000">
        <w:rPr>
          <w:rtl w:val="0"/>
        </w:rPr>
        <w:t xml:space="preserve"> When creating components such as VLANs or profiles, names must: * Begin with an alphabetical character. * Consist solely of alphanumeric characters or underscores (_). * Exclude all spaces. * Be limited to a maximum of 32 characters. ##### 5.2 CLI Verification and Syntax Tools The CLI provides a 'Syntax Helper' (Tab completion). Pressing Tab displays available options or completes the names of existing components. Additionally, the system supports 'Abbreviated Syntax,' allowing administrators to enter the shortest unambiguous version of a command (typically the first three letters). ##### 5.3 Syntax Symbol Reference The following table defines the logic used in documentation and CLI help strings to describe command requirements: | Symbol | Description | | ------ | ------ | | </w:t>
      </w:r>
      <w:r w:rsidDel="00000000" w:rsidR="00000000" w:rsidRPr="00000000">
        <w:rPr>
          <w:b w:val="1"/>
          <w:bCs w:val="1"/>
          <w:rtl w:val="0"/>
        </w:rPr>
        <w:t xml:space="preserve">Square Brackets </w:t>
      </w:r>
      <w:r w:rsidDel="00000000" w:rsidR="00000000" w:rsidRPr="00000000">
        <w:rPr>
          <w:rtl w:val="0"/>
        </w:rPr>
        <w:t xml:space="preserve"> | Enclose a required value or a list of required arguments. One or more values must be provided. | | </w:t>
      </w:r>
      <w:r w:rsidDel="00000000" w:rsidR="00000000" w:rsidRPr="00000000">
        <w:rPr>
          <w:b w:val="1"/>
          <w:bCs w:val="1"/>
          <w:rtl w:val="0"/>
        </w:rPr>
        <w:t xml:space="preserve">Braces { }</w:t>
      </w:r>
      <w:r w:rsidDel="00000000" w:rsidR="00000000" w:rsidRPr="00000000">
        <w:rPr>
          <w:rtl w:val="0"/>
        </w:rPr>
        <w:t xml:space="preserve"> | Enclose an optional value or a list of optional arguments. | | </w:t>
      </w:r>
      <w:r w:rsidDel="00000000" w:rsidR="00000000" w:rsidRPr="00000000">
        <w:rPr>
          <w:b w:val="1"/>
          <w:bCs w:val="1"/>
          <w:rtl w:val="0"/>
        </w:rPr>
        <w:t xml:space="preserve">Vertical Bar \|</w:t>
      </w:r>
      <w:r w:rsidDel="00000000" w:rsidR="00000000" w:rsidRPr="00000000">
        <w:rPr>
          <w:rtl w:val="0"/>
        </w:rPr>
        <w:t xml:space="preserve"> | Separates mutually exclusive items in a list; one of the specified items must be entered.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