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31D53">
      <w:pPr>
        <w:jc w:val="center"/>
        <w:rPr>
          <w:b/>
          <w:caps/>
        </w:rPr>
      </w:pPr>
      <w:r>
        <w:rPr>
          <w:b/>
          <w:caps/>
        </w:rPr>
        <w:t>Соглашение о конфиденциальности</w:t>
      </w:r>
    </w:p>
    <w:p w14:paraId="01E720E9">
      <w:pPr>
        <w:jc w:val="center"/>
      </w:pPr>
    </w:p>
    <w:p w14:paraId="31744715">
      <w:pPr>
        <w:jc w:val="both"/>
      </w:pPr>
      <w:r>
        <w:t xml:space="preserve">г. Ташкент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t>«___» ____20</w:t>
      </w:r>
      <w:r>
        <w:rPr>
          <w:rFonts w:hint="default"/>
          <w:lang w:val="en-US"/>
        </w:rPr>
        <w:t>24</w:t>
      </w:r>
      <w:r>
        <w:t xml:space="preserve"> г.</w:t>
      </w:r>
    </w:p>
    <w:p w14:paraId="2D923C23">
      <w:pPr>
        <w:jc w:val="both"/>
      </w:pPr>
    </w:p>
    <w:p w14:paraId="0707345B">
      <w:pPr>
        <w:ind w:firstLine="708"/>
        <w:jc w:val="left"/>
      </w:pPr>
      <w:r>
        <w:rPr>
          <w:b/>
          <w:sz w:val="26"/>
          <w:szCs w:val="26"/>
          <w:lang w:val="en-US"/>
        </w:rPr>
        <w:t>OOO</w:t>
      </w:r>
      <w:r>
        <w:rPr>
          <w:b/>
          <w:sz w:val="26"/>
          <w:szCs w:val="26"/>
        </w:rPr>
        <w:t>«</w:t>
      </w:r>
      <w:r>
        <w:rPr>
          <w:b/>
          <w:sz w:val="26"/>
          <w:szCs w:val="26"/>
          <w:lang w:val="en-US"/>
        </w:rPr>
        <w:t>BREND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TO</w:t>
      </w:r>
      <w:r>
        <w:rPr>
          <w:b/>
          <w:sz w:val="26"/>
          <w:szCs w:val="26"/>
        </w:rPr>
        <w:t>’</w:t>
      </w:r>
      <w:r>
        <w:rPr>
          <w:b/>
          <w:sz w:val="26"/>
          <w:szCs w:val="26"/>
          <w:lang w:val="en-US"/>
        </w:rPr>
        <w:t>LOV</w:t>
      </w:r>
      <w:r>
        <w:rPr>
          <w:b/>
          <w:sz w:val="26"/>
          <w:szCs w:val="26"/>
        </w:rPr>
        <w:t>»</w:t>
      </w:r>
      <w:r>
        <w:t xml:space="preserve">,именуемый в дальнейшем </w:t>
      </w:r>
      <w:r>
        <w:rPr>
          <w:color w:val="000000"/>
        </w:rPr>
        <w:t>«Сторона 1»</w:t>
      </w:r>
      <w:r>
        <w:t>, в</w:t>
      </w:r>
      <w:r>
        <w:rPr>
          <w:rFonts w:hint="default"/>
          <w:lang w:val="en-US"/>
        </w:rPr>
        <w:t xml:space="preserve"> </w:t>
      </w:r>
      <w:r>
        <w:t>лице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6"/>
          <w:szCs w:val="26"/>
        </w:rPr>
        <w:t>Мирзаев</w:t>
      </w:r>
      <w:r>
        <w:rPr>
          <w:rFonts w:hint="default"/>
          <w:sz w:val="26"/>
          <w:szCs w:val="26"/>
          <w:lang w:val="en-US"/>
        </w:rPr>
        <w:t>a</w:t>
      </w:r>
      <w:r>
        <w:rPr>
          <w:rFonts w:hint="default"/>
          <w:sz w:val="26"/>
          <w:szCs w:val="26"/>
        </w:rPr>
        <w:t xml:space="preserve"> Музаффар</w:t>
      </w:r>
      <w:r>
        <w:rPr>
          <w:sz w:val="26"/>
          <w:szCs w:val="26"/>
        </w:rPr>
        <w:t>а</w:t>
      </w:r>
      <w:r>
        <w:rPr>
          <w:rFonts w:hint="default"/>
          <w:sz w:val="26"/>
          <w:szCs w:val="26"/>
        </w:rPr>
        <w:t xml:space="preserve"> Абдуманнопович</w:t>
      </w:r>
      <w:r>
        <w:rPr>
          <w:sz w:val="26"/>
          <w:szCs w:val="26"/>
        </w:rPr>
        <w:t>а</w:t>
      </w:r>
      <w:r>
        <w:t xml:space="preserve"> действующего (ей) на основании </w:t>
      </w:r>
      <w:r>
        <w:rPr>
          <w:lang w:val="uz-Cyrl-UZ"/>
        </w:rPr>
        <w:t>доверность</w:t>
      </w:r>
      <w:r>
        <w:t xml:space="preserve">,  и АКБ «Узпромстройбанк» именуемое в дальнейшем «Сторона 2», в лице заместителя Председателя Правления </w:t>
      </w:r>
      <w:r>
        <w:rPr>
          <w:lang w:val="uz-Cyrl-UZ"/>
        </w:rPr>
        <w:t>С.</w:t>
      </w:r>
      <w:r>
        <w:t xml:space="preserve">Абдувалиев., действующего на основании </w:t>
      </w:r>
      <w:r>
        <w:rPr>
          <w:spacing w:val="-4"/>
          <w:lang w:val="uz-Cyrl-UZ"/>
        </w:rPr>
        <w:t xml:space="preserve">04-07/06 </w:t>
      </w:r>
      <w:r>
        <w:t xml:space="preserve">от </w:t>
      </w:r>
      <w:r>
        <w:rPr>
          <w:spacing w:val="-4"/>
          <w:lang w:val="uz-Cyrl-UZ"/>
        </w:rPr>
        <w:t xml:space="preserve">09.01.2024 </w:t>
      </w:r>
      <w:r>
        <w:t xml:space="preserve">г., с другой стороны, вместе именуемые в дальнейшем «Стороны», в целях обеспечения конфиденциальности </w:t>
      </w:r>
      <w:bookmarkStart w:id="1" w:name="_GoBack"/>
      <w:bookmarkEnd w:id="1"/>
      <w:r>
        <w:t>информации, полученной при заключении и исполнении заключенных между собой договоров, заключили настоящее Соглашение о конфиденциальности (далее – Соглашение) о нижеследующем:</w:t>
      </w:r>
    </w:p>
    <w:p w14:paraId="4DC36246"/>
    <w:p w14:paraId="19644DD2">
      <w:pPr>
        <w:jc w:val="center"/>
        <w:rPr>
          <w:b/>
        </w:rPr>
      </w:pPr>
      <w:r>
        <w:rPr>
          <w:b/>
        </w:rPr>
        <w:t>1. ТЕРМИНЫ И ПОНЯТИЯ, ИСПОЛЬЗУЕМЫЕ В СОГЛАШЕНИИ</w:t>
      </w:r>
    </w:p>
    <w:p w14:paraId="74229DC3">
      <w:pPr>
        <w:jc w:val="center"/>
      </w:pPr>
    </w:p>
    <w:p w14:paraId="338D6814">
      <w:pPr>
        <w:jc w:val="both"/>
      </w:pPr>
      <w:r>
        <w:tab/>
      </w:r>
      <w:r>
        <w:t>1.1. Для целей Соглашения следующие термины и понятия имеют указанные ниже значения:</w:t>
      </w:r>
    </w:p>
    <w:p w14:paraId="5050C924">
      <w:pPr>
        <w:jc w:val="both"/>
      </w:pPr>
      <w:r>
        <w:tab/>
      </w:r>
      <w:r>
        <w:t xml:space="preserve">1.1.1. </w:t>
      </w:r>
      <w:r>
        <w:rPr>
          <w:b/>
          <w:i/>
        </w:rPr>
        <w:t>Конфиденциальная информация</w:t>
      </w:r>
      <w:r>
        <w:t xml:space="preserve"> - информация, определенная Сторонами или законодательством в качестве Информации, составляющей коммерческую тайну</w:t>
      </w:r>
      <w:r>
        <w:rPr>
          <w:rStyle w:val="14"/>
        </w:rPr>
        <w:t xml:space="preserve">, </w:t>
      </w:r>
      <w:r>
        <w:t>так же сведения любого характера (производственные, технические, экономические, организационные, правовые, стратегические и другие), в том числе о результатах интеллектуальной деятельности в научно-технической сфере, секреты производства (ноу-хау), а также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к которым у третьих лиц нет свободного доступа на законном основании и в отношении которых обладателем таких сведений введен режим коммерческой тайны. В целях настоящего договора к Конфиденциальной информации также относится любая информация, имеющая отношение к деятельности одной из Сторон, ставшая известной другой Стороне, являющейся в данном случае Принимающей стороной, в целях или в связи с исполнением такой Стороной своих обязательств по договору, если в отношении такой Информации у Принимающей стороны нет подтверждения, что она является общедоступной и/или была ранее раскрыта Раскрывающей стороной.</w:t>
      </w:r>
    </w:p>
    <w:p w14:paraId="04E0344F">
      <w:pPr>
        <w:jc w:val="both"/>
      </w:pPr>
      <w:r>
        <w:tab/>
      </w:r>
      <w:r>
        <w:t>1.1.2</w:t>
      </w:r>
      <w:r>
        <w:rPr>
          <w:b/>
          <w:i/>
        </w:rPr>
        <w:t>. «Раскрывающая сторона»</w:t>
      </w:r>
      <w:r>
        <w:t xml:space="preserve"> – Сторона по настоящему Соглашению, являющаяся собственником либо владельцем Конфиденциальной информации и предоставляющая Конфиденциальную информацию Принимающей стороне для использования в соответствии с целями настоящего Соглашения.</w:t>
      </w:r>
    </w:p>
    <w:p w14:paraId="123B024B">
      <w:pPr>
        <w:jc w:val="both"/>
      </w:pPr>
      <w:r>
        <w:tab/>
      </w:r>
      <w:r>
        <w:t xml:space="preserve">1.1.3. </w:t>
      </w:r>
      <w:r>
        <w:rPr>
          <w:b/>
          <w:i/>
        </w:rPr>
        <w:t>«Принимающая сторона»</w:t>
      </w:r>
      <w:r>
        <w:t xml:space="preserve"> - Сторона по настоящему Соглашению, получающая Конфиденциальную информацию или доступ к такой информации от Раскрывающей стороны в порядке и на условиях, предусмотренных настоящим Соглашением.</w:t>
      </w:r>
    </w:p>
    <w:p w14:paraId="0F5CE2FD">
      <w:pPr>
        <w:jc w:val="both"/>
      </w:pPr>
      <w:r>
        <w:tab/>
      </w:r>
      <w:r>
        <w:t xml:space="preserve">1.1.4. </w:t>
      </w:r>
      <w:r>
        <w:rPr>
          <w:b/>
          <w:i/>
        </w:rPr>
        <w:t>«Разглашение Конфиденциальной информации»</w:t>
      </w:r>
      <w:r>
        <w:t xml:space="preserve"> - несанкционированные Раскрывающей стороной действия Принимающей стороны, в результате которых Третьи лица получают возможность ознакомления с Конфиденциальной информацией. Разглашением Конфиденциальной информации признается также бездействие Принимающей стороны, выразившееся в необеспечении надлежащего уровня защиты полученной от Раскрывающей стороны Конфиденциальной информации и повлекшее получение доступа к такой информации со стороны Третьих лиц.</w:t>
      </w:r>
    </w:p>
    <w:p w14:paraId="728E29A3">
      <w:pPr>
        <w:jc w:val="both"/>
      </w:pPr>
      <w:r>
        <w:tab/>
      </w:r>
      <w:r>
        <w:t xml:space="preserve">1.1.5. </w:t>
      </w:r>
      <w:r>
        <w:rPr>
          <w:b/>
          <w:i/>
        </w:rPr>
        <w:t xml:space="preserve">«Третьи лица» </w:t>
      </w:r>
      <w:r>
        <w:t>- лица, не являющиеся Сторонами настоящего соглашения.</w:t>
      </w:r>
    </w:p>
    <w:p w14:paraId="2FE9F6E9">
      <w:pPr>
        <w:jc w:val="both"/>
      </w:pPr>
    </w:p>
    <w:p w14:paraId="56021EED">
      <w:pPr>
        <w:jc w:val="center"/>
        <w:rPr>
          <w:b/>
        </w:rPr>
      </w:pPr>
      <w:r>
        <w:rPr>
          <w:b/>
        </w:rPr>
        <w:t>2. ПЕРЕДАЧА И ЗАЩИТА КОНФИДЕНЦИАЛЬНОЙ ИНФОРМАЦИИ</w:t>
      </w:r>
    </w:p>
    <w:p w14:paraId="17CE0947">
      <w:pPr>
        <w:pStyle w:val="13"/>
      </w:pPr>
      <w:r>
        <w:tab/>
      </w:r>
      <w:r>
        <w:t xml:space="preserve">2.1. Передача Конфиденциальной информации осуществляется Раскрывающей стороной Принимающей стороне путем передачи Конфиденциальной информации на бумажном либо электронном носителе и/или иными способами. </w:t>
      </w:r>
    </w:p>
    <w:p w14:paraId="2CA38199">
      <w:pPr>
        <w:jc w:val="both"/>
      </w:pPr>
      <w:r>
        <w:tab/>
      </w:r>
      <w:r>
        <w:t>2.2. Передача Конфиденциальной информации должна сопровождаться оформлением Сторонами актов приема-передачи документов или электронных носителей информации</w:t>
      </w:r>
      <w:r>
        <w:rPr>
          <w:lang w:val="uz-Cyrl-UZ"/>
        </w:rPr>
        <w:t xml:space="preserve">. </w:t>
      </w:r>
      <w:r>
        <w:t>В указанн</w:t>
      </w:r>
      <w:r>
        <w:rPr>
          <w:lang w:val="uz-Cyrl-UZ"/>
        </w:rPr>
        <w:t xml:space="preserve">ом </w:t>
      </w:r>
      <w:r>
        <w:t xml:space="preserve"> в настоящем пункте акте</w:t>
      </w:r>
      <w:r>
        <w:rPr>
          <w:lang w:val="uz-Cyrl-UZ"/>
        </w:rPr>
        <w:t xml:space="preserve"> </w:t>
      </w:r>
      <w:r>
        <w:t>должна содержаться информация о том, что передаваемые документы являются конфиденциальными.</w:t>
      </w:r>
    </w:p>
    <w:p w14:paraId="18ADFE22">
      <w:pPr>
        <w:jc w:val="both"/>
      </w:pPr>
      <w:r>
        <w:tab/>
      </w:r>
      <w:r>
        <w:t>2.3. Принимающая Сторона по своему усмотрению и с учетом разумной необходимости вправе передавать Конфиденциальную информацию сотрудникам, которым такая информация необходима для работы в целях, предусмотренных настоящим Соглашением.</w:t>
      </w:r>
    </w:p>
    <w:p w14:paraId="5064BE8E">
      <w:pPr>
        <w:jc w:val="both"/>
      </w:pPr>
      <w:r>
        <w:tab/>
      </w:r>
      <w:r>
        <w:t>При передаче Конфиденциальной информации Принимающая сторона обязана указать сотрудникам на конфиденциальный характер такой информации и обязанность обеспечить соответствующий режим защиты информации от несанкционированного доступа со стороны Третьих лиц, предполагающий ограниченный круг лиц, допущенных к работе с Конфиденциальной информацией, разрешение на копирование документов, содержащих Конфиденциальную информацию, в количестве необходимом для выполнения своих служебных обязанностей, и уничтожение сделанных копий при отпадении такой необходимости, ограничение копирования Конфиденциальной информации, представленной в электронном виде.</w:t>
      </w:r>
    </w:p>
    <w:p w14:paraId="0A2A46FF">
      <w:pPr>
        <w:ind w:firstLine="708"/>
        <w:jc w:val="both"/>
      </w:pPr>
      <w:r>
        <w:t>Принимающая сторона несет ответственность за действия (бездействие) своих сотрудников, повлекшие Разглашение Конфиденциальной информации.</w:t>
      </w:r>
    </w:p>
    <w:p w14:paraId="3F1F21ED">
      <w:pPr>
        <w:jc w:val="both"/>
      </w:pPr>
      <w:r>
        <w:tab/>
      </w:r>
      <w:r>
        <w:t>2.4. Принимающая сторона обязана обеспечить со своей стороны, а также со стороны своих сотрудников, имеющих доступ к Конфиденциальной информации, использование полученной Конфиденциальной информации исключительно в целях, предусмотренных настоящим Соглашением, либо в целях, предусмотренных иными заключенными между Сторонами договорами и/или соглашениями, предусматривающими предоставление Конфиденциальной информации.</w:t>
      </w:r>
    </w:p>
    <w:p w14:paraId="2BD737E9">
      <w:pPr>
        <w:jc w:val="both"/>
      </w:pPr>
      <w:r>
        <w:tab/>
      </w:r>
      <w:r>
        <w:t xml:space="preserve">2.5. Принимающая сторона не вправе без письменного разрешения Раскрывающей стороны разглашать или иным образом раскрывать Конфиденциальную информацию Третьим лицам. В случая получения такого разрешения, </w:t>
      </w:r>
      <w:r>
        <w:rPr>
          <w:color w:val="000000"/>
          <w:spacing w:val="5"/>
        </w:rPr>
        <w:t xml:space="preserve">Принимающая сторона </w:t>
      </w:r>
      <w:r>
        <w:rPr>
          <w:color w:val="000000"/>
          <w:spacing w:val="2"/>
        </w:rPr>
        <w:t xml:space="preserve">обязуется заключить со всеми Третьим  лицами, которым она вправе передать </w:t>
      </w:r>
      <w:r>
        <w:rPr>
          <w:color w:val="000000"/>
          <w:spacing w:val="8"/>
        </w:rPr>
        <w:t xml:space="preserve">конфиденциальную информацию Раскрывающей стороны, договоры о неразглашении </w:t>
      </w:r>
      <w:r>
        <w:rPr>
          <w:color w:val="000000"/>
          <w:spacing w:val="2"/>
        </w:rPr>
        <w:t xml:space="preserve">конфиденциальной информации, передаваемой этим Третьим лицам в рамках </w:t>
      </w:r>
      <w:r>
        <w:rPr>
          <w:color w:val="000000"/>
          <w:spacing w:val="4"/>
        </w:rPr>
        <w:t xml:space="preserve">исполнения настоящего Соглашения, на аналогичных настоящему Соглашению </w:t>
      </w:r>
      <w:r>
        <w:rPr>
          <w:color w:val="000000"/>
          <w:spacing w:val="5"/>
        </w:rPr>
        <w:t xml:space="preserve">условиях с обязательным условием невозможности раскрытия конфиденциальной </w:t>
      </w:r>
      <w:r>
        <w:rPr>
          <w:color w:val="000000"/>
          <w:spacing w:val="1"/>
        </w:rPr>
        <w:t xml:space="preserve">информации Третьим лицам, за исключением случаев, предусмотренных </w:t>
      </w:r>
      <w:r>
        <w:rPr>
          <w:color w:val="FF0000"/>
          <w:spacing w:val="10"/>
        </w:rPr>
        <w:t>законодательством Республики Узбекистан</w:t>
      </w:r>
      <w:r>
        <w:rPr>
          <w:color w:val="000000"/>
          <w:spacing w:val="10"/>
        </w:rPr>
        <w:t xml:space="preserve">, и несет всю  полноту ответственности за </w:t>
      </w:r>
      <w:r>
        <w:rPr>
          <w:color w:val="000000"/>
          <w:spacing w:val="1"/>
        </w:rPr>
        <w:t>действия (бездействия) этих лиц, как за свои собственные.</w:t>
      </w:r>
    </w:p>
    <w:p w14:paraId="63907CF8">
      <w:pPr>
        <w:jc w:val="both"/>
      </w:pPr>
      <w:r>
        <w:tab/>
      </w:r>
      <w:r>
        <w:t xml:space="preserve">2.6. Запрет на разглашение Конфиденциальной информации не распространяется на случаи вынужденного Разглашения Конфиденциальной информации в силу применения положений действующего </w:t>
      </w:r>
      <w:r>
        <w:rPr>
          <w:color w:val="FF0000"/>
        </w:rPr>
        <w:t>законодательства Республики Узбекистан</w:t>
      </w:r>
      <w:r>
        <w:t>, вступивших в силу решений суда соответствующей юрисдикции либо законных требований компетентных органов государственной власти и управления.</w:t>
      </w:r>
    </w:p>
    <w:p w14:paraId="7E999785">
      <w:pPr>
        <w:jc w:val="both"/>
      </w:pPr>
      <w:r>
        <w:tab/>
      </w:r>
      <w:r>
        <w:t>2.7. В случаях, предусмотренных п.2.6. настоящего Соглашения, Принимающая сторона не позднее 2 (Двух) рабочих дней до раскрытия Конфиденциальной информации обязана уведомить Раскрывающую сторону о наступлении соответствующего события, с которым связана необходимость раскрытия Конфиденциальной информации, а также об условиях и сроках раскрытия Конфиденциальной информации, а при невозможности направления предварительного уведомления – незамедлительно после раскрытия. В случае если Принимающая сторона не получит каких-либо указаний Раскрывающей стороны в течение 2-х (двух) рабочих дней с момента надлежащего уведомления Раскрывающей стороны, то Принимающая сторона имеет право предоставить Конфиденциальную информацию компетентному государственному органу при условии: (</w:t>
      </w:r>
      <w:r>
        <w:rPr>
          <w:lang w:val="en-US"/>
        </w:rPr>
        <w:t>i</w:t>
      </w:r>
      <w:r>
        <w:t>) проверки Принимающей стороной соблюдения компетентным государственным органом соответствующих требований законодательства при направлении Принимающей стороне вышеуказанного требования; и (</w:t>
      </w:r>
      <w:r>
        <w:rPr>
          <w:lang w:val="en-US"/>
        </w:rPr>
        <w:t>ii</w:t>
      </w:r>
      <w:r>
        <w:t xml:space="preserve">) принятии всех разумно возможных мер по уменьшению объема предоставляемой Конфиденциальной информации. Принимающая сторона обязуется обеспечить раскрытие только той части Конфиденциальной информации, раскрытие которой прямо указано в требовании компетентных органов государственной власти и управления, с учетом положений действующего </w:t>
      </w:r>
      <w:r>
        <w:rPr>
          <w:color w:val="FF0000"/>
        </w:rPr>
        <w:t>законодательства Республики Узбекистан</w:t>
      </w:r>
      <w:r>
        <w:t>.</w:t>
      </w:r>
    </w:p>
    <w:p w14:paraId="65EE0E38">
      <w:pPr>
        <w:jc w:val="both"/>
      </w:pPr>
      <w:r>
        <w:tab/>
      </w:r>
      <w:r>
        <w:t>2.8. При прекращении настоящего Соглашения и/или иных договоров и/или соглашений, для исполнения которых предоставляется Конфиденциальная информация и в иных случаях, Принимающая сторона по письменному требованию Раскрывающей стороны обязана в течение 5 (пяти) рабочих дней с даты получения соответствующего требования Раскрывающей стороны возвратить ей или уничтожить все документы и их копии, а также иные носители и их копии, содержащие Конфиденциальную информацию.</w:t>
      </w:r>
    </w:p>
    <w:p w14:paraId="308E41AB">
      <w:pPr>
        <w:ind w:firstLine="708"/>
        <w:jc w:val="both"/>
        <w:rPr>
          <w:color w:val="000000"/>
          <w:spacing w:val="1"/>
        </w:rPr>
      </w:pPr>
      <w:r>
        <w:rPr>
          <w:color w:val="000000"/>
          <w:spacing w:val="4"/>
        </w:rPr>
        <w:t xml:space="preserve">Возврат конфиденциальной информации оформляется соответствующим актом между Сторонами. Уничтожение конфиденциальной информации оформляется </w:t>
      </w:r>
      <w:r>
        <w:rPr>
          <w:color w:val="000000"/>
          <w:spacing w:val="3"/>
        </w:rPr>
        <w:t xml:space="preserve">Принимающей стороной актом, оригинал которого передается Раскрывающей стороне не </w:t>
      </w:r>
      <w:r>
        <w:rPr>
          <w:color w:val="000000"/>
          <w:spacing w:val="1"/>
        </w:rPr>
        <w:t>позднее 2-х дней с даты уничтожения конфиденциальной информации.</w:t>
      </w:r>
    </w:p>
    <w:p w14:paraId="6A97C9DD">
      <w:pPr>
        <w:widowControl w:val="0"/>
        <w:tabs>
          <w:tab w:val="left" w:pos="720"/>
        </w:tabs>
        <w:suppressAutoHyphens/>
        <w:jc w:val="both"/>
      </w:pPr>
      <w:r>
        <w:rPr>
          <w:color w:val="000000"/>
          <w:spacing w:val="1"/>
        </w:rPr>
        <w:tab/>
      </w:r>
      <w:bookmarkStart w:id="0" w:name="OLE_LINK3"/>
      <w:r>
        <w:t xml:space="preserve"> </w:t>
      </w:r>
      <w:bookmarkEnd w:id="0"/>
      <w:r>
        <w:t xml:space="preserve">2.9. Настоящее Соглашение не является договором об отчуждении исключительных прав на Конфиденциальной информацию. Принимающая сторона не получает каких-либо прав на Конфиденциальной информацию, Доступ к которой предоставлен по настоящему Соглашению, кроме тех, которые прямо указаны в данном Соглашении. </w:t>
      </w:r>
    </w:p>
    <w:p w14:paraId="4F5E836D">
      <w:pPr>
        <w:jc w:val="center"/>
        <w:rPr>
          <w:b/>
        </w:rPr>
      </w:pPr>
    </w:p>
    <w:p w14:paraId="791494FF">
      <w:pPr>
        <w:jc w:val="center"/>
        <w:rPr>
          <w:b/>
        </w:rPr>
      </w:pPr>
      <w:r>
        <w:rPr>
          <w:b/>
        </w:rPr>
        <w:t>3. ОТВЕТСТВЕННОСТЬ</w:t>
      </w:r>
    </w:p>
    <w:p w14:paraId="2D10532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line="274" w:lineRule="exact"/>
        <w:ind w:left="14"/>
        <w:jc w:val="both"/>
        <w:rPr>
          <w:kern w:val="24"/>
          <w:sz w:val="19"/>
          <w:szCs w:val="19"/>
        </w:rPr>
      </w:pPr>
      <w:r>
        <w:tab/>
      </w:r>
      <w:r>
        <w:t xml:space="preserve">3.1. </w:t>
      </w:r>
      <w:r>
        <w:rPr>
          <w:color w:val="000000"/>
          <w:spacing w:val="15"/>
        </w:rPr>
        <w:t xml:space="preserve">Принимающая сторона несет ответственность за Разглашение </w:t>
      </w:r>
      <w:r>
        <w:rPr>
          <w:color w:val="000000"/>
          <w:spacing w:val="4"/>
        </w:rPr>
        <w:t xml:space="preserve">Конфиденциальной информации, а также за несанкционированное использование Конфиденциальной информации в нарушение условий настоящего Соглашения, за исключением случаев раскрытия Конфиденциальной информации, предусмотренных </w:t>
      </w:r>
      <w:r>
        <w:rPr>
          <w:color w:val="000000"/>
          <w:spacing w:val="5"/>
        </w:rPr>
        <w:t xml:space="preserve">пунктами 2.6 настоящего Соглашения, в виде возмещения Раскрывающей стороне </w:t>
      </w:r>
      <w:r>
        <w:rPr>
          <w:color w:val="000000"/>
          <w:spacing w:val="2"/>
        </w:rPr>
        <w:t>причиненных ей убытков.</w:t>
      </w:r>
    </w:p>
    <w:p w14:paraId="13BBCBA2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line="274" w:lineRule="exact"/>
        <w:ind w:left="14"/>
        <w:jc w:val="both"/>
        <w:rPr>
          <w:kern w:val="24"/>
        </w:rPr>
      </w:pPr>
      <w:r>
        <w:rPr>
          <w:kern w:val="24"/>
          <w:sz w:val="19"/>
          <w:szCs w:val="19"/>
        </w:rPr>
        <w:tab/>
      </w:r>
      <w:r>
        <w:rPr>
          <w:kern w:val="24"/>
        </w:rPr>
        <w:t xml:space="preserve">3.2. В случае установления вины Принимающей стороны и разглашении Конфиденциальной информации либо ее несанкционированном использовании, Раскрывающая сторона имеет право на возмещение убытков, возникших в результате разглашения информации или ее несанкционированного использования. </w:t>
      </w:r>
    </w:p>
    <w:p w14:paraId="435CF1AB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line="274" w:lineRule="exact"/>
        <w:ind w:left="14"/>
        <w:jc w:val="both"/>
        <w:rPr>
          <w:kern w:val="24"/>
        </w:rPr>
      </w:pPr>
      <w:r>
        <w:rPr>
          <w:kern w:val="24"/>
        </w:rPr>
        <w:tab/>
      </w:r>
      <w:r>
        <w:rPr>
          <w:kern w:val="24"/>
        </w:rPr>
        <w:t xml:space="preserve">3.3. Обязанность доказывания факта разглашения информации и размеры причиненных убытков возлагается на  Раскрывающую  сторону. </w:t>
      </w:r>
    </w:p>
    <w:p w14:paraId="12EF8C16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line="274" w:lineRule="exact"/>
        <w:ind w:left="14"/>
        <w:jc w:val="both"/>
        <w:rPr>
          <w:b/>
        </w:rPr>
      </w:pPr>
    </w:p>
    <w:p w14:paraId="756FAD96">
      <w:pPr>
        <w:autoSpaceDE w:val="0"/>
        <w:autoSpaceDN w:val="0"/>
        <w:adjustRightInd w:val="0"/>
        <w:spacing w:line="24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4. ФОРС-МАЖОР</w:t>
      </w:r>
    </w:p>
    <w:p w14:paraId="6697F57F">
      <w:pPr>
        <w:jc w:val="both"/>
      </w:pPr>
      <w:r>
        <w:tab/>
      </w:r>
      <w:r>
        <w:t>4.1. Стороны освобождаются от ответственности за частичное или полное неисполнение обязательств по Соглашению, если это неисполнение явилось следствием чрезвычайных обстоятельств, возникших после заключения Соглашения в результате действия обстоятельств непреодолимой силы, которые Стороны не могли предвидеть или предотвратить.</w:t>
      </w:r>
    </w:p>
    <w:p w14:paraId="67F4C747">
      <w:pPr>
        <w:jc w:val="both"/>
      </w:pPr>
      <w:r>
        <w:tab/>
      </w:r>
      <w:r>
        <w:t>4.2. При наступлении обстоятельств, указанных в п.5.1 Соглашения, Принимающая Сторона должна не позднее 48 (Сорока восьми) часов с момента возникновения указанных обстоятельств, в письменной форме уведомить другую Сторону о наступлении обстоятельств непреодолимой силы. Извещение должно содержать данные о характере обстоятельств, дающие оценку их влияния на возможность исполнения Принимающей Стороной своих обязательств по данному договору и подтверждение данных фактов сертификатом уполномоченного органа Сторон. Стороны допускают возможность предоставления сертификата уполномоченного органа Сторон в последующем, но не позднее 2-х месяцев со дня наступления обстоятельств непреодолимой силы.</w:t>
      </w:r>
    </w:p>
    <w:p w14:paraId="2012DCC9">
      <w:pPr>
        <w:jc w:val="both"/>
      </w:pPr>
      <w:r>
        <w:tab/>
      </w:r>
      <w:r>
        <w:t>Не извещение и/или несвоевременное извещение другой Стороны согласно п. 5.2 Соглашения, не предоставление сертификата уполномоченного органа Сторон в соответствии с условиями настоящего Соглашения влечет за собой утрату Стороной права ссылаться на обстоятельства непреодолимой силы как уважительную причину неисполнения обязательств, предусмотренных в Соглашении.</w:t>
      </w:r>
    </w:p>
    <w:p w14:paraId="01B59091">
      <w:pPr>
        <w:jc w:val="both"/>
      </w:pPr>
      <w:r>
        <w:tab/>
      </w:r>
      <w:r>
        <w:t>4.3. Если наступившие обстоятельства, перечисленные в п. 5.1 Соглашения,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Соглашения.</w:t>
      </w:r>
    </w:p>
    <w:p w14:paraId="1F8F17A5">
      <w:pPr>
        <w:jc w:val="both"/>
      </w:pPr>
    </w:p>
    <w:p w14:paraId="3E2325FB">
      <w:pPr>
        <w:jc w:val="center"/>
        <w:rPr>
          <w:b/>
        </w:rPr>
      </w:pPr>
      <w:r>
        <w:rPr>
          <w:b/>
        </w:rPr>
        <w:t>5. ИНЫЕ УСЛОВИЯ</w:t>
      </w:r>
    </w:p>
    <w:p w14:paraId="1AD6D8B2">
      <w:pPr>
        <w:jc w:val="both"/>
      </w:pPr>
      <w:r>
        <w:tab/>
      </w:r>
      <w:r>
        <w:t>5.1. Настоящее Соглашение вступает в силу и подлежит исполнению Сторонами с момента его подписания. Соглашение действует до расторжения его по соглашению Сторон.</w:t>
      </w:r>
    </w:p>
    <w:p w14:paraId="40DBDA21">
      <w:pPr>
        <w:jc w:val="both"/>
      </w:pPr>
      <w:r>
        <w:tab/>
      </w:r>
      <w:r>
        <w:t>Каждая из Сторон вправе в одностороннем порядке отказаться от исполнения настоящего Соглашения, предупредив об этом другую Сторону не менее чем за 30 дней.</w:t>
      </w:r>
    </w:p>
    <w:p w14:paraId="016455E3">
      <w:pPr>
        <w:jc w:val="both"/>
      </w:pPr>
      <w:r>
        <w:tab/>
      </w:r>
      <w:r>
        <w:t>До истечения срока предупреждения Стороны обязаны вернуть друг другу полученную Конфиденциальную информацию либо с письменного разрешения Стороны, раскрывшей Конфиденциальную информацию, уничтожить все документы и их копии, либо иные носители Конфиденциальной информации.</w:t>
      </w:r>
    </w:p>
    <w:p w14:paraId="08551FB9">
      <w:pPr>
        <w:jc w:val="both"/>
      </w:pPr>
      <w:r>
        <w:tab/>
      </w:r>
      <w:r>
        <w:t>По истечении срока предупреждения, настоящее Соглашение считается расторгнутым.</w:t>
      </w:r>
    </w:p>
    <w:p w14:paraId="75CF77A1">
      <w:pPr>
        <w:ind w:firstLine="708"/>
        <w:jc w:val="both"/>
      </w:pPr>
      <w:r>
        <w:t>5.2. В случае прекращения действия настоящего Соглашения по любому основанию обязательства Сторон по неразглашению Конфиденциальной информации сохраняются в течение 5 лет со дня прекращения действия Соглашения, если иное не будет согласовано Сторонами.</w:t>
      </w:r>
    </w:p>
    <w:p w14:paraId="78B26075">
      <w:pPr>
        <w:jc w:val="both"/>
      </w:pPr>
      <w:r>
        <w:tab/>
      </w:r>
      <w:r>
        <w:t>5.3. Соглашение может быть изменено или дополнено только путем составления и подписания Сторонами дополнительных соглашений, которые после подписания становятся неотъемлемыми частями настоящего Соглашения.</w:t>
      </w:r>
    </w:p>
    <w:p w14:paraId="351B20FB">
      <w:pPr>
        <w:ind w:left="-142"/>
        <w:jc w:val="both"/>
        <w:rPr>
          <w:color w:val="FF0000"/>
        </w:rPr>
      </w:pPr>
      <w:r>
        <w:tab/>
      </w:r>
      <w:r>
        <w:t xml:space="preserve">            5.4. Настоящее Соглашение регулируется и толкуется в соответствии с </w:t>
      </w:r>
      <w:r>
        <w:rPr>
          <w:color w:val="FF0000"/>
        </w:rPr>
        <w:t xml:space="preserve">законодательством Республики Узбекистан.  </w:t>
      </w:r>
    </w:p>
    <w:p w14:paraId="5785B6DD">
      <w:pPr>
        <w:jc w:val="both"/>
      </w:pPr>
      <w:r>
        <w:tab/>
      </w:r>
      <w:r>
        <w:t xml:space="preserve">5.5. Все вопросы, разногласия или требования, возникающие из настоящего Соглашения или в связи с ним, подлежат урегулированию Сторонами путем переговоров. </w:t>
      </w:r>
      <w:r>
        <w:rPr>
          <w:color w:val="FF0000"/>
        </w:rPr>
        <w:t>При отсутствии согласия спор между Сторонами подлежит межрайонном экономическим суде Ташкента.</w:t>
      </w:r>
    </w:p>
    <w:p w14:paraId="655FBD28">
      <w:pPr>
        <w:jc w:val="both"/>
      </w:pPr>
      <w:r>
        <w:tab/>
      </w:r>
      <w:r>
        <w:t>5.6. Настоящее Соглашение составлено и подписано в двух экземплярах, имеющих одинаковую юридическую силу, по одному экземпляру для каждой Стороны.</w:t>
      </w:r>
    </w:p>
    <w:p w14:paraId="436EFF74">
      <w:pPr>
        <w:jc w:val="both"/>
      </w:pPr>
    </w:p>
    <w:p w14:paraId="4B533A12">
      <w:pPr>
        <w:jc w:val="center"/>
        <w:rPr>
          <w:color w:val="000000"/>
        </w:rPr>
      </w:pPr>
    </w:p>
    <w:p w14:paraId="79CF7BD1">
      <w:pPr>
        <w:jc w:val="center"/>
        <w:rPr>
          <w:b/>
        </w:rPr>
      </w:pPr>
      <w:r>
        <w:rPr>
          <w:b/>
        </w:rPr>
        <w:t>6. АДРЕСА И БАНКОВСКИЕ РЕКВИЗИТЫ СТОРОН</w:t>
      </w:r>
    </w:p>
    <w:p w14:paraId="2027F900">
      <w:pPr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 w14:paraId="53137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26" w:type="dxa"/>
            <w:shd w:val="clear" w:color="auto" w:fill="auto"/>
            <w:noWrap w:val="0"/>
            <w:vAlign w:val="top"/>
          </w:tcPr>
          <w:p w14:paraId="768EE783">
            <w:pPr>
              <w:jc w:val="center"/>
            </w:pPr>
            <w:r>
              <w:rPr>
                <w:b/>
                <w:sz w:val="26"/>
                <w:szCs w:val="26"/>
                <w:lang w:val="en-US"/>
              </w:rPr>
              <w:t>OOO</w:t>
            </w:r>
            <w:r>
              <w:rPr>
                <w:b/>
                <w:sz w:val="26"/>
                <w:szCs w:val="26"/>
              </w:rPr>
              <w:t xml:space="preserve"> «</w:t>
            </w:r>
            <w:r>
              <w:rPr>
                <w:b/>
                <w:sz w:val="26"/>
                <w:szCs w:val="26"/>
                <w:lang w:val="en-US"/>
              </w:rPr>
              <w:t>BREND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TO</w:t>
            </w:r>
            <w:r>
              <w:rPr>
                <w:b/>
                <w:sz w:val="26"/>
                <w:szCs w:val="26"/>
              </w:rPr>
              <w:t>’</w:t>
            </w:r>
            <w:r>
              <w:rPr>
                <w:b/>
                <w:sz w:val="26"/>
                <w:szCs w:val="26"/>
                <w:lang w:val="en-US"/>
              </w:rPr>
              <w:t>LOV</w:t>
            </w:r>
            <w:r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4927" w:type="dxa"/>
            <w:shd w:val="clear" w:color="auto" w:fill="auto"/>
            <w:noWrap w:val="0"/>
            <w:vAlign w:val="top"/>
          </w:tcPr>
          <w:p w14:paraId="217A09C6">
            <w:pPr>
              <w:jc w:val="center"/>
              <w:rPr>
                <w:b/>
                <w:lang w:val="uz-Cyrl-UZ"/>
              </w:rPr>
            </w:pPr>
            <w:r>
              <w:rPr>
                <w:b/>
                <w:bCs/>
                <w:lang w:val="uz-Cyrl-UZ"/>
              </w:rPr>
              <w:t xml:space="preserve">АКБ УЗПРОМСТРОЙБАНК </w:t>
            </w:r>
          </w:p>
        </w:tc>
      </w:tr>
      <w:tr w14:paraId="147A7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26" w:type="dxa"/>
            <w:shd w:val="clear" w:color="auto" w:fill="auto"/>
            <w:noWrap w:val="0"/>
            <w:vAlign w:val="top"/>
          </w:tcPr>
          <w:p w14:paraId="0ADF71C7">
            <w:pPr>
              <w:pStyle w:val="38"/>
              <w:ind w:left="0" w:leftChars="0" w:firstLine="0" w:firstLineChars="0"/>
              <w:jc w:val="center"/>
            </w:pPr>
            <w:r>
              <w:rPr>
                <w:b/>
                <w:bCs/>
                <w:sz w:val="26"/>
                <w:szCs w:val="26"/>
                <w:lang w:val="uz-Cyrl-UZ"/>
              </w:rPr>
              <w:t>г. Ташкент, ул.Богибустон-186</w:t>
            </w:r>
          </w:p>
        </w:tc>
        <w:tc>
          <w:tcPr>
            <w:tcW w:w="4927" w:type="dxa"/>
            <w:shd w:val="clear" w:color="auto" w:fill="auto"/>
            <w:noWrap w:val="0"/>
            <w:vAlign w:val="top"/>
          </w:tcPr>
          <w:p w14:paraId="6FA10EEE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 xml:space="preserve">г.Ташкент, р. Юнусабад, ул.Шахрисабз,  дом 3  </w:t>
            </w:r>
          </w:p>
        </w:tc>
      </w:tr>
      <w:tr w14:paraId="7B55D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26" w:type="dxa"/>
            <w:shd w:val="clear" w:color="auto" w:fill="auto"/>
            <w:noWrap w:val="0"/>
            <w:vAlign w:val="top"/>
          </w:tcPr>
          <w:p w14:paraId="211C2493">
            <w:pPr>
              <w:pStyle w:val="38"/>
              <w:ind w:hanging="40"/>
              <w:jc w:val="center"/>
              <w:rPr>
                <w:b/>
              </w:rPr>
            </w:pPr>
            <w:r>
              <w:rPr>
                <w:b/>
                <w:bCs/>
                <w:sz w:val="26"/>
                <w:szCs w:val="26"/>
                <w:lang w:val="uz-Cyrl-UZ"/>
              </w:rPr>
              <w:t xml:space="preserve">р/с </w:t>
            </w: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20208000405616273002</w:t>
            </w:r>
          </w:p>
        </w:tc>
        <w:tc>
          <w:tcPr>
            <w:tcW w:w="4927" w:type="dxa"/>
            <w:shd w:val="clear" w:color="auto" w:fill="auto"/>
            <w:noWrap w:val="0"/>
            <w:vAlign w:val="top"/>
          </w:tcPr>
          <w:p w14:paraId="5D23EE05">
            <w:pPr>
              <w:jc w:val="center"/>
            </w:pPr>
            <w:r>
              <w:rPr>
                <w:b/>
                <w:color w:val="000000"/>
              </w:rPr>
              <w:t>Р</w:t>
            </w:r>
            <w:r>
              <w:rPr>
                <w:b/>
                <w:color w:val="000000"/>
                <w:lang w:val="en-US"/>
              </w:rPr>
              <w:t>/</w:t>
            </w:r>
            <w:r>
              <w:rPr>
                <w:b/>
                <w:color w:val="000000"/>
              </w:rPr>
              <w:t>счет</w:t>
            </w:r>
            <w:r>
              <w:rPr>
                <w:b/>
                <w:color w:val="000000"/>
                <w:lang w:val="en-US"/>
              </w:rPr>
              <w:t xml:space="preserve"> 19907000000000440600</w:t>
            </w:r>
          </w:p>
        </w:tc>
      </w:tr>
      <w:tr w14:paraId="73A5E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26" w:type="dxa"/>
            <w:shd w:val="clear" w:color="auto" w:fill="auto"/>
            <w:noWrap w:val="0"/>
            <w:vAlign w:val="top"/>
          </w:tcPr>
          <w:p w14:paraId="3835CB78">
            <w:pPr>
              <w:pStyle w:val="38"/>
              <w:ind w:hanging="40"/>
              <w:jc w:val="center"/>
            </w:pPr>
            <w:r>
              <w:rPr>
                <w:b/>
                <w:bCs/>
                <w:sz w:val="26"/>
                <w:szCs w:val="26"/>
                <w:lang w:val="uz-Cyrl-UZ"/>
              </w:rPr>
              <w:t>МФО</w:t>
            </w: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 01197</w:t>
            </w:r>
          </w:p>
        </w:tc>
        <w:tc>
          <w:tcPr>
            <w:tcW w:w="4927" w:type="dxa"/>
            <w:shd w:val="clear" w:color="auto" w:fill="auto"/>
            <w:noWrap w:val="0"/>
            <w:vAlign w:val="top"/>
          </w:tcPr>
          <w:p w14:paraId="56C3778E">
            <w:pPr>
              <w:jc w:val="center"/>
            </w:pPr>
            <w:r>
              <w:rPr>
                <w:b/>
                <w:color w:val="000000"/>
              </w:rPr>
              <w:t>МФО 00440</w:t>
            </w:r>
          </w:p>
        </w:tc>
      </w:tr>
      <w:tr w14:paraId="20F60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26" w:type="dxa"/>
            <w:shd w:val="clear" w:color="auto" w:fill="auto"/>
            <w:noWrap w:val="0"/>
            <w:vAlign w:val="top"/>
          </w:tcPr>
          <w:p w14:paraId="7EE562BA">
            <w:pPr>
              <w:pStyle w:val="38"/>
              <w:ind w:hanging="40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ИНН 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310187940</w:t>
            </w:r>
          </w:p>
        </w:tc>
        <w:tc>
          <w:tcPr>
            <w:tcW w:w="4927" w:type="dxa"/>
            <w:shd w:val="clear" w:color="auto" w:fill="auto"/>
            <w:noWrap w:val="0"/>
            <w:vAlign w:val="top"/>
          </w:tcPr>
          <w:p w14:paraId="50B1FF58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ИНН 2</w:t>
            </w:r>
            <w:r>
              <w:rPr>
                <w:b/>
                <w:color w:val="000000"/>
                <w:lang w:val="en-US"/>
              </w:rPr>
              <w:t>00833707</w:t>
            </w:r>
          </w:p>
        </w:tc>
      </w:tr>
    </w:tbl>
    <w:p w14:paraId="1C825A21">
      <w:pPr>
        <w:jc w:val="both"/>
      </w:pPr>
    </w:p>
    <w:p w14:paraId="34244C55">
      <w:pPr>
        <w:jc w:val="center"/>
        <w:rPr>
          <w:b/>
        </w:rPr>
      </w:pPr>
      <w:r>
        <w:rPr>
          <w:b/>
        </w:rPr>
        <w:t>7. ПОДПИСИ СТОРОН</w:t>
      </w:r>
    </w:p>
    <w:p w14:paraId="53B1CC9B">
      <w:pPr>
        <w:jc w:val="center"/>
        <w:rPr>
          <w:b/>
        </w:rPr>
      </w:pPr>
    </w:p>
    <w:tbl>
      <w:tblPr>
        <w:tblStyle w:val="11"/>
        <w:tblW w:w="10420" w:type="dxa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2"/>
        <w:gridCol w:w="5278"/>
      </w:tblGrid>
      <w:tr w14:paraId="39C41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142" w:type="dxa"/>
            <w:noWrap w:val="0"/>
            <w:vAlign w:val="top"/>
          </w:tcPr>
          <w:p w14:paraId="781B324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sz w:val="26"/>
                <w:szCs w:val="26"/>
              </w:rPr>
              <w:t>М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rFonts w:hint="default"/>
                <w:b/>
                <w:sz w:val="26"/>
                <w:szCs w:val="26"/>
              </w:rPr>
              <w:t>А</w:t>
            </w:r>
            <w:r>
              <w:rPr>
                <w:b/>
                <w:sz w:val="26"/>
                <w:szCs w:val="26"/>
              </w:rPr>
              <w:t xml:space="preserve">. </w:t>
            </w:r>
            <w:r>
              <w:rPr>
                <w:rFonts w:hint="default"/>
                <w:b/>
                <w:sz w:val="26"/>
                <w:szCs w:val="26"/>
              </w:rPr>
              <w:t>Мирзаев</w:t>
            </w:r>
          </w:p>
        </w:tc>
        <w:tc>
          <w:tcPr>
            <w:tcW w:w="5278" w:type="dxa"/>
            <w:noWrap w:val="0"/>
            <w:vAlign w:val="top"/>
          </w:tcPr>
          <w:p w14:paraId="49CF4488">
            <w:pPr>
              <w:spacing w:before="40" w:after="4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С.Абдувалиев</w:t>
            </w:r>
          </w:p>
        </w:tc>
      </w:tr>
      <w:tr w14:paraId="53CBC3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142" w:type="dxa"/>
            <w:noWrap w:val="0"/>
            <w:vAlign w:val="top"/>
          </w:tcPr>
          <w:p w14:paraId="130DDA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278" w:type="dxa"/>
            <w:noWrap w:val="0"/>
            <w:vAlign w:val="top"/>
          </w:tcPr>
          <w:p w14:paraId="55AF35FE">
            <w:pPr>
              <w:jc w:val="center"/>
              <w:rPr>
                <w:b/>
              </w:rPr>
            </w:pPr>
          </w:p>
        </w:tc>
      </w:tr>
      <w:tr w14:paraId="28B667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142" w:type="dxa"/>
            <w:noWrap w:val="0"/>
            <w:vAlign w:val="top"/>
          </w:tcPr>
          <w:p w14:paraId="322EA9CC">
            <w:pPr>
              <w:pStyle w:val="23"/>
              <w:spacing w:before="40" w:after="40"/>
              <w:rPr>
                <w:szCs w:val="22"/>
              </w:rPr>
            </w:pPr>
          </w:p>
        </w:tc>
        <w:tc>
          <w:tcPr>
            <w:tcW w:w="5278" w:type="dxa"/>
            <w:noWrap w:val="0"/>
            <w:vAlign w:val="top"/>
          </w:tcPr>
          <w:p w14:paraId="0A7A794C">
            <w:pPr>
              <w:spacing w:before="40" w:after="40"/>
              <w:rPr>
                <w:sz w:val="22"/>
                <w:szCs w:val="22"/>
              </w:rPr>
            </w:pPr>
          </w:p>
        </w:tc>
      </w:tr>
    </w:tbl>
    <w:p w14:paraId="65A23B3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426" w:right="566" w:bottom="568" w:left="1134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1"/>
    <w:family w:val="roman"/>
    <w:pitch w:val="default"/>
    <w:sig w:usb0="00002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C98B85">
    <w:pPr>
      <w:pStyle w:val="18"/>
      <w:jc w:val="center"/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separate"/>
    </w:r>
    <w:r>
      <w:rPr>
        <w:rStyle w:val="21"/>
        <w:lang/>
      </w:rPr>
      <w:t>1</w:t>
    </w:r>
    <w:r>
      <w:rPr>
        <w:rStyle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7485D2"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C7C43"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A94BA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ACB7E4"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EB25E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2558C"/>
    <w:multiLevelType w:val="multilevel"/>
    <w:tmpl w:val="4312558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3024"/>
        </w:tabs>
        <w:ind w:left="302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187"/>
  <w:displayHorizontalDrawingGridEvery w:val="1"/>
  <w:displayVertic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2A"/>
    <w:rsid w:val="00004537"/>
    <w:rsid w:val="0004050A"/>
    <w:rsid w:val="00042B1A"/>
    <w:rsid w:val="000462EF"/>
    <w:rsid w:val="0006431C"/>
    <w:rsid w:val="00064604"/>
    <w:rsid w:val="00064EFF"/>
    <w:rsid w:val="000850D0"/>
    <w:rsid w:val="00092BE3"/>
    <w:rsid w:val="000B13E5"/>
    <w:rsid w:val="000D2912"/>
    <w:rsid w:val="000D48F7"/>
    <w:rsid w:val="000E7ECD"/>
    <w:rsid w:val="000F7BCD"/>
    <w:rsid w:val="00104992"/>
    <w:rsid w:val="001150F0"/>
    <w:rsid w:val="00117C87"/>
    <w:rsid w:val="0013402A"/>
    <w:rsid w:val="001350FF"/>
    <w:rsid w:val="00146249"/>
    <w:rsid w:val="0015355E"/>
    <w:rsid w:val="00155C5C"/>
    <w:rsid w:val="00162EDA"/>
    <w:rsid w:val="00184E26"/>
    <w:rsid w:val="001903D0"/>
    <w:rsid w:val="001E4E61"/>
    <w:rsid w:val="0021529E"/>
    <w:rsid w:val="00225778"/>
    <w:rsid w:val="00241D58"/>
    <w:rsid w:val="002603F0"/>
    <w:rsid w:val="002645B1"/>
    <w:rsid w:val="00265CE6"/>
    <w:rsid w:val="00290918"/>
    <w:rsid w:val="002936A8"/>
    <w:rsid w:val="002C08EE"/>
    <w:rsid w:val="002D1B54"/>
    <w:rsid w:val="002E26D3"/>
    <w:rsid w:val="003072D5"/>
    <w:rsid w:val="00314C27"/>
    <w:rsid w:val="00326901"/>
    <w:rsid w:val="00331E61"/>
    <w:rsid w:val="00337ECC"/>
    <w:rsid w:val="00342A38"/>
    <w:rsid w:val="00345FB6"/>
    <w:rsid w:val="00357478"/>
    <w:rsid w:val="0037331A"/>
    <w:rsid w:val="00377C52"/>
    <w:rsid w:val="003807A5"/>
    <w:rsid w:val="00384850"/>
    <w:rsid w:val="003B034A"/>
    <w:rsid w:val="003B25CF"/>
    <w:rsid w:val="003B78A3"/>
    <w:rsid w:val="003C7E2D"/>
    <w:rsid w:val="003E122C"/>
    <w:rsid w:val="003F68BB"/>
    <w:rsid w:val="004146BB"/>
    <w:rsid w:val="00417C23"/>
    <w:rsid w:val="004225D4"/>
    <w:rsid w:val="00432756"/>
    <w:rsid w:val="00440282"/>
    <w:rsid w:val="004457CC"/>
    <w:rsid w:val="004739E0"/>
    <w:rsid w:val="004844FA"/>
    <w:rsid w:val="004B0C95"/>
    <w:rsid w:val="004B411B"/>
    <w:rsid w:val="004C2F0F"/>
    <w:rsid w:val="004D23A7"/>
    <w:rsid w:val="004E08DD"/>
    <w:rsid w:val="004E20E6"/>
    <w:rsid w:val="004F72BE"/>
    <w:rsid w:val="0050693D"/>
    <w:rsid w:val="0053643E"/>
    <w:rsid w:val="0055307E"/>
    <w:rsid w:val="005547AF"/>
    <w:rsid w:val="00560517"/>
    <w:rsid w:val="005627CB"/>
    <w:rsid w:val="005844E4"/>
    <w:rsid w:val="005943B0"/>
    <w:rsid w:val="005D7B6F"/>
    <w:rsid w:val="005E4DEE"/>
    <w:rsid w:val="006037BC"/>
    <w:rsid w:val="006039A3"/>
    <w:rsid w:val="006174FD"/>
    <w:rsid w:val="00635E8F"/>
    <w:rsid w:val="006538E3"/>
    <w:rsid w:val="00693DC5"/>
    <w:rsid w:val="006C5F0C"/>
    <w:rsid w:val="006F2962"/>
    <w:rsid w:val="006F6367"/>
    <w:rsid w:val="00717EC2"/>
    <w:rsid w:val="00724443"/>
    <w:rsid w:val="007337B3"/>
    <w:rsid w:val="00754035"/>
    <w:rsid w:val="0077243F"/>
    <w:rsid w:val="007A38E7"/>
    <w:rsid w:val="007B313B"/>
    <w:rsid w:val="007D6E02"/>
    <w:rsid w:val="007E7656"/>
    <w:rsid w:val="00811961"/>
    <w:rsid w:val="008168CF"/>
    <w:rsid w:val="008236FF"/>
    <w:rsid w:val="00832A8B"/>
    <w:rsid w:val="0083607E"/>
    <w:rsid w:val="0084204C"/>
    <w:rsid w:val="008471DB"/>
    <w:rsid w:val="00863FA2"/>
    <w:rsid w:val="008707A0"/>
    <w:rsid w:val="008C4A09"/>
    <w:rsid w:val="008E4C9D"/>
    <w:rsid w:val="008E4D2D"/>
    <w:rsid w:val="008F0124"/>
    <w:rsid w:val="008F37D4"/>
    <w:rsid w:val="009066CC"/>
    <w:rsid w:val="00910633"/>
    <w:rsid w:val="00944274"/>
    <w:rsid w:val="00962468"/>
    <w:rsid w:val="00977AD9"/>
    <w:rsid w:val="009A26A5"/>
    <w:rsid w:val="009B5070"/>
    <w:rsid w:val="009F3AD2"/>
    <w:rsid w:val="009F4C71"/>
    <w:rsid w:val="00A22B03"/>
    <w:rsid w:val="00A4286D"/>
    <w:rsid w:val="00A54B7B"/>
    <w:rsid w:val="00A56955"/>
    <w:rsid w:val="00A717F7"/>
    <w:rsid w:val="00A81E9D"/>
    <w:rsid w:val="00A961E8"/>
    <w:rsid w:val="00AB173A"/>
    <w:rsid w:val="00AB1B7B"/>
    <w:rsid w:val="00AC15EC"/>
    <w:rsid w:val="00AD4988"/>
    <w:rsid w:val="00B0102D"/>
    <w:rsid w:val="00B04B60"/>
    <w:rsid w:val="00B35053"/>
    <w:rsid w:val="00B90236"/>
    <w:rsid w:val="00B9070B"/>
    <w:rsid w:val="00B931C0"/>
    <w:rsid w:val="00B93EA5"/>
    <w:rsid w:val="00BC7CC2"/>
    <w:rsid w:val="00BD632E"/>
    <w:rsid w:val="00BE67A5"/>
    <w:rsid w:val="00BF7A92"/>
    <w:rsid w:val="00C24E5A"/>
    <w:rsid w:val="00C35AB7"/>
    <w:rsid w:val="00C35D6C"/>
    <w:rsid w:val="00C50EB8"/>
    <w:rsid w:val="00C67736"/>
    <w:rsid w:val="00C734C3"/>
    <w:rsid w:val="00CA317C"/>
    <w:rsid w:val="00CA5079"/>
    <w:rsid w:val="00CB2C10"/>
    <w:rsid w:val="00CB5D2A"/>
    <w:rsid w:val="00CD1424"/>
    <w:rsid w:val="00CD274A"/>
    <w:rsid w:val="00CD436C"/>
    <w:rsid w:val="00D3261A"/>
    <w:rsid w:val="00D51012"/>
    <w:rsid w:val="00D57755"/>
    <w:rsid w:val="00D63816"/>
    <w:rsid w:val="00D741AB"/>
    <w:rsid w:val="00D77AB7"/>
    <w:rsid w:val="00D836FE"/>
    <w:rsid w:val="00D96A1C"/>
    <w:rsid w:val="00DB0EB2"/>
    <w:rsid w:val="00DC4E14"/>
    <w:rsid w:val="00DC5652"/>
    <w:rsid w:val="00E028AA"/>
    <w:rsid w:val="00E05AB7"/>
    <w:rsid w:val="00E3079A"/>
    <w:rsid w:val="00E41CC1"/>
    <w:rsid w:val="00E43964"/>
    <w:rsid w:val="00E510E5"/>
    <w:rsid w:val="00E602A0"/>
    <w:rsid w:val="00E64297"/>
    <w:rsid w:val="00E66F98"/>
    <w:rsid w:val="00EA14D3"/>
    <w:rsid w:val="00ED02BD"/>
    <w:rsid w:val="00ED281D"/>
    <w:rsid w:val="00F10C9B"/>
    <w:rsid w:val="00F15505"/>
    <w:rsid w:val="00F242FD"/>
    <w:rsid w:val="00F270FB"/>
    <w:rsid w:val="00F346A7"/>
    <w:rsid w:val="00F643EC"/>
    <w:rsid w:val="00F704F6"/>
    <w:rsid w:val="00F84C71"/>
    <w:rsid w:val="00F95FB7"/>
    <w:rsid w:val="00FB0D83"/>
    <w:rsid w:val="00FD0002"/>
    <w:rsid w:val="00FE33AE"/>
    <w:rsid w:val="34EF2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99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numPr>
        <w:ilvl w:val="0"/>
        <w:numId w:val="1"/>
      </w:numPr>
      <w:spacing w:before="240" w:after="60" w:line="276" w:lineRule="auto"/>
      <w:outlineLvl w:val="0"/>
    </w:pPr>
    <w:rPr>
      <w:rFonts w:ascii="Arial" w:hAnsi="Arial" w:eastAsia="Calibri"/>
      <w:b/>
      <w:bCs/>
      <w:kern w:val="32"/>
      <w:sz w:val="32"/>
      <w:szCs w:val="32"/>
      <w:lang w:eastAsia="en-US"/>
    </w:rPr>
  </w:style>
  <w:style w:type="paragraph" w:styleId="3">
    <w:name w:val="heading 2"/>
    <w:basedOn w:val="1"/>
    <w:next w:val="1"/>
    <w:link w:val="29"/>
    <w:qFormat/>
    <w:uiPriority w:val="0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Arial" w:hAnsi="Arial" w:eastAsia="Calibri"/>
      <w:b/>
      <w:bCs/>
      <w:i/>
      <w:iCs/>
      <w:sz w:val="28"/>
      <w:szCs w:val="28"/>
      <w:lang w:eastAsia="en-US"/>
    </w:rPr>
  </w:style>
  <w:style w:type="paragraph" w:styleId="4">
    <w:name w:val="heading 3"/>
    <w:basedOn w:val="1"/>
    <w:next w:val="1"/>
    <w:link w:val="30"/>
    <w:qFormat/>
    <w:uiPriority w:val="0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Arial" w:hAnsi="Arial" w:eastAsia="Calibri"/>
      <w:b/>
      <w:bCs/>
      <w:sz w:val="26"/>
      <w:szCs w:val="26"/>
      <w:lang w:eastAsia="en-US"/>
    </w:rPr>
  </w:style>
  <w:style w:type="paragraph" w:styleId="5">
    <w:name w:val="heading 4"/>
    <w:basedOn w:val="1"/>
    <w:next w:val="1"/>
    <w:link w:val="31"/>
    <w:qFormat/>
    <w:uiPriority w:val="0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hAnsi="Calibri" w:eastAsia="Calibri"/>
      <w:b/>
      <w:bCs/>
      <w:sz w:val="28"/>
      <w:szCs w:val="28"/>
      <w:lang w:eastAsia="en-US"/>
    </w:rPr>
  </w:style>
  <w:style w:type="paragraph" w:styleId="6">
    <w:name w:val="heading 6"/>
    <w:basedOn w:val="1"/>
    <w:next w:val="1"/>
    <w:link w:val="32"/>
    <w:qFormat/>
    <w:uiPriority w:val="0"/>
    <w:pPr>
      <w:numPr>
        <w:ilvl w:val="5"/>
        <w:numId w:val="1"/>
      </w:numPr>
      <w:spacing w:before="240" w:after="60" w:line="276" w:lineRule="auto"/>
      <w:outlineLvl w:val="5"/>
    </w:pPr>
    <w:rPr>
      <w:rFonts w:ascii="Calibri" w:hAnsi="Calibri" w:eastAsia="Calibri"/>
      <w:b/>
      <w:bCs/>
      <w:sz w:val="22"/>
      <w:szCs w:val="22"/>
      <w:lang w:eastAsia="en-US"/>
    </w:rPr>
  </w:style>
  <w:style w:type="paragraph" w:styleId="7">
    <w:name w:val="heading 7"/>
    <w:basedOn w:val="1"/>
    <w:next w:val="1"/>
    <w:link w:val="33"/>
    <w:qFormat/>
    <w:uiPriority w:val="0"/>
    <w:pPr>
      <w:numPr>
        <w:ilvl w:val="6"/>
        <w:numId w:val="1"/>
      </w:numPr>
      <w:spacing w:before="240" w:after="60" w:line="276" w:lineRule="auto"/>
      <w:outlineLvl w:val="6"/>
    </w:pPr>
    <w:rPr>
      <w:rFonts w:ascii="Calibri" w:hAnsi="Calibri" w:eastAsia="Calibri"/>
      <w:lang w:eastAsia="en-US"/>
    </w:rPr>
  </w:style>
  <w:style w:type="paragraph" w:styleId="8">
    <w:name w:val="heading 8"/>
    <w:basedOn w:val="1"/>
    <w:next w:val="1"/>
    <w:link w:val="34"/>
    <w:qFormat/>
    <w:uiPriority w:val="0"/>
    <w:pPr>
      <w:numPr>
        <w:ilvl w:val="7"/>
        <w:numId w:val="1"/>
      </w:numPr>
      <w:spacing w:before="240" w:after="60" w:line="276" w:lineRule="auto"/>
      <w:outlineLvl w:val="7"/>
    </w:pPr>
    <w:rPr>
      <w:rFonts w:ascii="Calibri" w:hAnsi="Calibri" w:eastAsia="Calibri"/>
      <w:i/>
      <w:iCs/>
      <w:lang w:eastAsia="en-US"/>
    </w:rPr>
  </w:style>
  <w:style w:type="paragraph" w:styleId="9">
    <w:name w:val="heading 9"/>
    <w:basedOn w:val="1"/>
    <w:next w:val="1"/>
    <w:link w:val="35"/>
    <w:qFormat/>
    <w:uiPriority w:val="0"/>
    <w:pPr>
      <w:numPr>
        <w:ilvl w:val="8"/>
        <w:numId w:val="1"/>
      </w:numPr>
      <w:spacing w:before="240" w:after="60" w:line="276" w:lineRule="auto"/>
      <w:outlineLvl w:val="8"/>
    </w:pPr>
    <w:rPr>
      <w:rFonts w:ascii="Arial" w:hAnsi="Arial" w:eastAsia="Calibri"/>
      <w:sz w:val="22"/>
      <w:szCs w:val="22"/>
      <w:lang w:eastAsia="en-US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Style w:val="1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2">
    <w:name w:val="Balloon Text"/>
    <w:basedOn w:val="1"/>
    <w:link w:val="26"/>
    <w:uiPriority w:val="0"/>
    <w:rPr>
      <w:rFonts w:ascii="Tahoma" w:hAnsi="Tahoma"/>
      <w:sz w:val="16"/>
      <w:szCs w:val="16"/>
    </w:rPr>
  </w:style>
  <w:style w:type="paragraph" w:styleId="13">
    <w:name w:val="Body Text"/>
    <w:basedOn w:val="1"/>
    <w:uiPriority w:val="0"/>
    <w:pPr>
      <w:jc w:val="both"/>
    </w:pPr>
  </w:style>
  <w:style w:type="character" w:styleId="14">
    <w:name w:val="annotation reference"/>
    <w:uiPriority w:val="99"/>
    <w:rPr>
      <w:sz w:val="16"/>
      <w:szCs w:val="16"/>
    </w:rPr>
  </w:style>
  <w:style w:type="paragraph" w:styleId="15">
    <w:name w:val="annotation text"/>
    <w:basedOn w:val="1"/>
    <w:link w:val="24"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25"/>
    <w:uiPriority w:val="0"/>
    <w:rPr>
      <w:b/>
      <w:bCs/>
    </w:rPr>
  </w:style>
  <w:style w:type="character" w:styleId="17">
    <w:name w:val="Emphasis"/>
    <w:qFormat/>
    <w:uiPriority w:val="0"/>
    <w:rPr>
      <w:i/>
      <w:iCs/>
    </w:rPr>
  </w:style>
  <w:style w:type="paragraph" w:styleId="18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9">
    <w:name w:val="header"/>
    <w:basedOn w:val="1"/>
    <w:link w:val="37"/>
    <w:unhideWhenUsed/>
    <w:uiPriority w:val="0"/>
    <w:pPr>
      <w:tabs>
        <w:tab w:val="center" w:pos="4677"/>
        <w:tab w:val="right" w:pos="9355"/>
      </w:tabs>
    </w:pPr>
  </w:style>
  <w:style w:type="character" w:styleId="20">
    <w:name w:val="Hyperlink"/>
    <w:uiPriority w:val="0"/>
    <w:rPr>
      <w:color w:val="0000FF"/>
      <w:u w:val="single"/>
    </w:rPr>
  </w:style>
  <w:style w:type="character" w:styleId="21">
    <w:name w:val="page number"/>
    <w:basedOn w:val="10"/>
    <w:uiPriority w:val="0"/>
  </w:style>
  <w:style w:type="table" w:styleId="22">
    <w:name w:val="Table Grid"/>
    <w:basedOn w:val="11"/>
    <w:uiPriority w:val="0"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Body Text 31"/>
    <w:basedOn w:val="1"/>
    <w:uiPriority w:val="0"/>
    <w:pPr>
      <w:jc w:val="both"/>
    </w:pPr>
    <w:rPr>
      <w:sz w:val="22"/>
      <w:szCs w:val="20"/>
    </w:rPr>
  </w:style>
  <w:style w:type="character" w:customStyle="1" w:styleId="24">
    <w:name w:val="Текст примечания Знак"/>
    <w:basedOn w:val="10"/>
    <w:link w:val="15"/>
    <w:uiPriority w:val="99"/>
  </w:style>
  <w:style w:type="character" w:customStyle="1" w:styleId="25">
    <w:name w:val="Тема примечания Знак"/>
    <w:link w:val="16"/>
    <w:uiPriority w:val="0"/>
    <w:rPr>
      <w:b/>
      <w:bCs/>
    </w:rPr>
  </w:style>
  <w:style w:type="character" w:customStyle="1" w:styleId="26">
    <w:name w:val="Текст выноски Знак"/>
    <w:link w:val="12"/>
    <w:uiPriority w:val="0"/>
    <w:rPr>
      <w:rFonts w:ascii="Tahoma" w:hAnsi="Tahoma" w:cs="Tahoma"/>
      <w:sz w:val="16"/>
      <w:szCs w:val="16"/>
    </w:rPr>
  </w:style>
  <w:style w:type="character" w:customStyle="1" w:styleId="27">
    <w:name w:val="apple-style-span"/>
    <w:basedOn w:val="10"/>
    <w:uiPriority w:val="0"/>
  </w:style>
  <w:style w:type="character" w:customStyle="1" w:styleId="28">
    <w:name w:val="Заголовок 1 Знак"/>
    <w:link w:val="2"/>
    <w:uiPriority w:val="0"/>
    <w:rPr>
      <w:rFonts w:ascii="Arial" w:hAnsi="Arial" w:eastAsia="Calibri" w:cs="Arial"/>
      <w:b/>
      <w:bCs/>
      <w:kern w:val="32"/>
      <w:sz w:val="32"/>
      <w:szCs w:val="32"/>
      <w:lang w:eastAsia="en-US"/>
    </w:rPr>
  </w:style>
  <w:style w:type="character" w:customStyle="1" w:styleId="29">
    <w:name w:val="Заголовок 2 Знак"/>
    <w:link w:val="3"/>
    <w:uiPriority w:val="0"/>
    <w:rPr>
      <w:rFonts w:ascii="Arial" w:hAnsi="Arial" w:eastAsia="Calibri" w:cs="Arial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4"/>
    <w:uiPriority w:val="0"/>
    <w:rPr>
      <w:rFonts w:ascii="Arial" w:hAnsi="Arial" w:eastAsia="Calibri" w:cs="Arial"/>
      <w:b/>
      <w:bCs/>
      <w:sz w:val="26"/>
      <w:szCs w:val="26"/>
      <w:lang w:eastAsia="en-US"/>
    </w:rPr>
  </w:style>
  <w:style w:type="character" w:customStyle="1" w:styleId="31">
    <w:name w:val="Заголовок 4 Знак"/>
    <w:link w:val="5"/>
    <w:uiPriority w:val="0"/>
    <w:rPr>
      <w:rFonts w:ascii="Calibri" w:hAnsi="Calibri" w:eastAsia="Calibri"/>
      <w:b/>
      <w:bCs/>
      <w:sz w:val="28"/>
      <w:szCs w:val="28"/>
      <w:lang w:eastAsia="en-US"/>
    </w:rPr>
  </w:style>
  <w:style w:type="character" w:customStyle="1" w:styleId="32">
    <w:name w:val="Заголовок 6 Знак"/>
    <w:link w:val="6"/>
    <w:uiPriority w:val="0"/>
    <w:rPr>
      <w:rFonts w:ascii="Calibri" w:hAnsi="Calibri" w:eastAsia="Calibri"/>
      <w:b/>
      <w:bCs/>
      <w:sz w:val="22"/>
      <w:szCs w:val="22"/>
      <w:lang w:eastAsia="en-US"/>
    </w:rPr>
  </w:style>
  <w:style w:type="character" w:customStyle="1" w:styleId="33">
    <w:name w:val="Заголовок 7 Знак"/>
    <w:link w:val="7"/>
    <w:uiPriority w:val="0"/>
    <w:rPr>
      <w:rFonts w:ascii="Calibri" w:hAnsi="Calibri" w:eastAsia="Calibri"/>
      <w:sz w:val="24"/>
      <w:szCs w:val="24"/>
      <w:lang w:eastAsia="en-US"/>
    </w:rPr>
  </w:style>
  <w:style w:type="character" w:customStyle="1" w:styleId="34">
    <w:name w:val="Заголовок 8 Знак"/>
    <w:link w:val="8"/>
    <w:uiPriority w:val="0"/>
    <w:rPr>
      <w:rFonts w:ascii="Calibri" w:hAnsi="Calibri" w:eastAsia="Calibri"/>
      <w:i/>
      <w:iCs/>
      <w:sz w:val="24"/>
      <w:szCs w:val="24"/>
      <w:lang w:eastAsia="en-US"/>
    </w:rPr>
  </w:style>
  <w:style w:type="character" w:customStyle="1" w:styleId="35">
    <w:name w:val="Заголовок 9 Знак"/>
    <w:link w:val="9"/>
    <w:uiPriority w:val="0"/>
    <w:rPr>
      <w:rFonts w:ascii="Arial" w:hAnsi="Arial" w:eastAsia="Calibri" w:cs="Arial"/>
      <w:sz w:val="22"/>
      <w:szCs w:val="22"/>
      <w:lang w:eastAsia="en-US"/>
    </w:rPr>
  </w:style>
  <w:style w:type="paragraph" w:customStyle="1" w:styleId="36">
    <w:name w:val="Основной текст с отступом 21"/>
    <w:basedOn w:val="1"/>
    <w:uiPriority w:val="0"/>
    <w:pPr>
      <w:widowControl w:val="0"/>
      <w:suppressAutoHyphens/>
      <w:ind w:left="900" w:hanging="540"/>
      <w:jc w:val="both"/>
    </w:pPr>
    <w:rPr>
      <w:rFonts w:eastAsia="SimSun" w:cs="Mangal"/>
      <w:kern w:val="1"/>
      <w:lang w:eastAsia="hi-IN" w:bidi="hi-IN"/>
    </w:rPr>
  </w:style>
  <w:style w:type="character" w:customStyle="1" w:styleId="37">
    <w:name w:val="Верхний колонтитул Знак"/>
    <w:link w:val="19"/>
    <w:uiPriority w:val="0"/>
    <w:rPr>
      <w:sz w:val="24"/>
      <w:szCs w:val="24"/>
    </w:rPr>
  </w:style>
  <w:style w:type="paragraph" w:customStyle="1" w:styleId="38">
    <w:name w:val="Normal1"/>
    <w:qFormat/>
    <w:uiPriority w:val="0"/>
    <w:pPr>
      <w:widowControl w:val="0"/>
      <w:spacing w:line="260" w:lineRule="auto"/>
      <w:ind w:left="40" w:hanging="60"/>
      <w:jc w:val="both"/>
    </w:pPr>
    <w:rPr>
      <w:rFonts w:ascii="Times New Roman" w:hAnsi="Times New Roman" w:eastAsia="Times New Roman" w:cs="Times New Roman"/>
      <w:snapToGrid w:val="0"/>
      <w:sz w:val="1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1942</Words>
  <Characters>11075</Characters>
  <Lines>92</Lines>
  <Paragraphs>25</Paragraphs>
  <TotalTime>0</TotalTime>
  <ScaleCrop>false</ScaleCrop>
  <LinksUpToDate>false</LinksUpToDate>
  <CharactersWithSpaces>12992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2022-11-16T05:41:00Z</dcterms:created>
  <dcterms:modified xsi:type="dcterms:W3CDTF">2024-10-31T13:43:14Z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915D814BB965497A84CFF8C41C1A5D2A_13</vt:lpwstr>
  </property>
</Properties>
</file>