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31A" w14:textId="728EBC7E" w:rsidR="001F3768" w:rsidRPr="00C23BCE" w:rsidRDefault="00C23BCE" w:rsidP="000E1F4C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C23BCE">
        <w:rPr>
          <w:rFonts w:ascii="Fira Sans" w:hAnsi="Fira Sans"/>
          <w:b/>
          <w:sz w:val="28"/>
          <w:lang w:val="en-US"/>
        </w:rPr>
        <w:t>Increment and decrement.</w:t>
      </w:r>
    </w:p>
    <w:p w14:paraId="2AA04D25" w14:textId="5F18EA0F" w:rsidR="00C23BCE" w:rsidRPr="00297732" w:rsidRDefault="00C23BCE" w:rsidP="000E1F4C">
      <w:pPr>
        <w:spacing w:before="240" w:line="240" w:lineRule="auto"/>
        <w:rPr>
          <w:rFonts w:ascii="Fira Sans" w:hAnsi="Fira Sans"/>
          <w:lang w:val="en-US"/>
        </w:rPr>
      </w:pPr>
      <w:r w:rsidRPr="00297732">
        <w:rPr>
          <w:rFonts w:ascii="Fira Sans" w:hAnsi="Fira Sans"/>
          <w:lang w:val="en-US"/>
        </w:rPr>
        <w:t>(++, --)</w:t>
      </w:r>
    </w:p>
    <w:p w14:paraId="12607841" w14:textId="2F7761E8" w:rsidR="00C23BCE" w:rsidRPr="00297732" w:rsidRDefault="00C23BCE" w:rsidP="000E1F4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Some expression can be shortened even more: the increase operator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++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and the decrease operator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--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increase or reduce by one the value stored in a variable. They are equivalent to 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+=1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 to 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-=1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respectively. Thus: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72"/>
        <w:gridCol w:w="81"/>
      </w:tblGrid>
      <w:tr w:rsidR="00C23BCE" w:rsidRPr="00297732" w14:paraId="53AA8BAB" w14:textId="77777777" w:rsidTr="00C23BCE">
        <w:trPr>
          <w:tblCellSpacing w:w="15" w:type="dxa"/>
        </w:trPr>
        <w:tc>
          <w:tcPr>
            <w:tcW w:w="0" w:type="auto"/>
            <w:hideMark/>
          </w:tcPr>
          <w:p w14:paraId="19F21335" w14:textId="77777777" w:rsidR="00C23BCE" w:rsidRPr="00297732" w:rsidRDefault="00C23BCE" w:rsidP="000E1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977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977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6D79791" w14:textId="77777777" w:rsidR="00C23BCE" w:rsidRPr="00297732" w:rsidRDefault="00C23BCE" w:rsidP="000E1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t>++x;</w:t>
            </w:r>
          </w:p>
          <w:p w14:paraId="47DE822C" w14:textId="77777777" w:rsidR="00C23BCE" w:rsidRPr="00297732" w:rsidRDefault="00C23BCE" w:rsidP="000E1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t>x+=1;</w:t>
            </w:r>
          </w:p>
          <w:p w14:paraId="3E34AC6C" w14:textId="77777777" w:rsidR="00C23BCE" w:rsidRPr="00297732" w:rsidRDefault="00C23BCE" w:rsidP="000E1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t>x=x+1;</w:t>
            </w:r>
          </w:p>
        </w:tc>
        <w:tc>
          <w:tcPr>
            <w:tcW w:w="0" w:type="auto"/>
            <w:vAlign w:val="center"/>
            <w:hideMark/>
          </w:tcPr>
          <w:p w14:paraId="05C78E4B" w14:textId="77777777" w:rsidR="00C23BCE" w:rsidRPr="00297732" w:rsidRDefault="00C23BCE" w:rsidP="000E1F4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B1E02BC" w14:textId="77777777" w:rsidR="00793AEC" w:rsidRDefault="00C23BCE" w:rsidP="000E1F4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are all equivalent in its functionality; the three of them increase by one the value of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47ADA3BB" w14:textId="1D11219C" w:rsidR="00793AEC" w:rsidRDefault="00C23BCE" w:rsidP="000E1F4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the early C compilers, the three previous expressions may have produced different executable code depending on which one was used. Nowadays, this type of code optimization</w:t>
      </w:r>
      <w:r w:rsidR="00EB5CD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 generally performed automatically by the compiler, thus the three expressions should produce exactly the same executable code.</w:t>
      </w:r>
    </w:p>
    <w:p w14:paraId="50BCF058" w14:textId="2457F786" w:rsidR="00C23BCE" w:rsidRPr="00297732" w:rsidRDefault="00C23BCE" w:rsidP="000E1F4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 peculiarity of this operator is that it can be used both as a prefix and as a suffix. That means that it can be written either before the variable name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++x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or after it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x++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 Although in simple expressions like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x++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or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++x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both have exactly the same meaning; in other expressions</w:t>
      </w:r>
      <w:r w:rsidR="00C52F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which the result of the increment or decrement operation is evaluated, they may</w:t>
      </w:r>
      <w:r w:rsidR="00C52F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have an important difference in their meaning: In the case that the increase operator is used as a prefix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++x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of the value, the expression evaluates to the final value of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once it is already increased. On the other hand, in case that it is used as a suffix (</w:t>
      </w:r>
      <w:r w:rsidRPr="0029773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x++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), the value is also increased, but the expression evaluates to the value that </w:t>
      </w:r>
      <w:r w:rsidRPr="00D713D4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had before being increased. Notice the difference: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814"/>
      </w:tblGrid>
      <w:tr w:rsidR="00C23BCE" w:rsidRPr="00297732" w14:paraId="4BD8413C" w14:textId="77777777" w:rsidTr="00C23B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B5D35E9" w14:textId="77777777" w:rsidR="00C23BCE" w:rsidRPr="00297732" w:rsidRDefault="00C23BCE" w:rsidP="000E1F4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1EA1299" w14:textId="77777777" w:rsidR="00C23BCE" w:rsidRPr="00297732" w:rsidRDefault="00C23BCE" w:rsidP="000E1F4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Example 2</w:t>
            </w:r>
          </w:p>
        </w:tc>
      </w:tr>
      <w:tr w:rsidR="00C23BCE" w:rsidRPr="00D713D4" w14:paraId="34A386EA" w14:textId="77777777" w:rsidTr="00C23B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B89D7" w14:textId="77777777" w:rsidR="00C23BCE" w:rsidRPr="00297732" w:rsidRDefault="00C23BCE" w:rsidP="000E1F4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t>x = 3;</w:t>
            </w: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br/>
              <w:t>y = ++x;</w:t>
            </w: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br/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F3DE49" w14:textId="77777777" w:rsidR="00C23BCE" w:rsidRPr="00297732" w:rsidRDefault="00C23BCE" w:rsidP="000E1F4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t>x = 3;</w:t>
            </w: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br/>
              <w:t>y = x++;</w:t>
            </w:r>
            <w:r w:rsidRPr="00297732">
              <w:rPr>
                <w:rFonts w:ascii="Fira Sans" w:eastAsia="Times New Roman" w:hAnsi="Fira Sans" w:cs="Courier New"/>
                <w:color w:val="000000"/>
                <w:lang w:val="en-US"/>
              </w:rPr>
              <w:br/>
              <w:t>// x contains 4, y contains 3</w:t>
            </w:r>
          </w:p>
        </w:tc>
      </w:tr>
    </w:tbl>
    <w:p w14:paraId="59D820E8" w14:textId="6163A600" w:rsidR="00C23BCE" w:rsidRPr="00297732" w:rsidRDefault="00C23BCE" w:rsidP="000E1F4C">
      <w:pPr>
        <w:spacing w:before="240" w:line="240" w:lineRule="auto"/>
        <w:rPr>
          <w:rFonts w:ascii="Fira Sans" w:hAnsi="Fira Sans"/>
          <w:lang w:val="en-US"/>
        </w:rPr>
      </w:pP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 </w:t>
      </w:r>
      <w:r w:rsidRPr="0029773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Example 1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the value assigned to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y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the value of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after being increased. While in </w:t>
      </w:r>
      <w:r w:rsidRPr="0029773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Example 2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</w:t>
      </w:r>
      <w:r w:rsidR="0029660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it is the value </w:t>
      </w:r>
      <w:r w:rsidRPr="00D713D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bookmarkStart w:id="0" w:name="_GoBack"/>
      <w:bookmarkEnd w:id="0"/>
      <w:r w:rsidRPr="0029773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had before being increased.</w:t>
      </w:r>
    </w:p>
    <w:sectPr w:rsidR="00C23BCE" w:rsidRPr="0029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F"/>
    <w:rsid w:val="000E1F4C"/>
    <w:rsid w:val="00111F64"/>
    <w:rsid w:val="001F3768"/>
    <w:rsid w:val="00296609"/>
    <w:rsid w:val="00297732"/>
    <w:rsid w:val="004744D2"/>
    <w:rsid w:val="005C1AB7"/>
    <w:rsid w:val="006E4FAF"/>
    <w:rsid w:val="00793AEC"/>
    <w:rsid w:val="007A1CC4"/>
    <w:rsid w:val="008B0AC9"/>
    <w:rsid w:val="00C23BCE"/>
    <w:rsid w:val="00C31471"/>
    <w:rsid w:val="00C52F93"/>
    <w:rsid w:val="00CE1F31"/>
    <w:rsid w:val="00D2097F"/>
    <w:rsid w:val="00D713D4"/>
    <w:rsid w:val="00DD269C"/>
    <w:rsid w:val="00E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9E6"/>
  <w15:chartTrackingRefBased/>
  <w15:docId w15:val="{91785D96-641E-475E-B17E-FDC587E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3BC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3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3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17</cp:revision>
  <dcterms:created xsi:type="dcterms:W3CDTF">2021-12-25T15:25:00Z</dcterms:created>
  <dcterms:modified xsi:type="dcterms:W3CDTF">2022-07-31T12:37:00Z</dcterms:modified>
</cp:coreProperties>
</file>