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00"/>
      </w:tblGrid>
      <w:tr>
        <w:tc>
          <w:tcPr>
            <w:tcW w:type="dxa" w:w="10200"/>
            <w:shd w:fill="0B2B3C"/>
            <w:tcBorders>
              <w:top w:val="single" w:sz="6" w:space="0" w:color="0B2B3C"/>
              <w:left w:val="single" w:sz="6" w:space="0" w:color="0B2B3C"/>
              <w:bottom w:val="single" w:sz="6" w:space="0" w:color="0B2B3C"/>
              <w:right w:val="single" w:sz="6" w:space="0" w:color="0B2B3C"/>
            </w:tcBorders>
            <w:tcMar>
              <w:top w:w="420" w:type="dxa"/>
              <w:start w:w="380" w:type="dxa"/>
              <w:bottom w:w="440" w:type="dxa"/>
              <w:end w:w="380" w:type="dxa"/>
            </w:tcMar>
          </w:tcPr>
          <w:p>
            <w:pPr>
              <w:jc w:val="left"/>
            </w:pPr>
            <w:r>
              <w:drawing>
                <wp:inline xmlns:a="http://schemas.openxmlformats.org/drawingml/2006/main" xmlns:pic="http://schemas.openxmlformats.org/drawingml/2006/picture">
                  <wp:extent cx="2743200" cy="783771"/>
                  <wp:docPr id="1" name="Picture 1"/>
                  <wp:cNvGraphicFramePr>
                    <a:graphicFrameLocks noChangeAspect="1"/>
                  </wp:cNvGraphicFramePr>
                  <a:graphic>
                    <a:graphicData uri="http://schemas.openxmlformats.org/drawingml/2006/picture">
                      <pic:pic>
                        <pic:nvPicPr>
                          <pic:cNvPr id="0" name="Logo_-_Light.png"/>
                          <pic:cNvPicPr/>
                        </pic:nvPicPr>
                        <pic:blipFill>
                          <a:blip r:embed="rId11"/>
                          <a:stretch>
                            <a:fillRect/>
                          </a:stretch>
                        </pic:blipFill>
                        <pic:spPr>
                          <a:xfrm>
                            <a:off x="0" y="0"/>
                            <a:ext cx="2743200" cy="783771"/>
                          </a:xfrm>
                          <a:prstGeom prst="rect"/>
                        </pic:spPr>
                      </pic:pic>
                    </a:graphicData>
                  </a:graphic>
                </wp:inline>
              </w:drawing>
            </w:r>
          </w:p>
          <w:p>
            <w:pPr>
              <w:spacing w:before="800"/>
            </w:pPr>
            <w:r>
              <w:rPr>
                <w:rFonts w:ascii="Aptos" w:hAnsi="Aptos" w:eastAsia="Aptos"/>
                <w:b/>
                <w:color w:val="D6A94A"/>
                <w:sz w:val="20"/>
              </w:rPr>
              <w:t>VIDEO SUITE</w:t>
            </w:r>
          </w:p>
          <w:p>
            <w:r>
              <w:rPr>
                <w:rFonts w:ascii="Aptos Display" w:hAnsi="Aptos Display" w:eastAsia="Aptos Display"/>
                <w:b/>
                <w:color w:val="FFFFFF"/>
                <w:sz w:val="56"/>
              </w:rPr>
              <w:t>Scripts, storyboards</w:t>
              <w:br/>
              <w:t>and recording plan</w:t>
            </w:r>
          </w:p>
          <w:p>
            <w:pPr>
              <w:spacing w:before="320"/>
            </w:pPr>
            <w:r>
              <w:rPr>
                <w:rFonts w:ascii="Aptos" w:hAnsi="Aptos" w:eastAsia="Aptos"/>
                <w:color w:val="DCE8E5"/>
                <w:sz w:val="21"/>
              </w:rPr>
              <w:t>Founder approval pack  •  Version 1.0  •  18 August 2026</w:t>
            </w:r>
          </w:p>
          <w:p>
            <w:pPr>
              <w:spacing w:before="1000"/>
            </w:pPr>
            <w:r>
              <w:rPr>
                <w:rFonts w:ascii="Aptos" w:hAnsi="Aptos" w:eastAsia="Aptos"/>
                <w:b/>
                <w:color w:val="FFFFFF"/>
                <w:sz w:val="30"/>
              </w:rPr>
              <w:t>Real assets. Clear rights. Ethical access.</w:t>
            </w:r>
          </w:p>
          <w:p>
            <w:r>
              <w:rPr>
                <w:rFonts w:ascii="Aptos" w:hAnsi="Aptos" w:eastAsia="Aptos"/>
                <w:color w:val="DCE8E5"/>
                <w:sz w:val="17"/>
              </w:rPr>
              <w:t>Planning only — no video, website or deployment changes have been made.</w:t>
            </w:r>
          </w:p>
        </w:tc>
      </w:tr>
    </w:tbl>
    <w:p>
      <w:r>
        <w:br w:type="page"/>
      </w:r>
    </w:p>
    <w:p>
      <w:pPr>
        <w:spacing w:before="280" w:after="60"/>
        <w:keepNext/>
      </w:pPr>
      <w:r>
        <w:rPr>
          <w:rFonts w:ascii="Aptos" w:hAnsi="Aptos" w:eastAsia="Aptos"/>
          <w:b/>
          <w:color w:val="0B8A72"/>
          <w:sz w:val="17"/>
        </w:rPr>
        <w:t>APPROVAL OVERVIEW</w:t>
      </w:r>
    </w:p>
    <w:p>
      <w:pPr>
        <w:pStyle w:val="Title"/>
        <w:spacing w:after="120"/>
      </w:pPr>
      <w:r>
        <w:rPr>
          <w:rFonts w:ascii="Aptos" w:hAnsi="Aptos" w:eastAsia="Aptos"/>
          <w:b/>
          <w:color w:val="0B2B3C"/>
          <w:sz w:val="50"/>
        </w:rPr>
        <w:t>What this pack decides</w:t>
      </w:r>
    </w:p>
    <w:p>
      <w:pPr>
        <w:spacing w:after="160"/>
        <w:pBdr>
          <w:bottom w:val="single" w:sz="14" w:space="1" w:color="0B8A72"/>
        </w:pBdr>
        <w:keepNext/>
      </w:pPr>
    </w:p>
    <w:p>
      <w:r>
        <w:rPr>
          <w:rFonts w:ascii="Aptos" w:hAnsi="Aptos" w:eastAsia="Aptos"/>
          <w:color w:val="52616A"/>
          <w:sz w:val="20"/>
        </w:rPr>
        <w:t>This pack completes phases 1–3 of the requested workflow: source review, interface verification, and production-ready scripts and recording plans. Draft videos begin only after founder approval.</w:t>
      </w:r>
    </w:p>
    <w:tbl>
      <w:tblPr>
        <w:tblW w:type="auto" w:w="0"/>
        <w:jc w:val="left"/>
        <w:tblLayout w:type="fixed"/>
        <w:tblLook w:firstColumn="1" w:firstRow="1" w:lastColumn="0" w:lastRow="0" w:noHBand="0" w:noVBand="1" w:val="04A0"/>
      </w:tblPr>
      <w:tblGrid>
        <w:gridCol w:w="1814"/>
        <w:gridCol w:w="7937"/>
      </w:tblGrid>
      <w:tr>
        <w:tc>
          <w:tcPr>
            <w:tcW w:type="dxa" w:w="5100"/>
            <w:shd w:fill="E8F3F0"/>
            <w:tcMar>
              <w:top w:w="100" w:type="dxa"/>
              <w:start w:w="140" w:type="dxa"/>
              <w:bottom w:w="100" w:type="dxa"/>
              <w:end w:w="140" w:type="dxa"/>
            </w:tcMar>
            <w:tcBorders>
              <w:top w:val="single" w:sz="6" w:space="0" w:color="E8F3F0"/>
              <w:left w:val="single" w:sz="6" w:space="0" w:color="E8F3F0"/>
              <w:bottom w:val="single" w:sz="6" w:space="0" w:color="E8F3F0"/>
              <w:right w:val="single" w:sz="6" w:space="0" w:color="E8F3F0"/>
            </w:tcBorders>
            <w:vAlign w:val="center"/>
          </w:tcPr>
          <w:p>
            <w:r>
              <w:rPr>
                <w:rFonts w:ascii="Aptos" w:hAnsi="Aptos" w:eastAsia="Aptos"/>
                <w:b/>
                <w:color w:val="0B8A72"/>
                <w:sz w:val="16"/>
              </w:rPr>
              <w:t>RECOMMENDATION</w:t>
            </w:r>
          </w:p>
        </w:tc>
        <w:tc>
          <w:tcPr>
            <w:tcW w:type="dxa" w:w="5100"/>
            <w:shd w:fill="E8F3F0"/>
            <w:tcMar>
              <w:top w:w="100" w:type="dxa"/>
              <w:start w:w="140" w:type="dxa"/>
              <w:bottom w:w="100" w:type="dxa"/>
              <w:end w:w="140" w:type="dxa"/>
            </w:tcMar>
            <w:tcBorders>
              <w:top w:val="single" w:sz="6" w:space="0" w:color="E8F3F0"/>
              <w:left w:val="single" w:sz="6" w:space="0" w:color="E8F3F0"/>
              <w:bottom w:val="single" w:sz="6" w:space="0" w:color="E8F3F0"/>
              <w:right w:val="single" w:sz="6" w:space="0" w:color="E8F3F0"/>
            </w:tcBorders>
            <w:vAlign w:val="center"/>
          </w:tcPr>
          <w:p>
            <w:r>
              <w:rPr>
                <w:rFonts w:ascii="Aptos" w:hAnsi="Aptos" w:eastAsia="Aptos"/>
                <w:b/>
                <w:color w:val="0B2B3C"/>
                <w:sz w:val="18"/>
              </w:rPr>
              <w:t>Record one 60-second introduction, then three separate role walkthroughs. Produce the investor walkthrough first; SME and originator journeys are materially different and should not be mixed.</w:t>
            </w:r>
          </w:p>
        </w:tc>
      </w:tr>
    </w:tbl>
    <w:p>
      <w:pPr>
        <w:spacing w:after="0"/>
      </w:pPr>
    </w:p>
    <w:p>
      <w:pPr>
        <w:pStyle w:val="Heading2"/>
      </w:pPr>
      <w:r>
        <w:t>What is ready to record</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438"/>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Journey or capability</w:t>
            </w:r>
          </w:p>
        </w:tc>
        <w:tc>
          <w:tcPr>
            <w:tcW w:type="dxa" w:w="2324"/>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Current state</w:t>
            </w:r>
          </w:p>
        </w:tc>
        <w:tc>
          <w:tcPr>
            <w:tcW w:type="dxa" w:w="4649"/>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Recording treatment</w:t>
            </w:r>
          </w:p>
        </w:tc>
      </w:tr>
      <w:tr>
        <w:trPr>
          <w:cantSplit/>
        </w:trPr>
        <w:tc>
          <w:tcPr>
            <w:tcW w:type="dxa" w:w="243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Role selection and access request</w:t>
            </w:r>
          </w:p>
        </w:tc>
        <w:tc>
          <w:tcPr>
            <w:tcW w:type="dxa" w:w="232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Available with fictional profiles</w:t>
            </w:r>
          </w:p>
        </w:tc>
        <w:tc>
          <w:tcPr>
            <w:tcW w:type="dxa" w:w="4649"/>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Record now; call it ‘request access’, not live sign-in.</w:t>
            </w:r>
          </w:p>
        </w:tc>
      </w:tr>
      <w:tr>
        <w:trPr>
          <w:cantSplit/>
        </w:trPr>
        <w:tc>
          <w:tcPr>
            <w:tcW w:type="dxa" w:w="2438"/>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Investor dashboard and opportunity review</w:t>
            </w:r>
          </w:p>
        </w:tc>
        <w:tc>
          <w:tcPr>
            <w:tcW w:type="dxa" w:w="2324"/>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Available</w:t>
            </w:r>
          </w:p>
        </w:tc>
        <w:tc>
          <w:tcPr>
            <w:tcW w:type="dxa" w:w="4649"/>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Record now using the reference solar-equipment opportunity.</w:t>
            </w:r>
          </w:p>
        </w:tc>
      </w:tr>
      <w:tr>
        <w:trPr>
          <w:cantSplit/>
        </w:trPr>
        <w:tc>
          <w:tcPr>
            <w:tcW w:type="dxa" w:w="243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Documents, risks and cash-flow scenarios</w:t>
            </w:r>
          </w:p>
        </w:tc>
        <w:tc>
          <w:tcPr>
            <w:tcW w:type="dxa" w:w="232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Available</w:t>
            </w:r>
          </w:p>
        </w:tc>
        <w:tc>
          <w:tcPr>
            <w:tcW w:type="dxa" w:w="4649"/>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Record now; preserve Recorded, Draft and Conditional labels.</w:t>
            </w:r>
          </w:p>
        </w:tc>
      </w:tr>
      <w:tr>
        <w:trPr>
          <w:cantSplit/>
        </w:trPr>
        <w:tc>
          <w:tcPr>
            <w:tcW w:type="dxa" w:w="2438"/>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Investor next step</w:t>
            </w:r>
          </w:p>
        </w:tc>
        <w:tc>
          <w:tcPr>
            <w:tcW w:type="dxa" w:w="2324"/>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Simulated commitment</w:t>
            </w:r>
          </w:p>
        </w:tc>
        <w:tc>
          <w:tcPr>
            <w:tcW w:type="dxa" w:w="4649"/>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Record now with a persistent demonstration disclaimer.</w:t>
            </w:r>
          </w:p>
        </w:tc>
      </w:tr>
      <w:tr>
        <w:trPr>
          <w:cantSplit/>
        </w:trPr>
        <w:tc>
          <w:tcPr>
            <w:tcW w:type="dxa" w:w="243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SME and originator submission</w:t>
            </w:r>
          </w:p>
        </w:tc>
        <w:tc>
          <w:tcPr>
            <w:tcW w:type="dxa" w:w="232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Browser-only synthetic workflow</w:t>
            </w:r>
          </w:p>
        </w:tc>
        <w:tc>
          <w:tcPr>
            <w:tcW w:type="dxa" w:w="4649"/>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Record now; submission routes to human review and is not approval.</w:t>
            </w:r>
          </w:p>
        </w:tc>
      </w:tr>
      <w:tr>
        <w:trPr>
          <w:cantSplit/>
        </w:trPr>
        <w:tc>
          <w:tcPr>
            <w:tcW w:type="dxa" w:w="2438"/>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Admin, governance, Shariah and tokenisation</w:t>
            </w:r>
          </w:p>
        </w:tc>
        <w:tc>
          <w:tcPr>
            <w:tcW w:type="dxa" w:w="2324"/>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Controlled demonstration workflows</w:t>
            </w:r>
          </w:p>
        </w:tc>
        <w:tc>
          <w:tcPr>
            <w:tcW w:type="dxa" w:w="4649"/>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Use in the introduction; make separate advanced tutorials later.</w:t>
            </w:r>
          </w:p>
        </w:tc>
      </w:tr>
      <w:tr>
        <w:trPr>
          <w:cantSplit/>
        </w:trPr>
        <w:tc>
          <w:tcPr>
            <w:tcW w:type="dxa" w:w="243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Live authentication</w:t>
            </w:r>
          </w:p>
        </w:tc>
        <w:tc>
          <w:tcPr>
            <w:tcW w:type="dxa" w:w="232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Not implemented</w:t>
            </w:r>
          </w:p>
        </w:tc>
        <w:tc>
          <w:tcPr>
            <w:tcW w:type="dxa" w:w="4649"/>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Do not describe the access request as sign-in or identity verification.</w:t>
            </w:r>
          </w:p>
        </w:tc>
      </w:tr>
      <w:tr>
        <w:trPr>
          <w:cantSplit/>
        </w:trPr>
        <w:tc>
          <w:tcPr>
            <w:tcW w:type="dxa" w:w="2438"/>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Notifications centre</w:t>
            </w:r>
          </w:p>
        </w:tc>
        <w:tc>
          <w:tcPr>
            <w:tcW w:type="dxa" w:w="2324"/>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Not implemented</w:t>
            </w:r>
          </w:p>
        </w:tc>
        <w:tc>
          <w:tcPr>
            <w:tcW w:type="dxa" w:w="4649"/>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Use Learning Centre and status indicators now; record notifications only after the feature exists.</w:t>
            </w:r>
          </w:p>
        </w:tc>
      </w:tr>
      <w:tr>
        <w:trPr>
          <w:cantSplit/>
        </w:trPr>
        <w:tc>
          <w:tcPr>
            <w:tcW w:type="dxa" w:w="243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Real payments, custody or live digital assets</w:t>
            </w:r>
          </w:p>
        </w:tc>
        <w:tc>
          <w:tcPr>
            <w:tcW w:type="dxa" w:w="232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Not connected</w:t>
            </w:r>
          </w:p>
        </w:tc>
        <w:tc>
          <w:tcPr>
            <w:tcW w:type="dxa" w:w="4649"/>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Never imply they are available.</w:t>
            </w:r>
          </w:p>
        </w:tc>
      </w:tr>
    </w:tbl>
    <w:p>
      <w:pPr>
        <w:spacing w:after="0"/>
      </w:pPr>
    </w:p>
    <w:p>
      <w:r>
        <w:br w:type="page"/>
      </w:r>
    </w:p>
    <w:p>
      <w:pPr>
        <w:spacing w:before="280" w:after="60"/>
        <w:keepNext/>
      </w:pPr>
      <w:r>
        <w:rPr>
          <w:rFonts w:ascii="Aptos" w:hAnsi="Aptos" w:eastAsia="Aptos"/>
          <w:b/>
          <w:color w:val="0B8A72"/>
          <w:sz w:val="17"/>
        </w:rPr>
        <w:t>ACCURACY GUARDRAILS</w:t>
      </w:r>
    </w:p>
    <w:p>
      <w:pPr>
        <w:pStyle w:val="Title"/>
        <w:spacing w:after="120"/>
      </w:pPr>
      <w:r>
        <w:rPr>
          <w:rFonts w:ascii="Aptos" w:hAnsi="Aptos" w:eastAsia="Aptos"/>
          <w:b/>
          <w:color w:val="0B2B3C"/>
          <w:sz w:val="50"/>
        </w:rPr>
        <w:t>Language that protects trust</w:t>
      </w:r>
    </w:p>
    <w:p>
      <w:pPr>
        <w:spacing w:after="160"/>
        <w:pBdr>
          <w:bottom w:val="single" w:sz="14" w:space="1" w:color="0B8A72"/>
        </w:pBdr>
        <w:keepNext/>
      </w:pPr>
    </w:p>
    <w:p>
      <w:pPr>
        <w:pStyle w:val="ListBullet"/>
      </w:pPr>
      <w:r>
        <w:rPr>
          <w:rFonts w:ascii="Aptos" w:hAnsi="Aptos" w:eastAsia="Aptos"/>
          <w:color w:val="52616A"/>
          <w:sz w:val="19"/>
        </w:rPr>
        <w:t>Say ‘Mizant is building’ or ‘is designed to’ when describing the broader operating model.</w:t>
      </w:r>
    </w:p>
    <w:p>
      <w:pPr>
        <w:pStyle w:val="ListBullet"/>
      </w:pPr>
      <w:r>
        <w:rPr>
          <w:rFonts w:ascii="Aptos" w:hAnsi="Aptos" w:eastAsia="Aptos"/>
          <w:color w:val="52616A"/>
          <w:sz w:val="19"/>
        </w:rPr>
        <w:t>Say ‘Shariah-aligned’ and ‘independent Shariah review’; do not make an unqualified platform-wide Shariah-compliance claim.</w:t>
      </w:r>
    </w:p>
    <w:p>
      <w:pPr>
        <w:pStyle w:val="ListBullet"/>
      </w:pPr>
      <w:r>
        <w:rPr>
          <w:rFonts w:ascii="Aptos" w:hAnsi="Aptos" w:eastAsia="Aptos"/>
          <w:color w:val="52616A"/>
          <w:sz w:val="19"/>
        </w:rPr>
        <w:t>Say ‘digital unit’ or ‘digital representation of defined rights’; a token does not create the underlying legal rights or asset value.</w:t>
      </w:r>
    </w:p>
    <w:p>
      <w:pPr>
        <w:pStyle w:val="ListBullet"/>
      </w:pPr>
      <w:r>
        <w:rPr>
          <w:rFonts w:ascii="Aptos" w:hAnsi="Aptos" w:eastAsia="Aptos"/>
          <w:color w:val="52616A"/>
          <w:sz w:val="19"/>
        </w:rPr>
        <w:t>Keep ‘illustrative’, ‘controlled environment’ and ‘demonstration’ labels visible wherever current screens show them.</w:t>
      </w:r>
    </w:p>
    <w:p>
      <w:pPr>
        <w:pStyle w:val="ListBullet"/>
      </w:pPr>
      <w:r>
        <w:rPr>
          <w:rFonts w:ascii="Aptos" w:hAnsi="Aptos" w:eastAsia="Aptos"/>
          <w:color w:val="52616A"/>
          <w:sz w:val="19"/>
        </w:rPr>
        <w:t>Do not mention awards, guaranteed returns, assured liquidity, authorisation, live customers, partnerships or performance claims.</w:t>
      </w:r>
    </w:p>
    <w:p>
      <w:pPr>
        <w:pStyle w:val="Heading2"/>
      </w:pPr>
      <w:r>
        <w:t>Preferred phrasing</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3005"/>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Use</w:t>
            </w:r>
          </w:p>
        </w:tc>
        <w:tc>
          <w:tcPr>
            <w:tcW w:type="dxa" w:w="2665"/>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Avoid</w:t>
            </w:r>
          </w:p>
        </w:tc>
        <w:tc>
          <w:tcPr>
            <w:tcW w:type="dxa" w:w="3855"/>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Reason</w:t>
            </w:r>
          </w:p>
        </w:tc>
      </w:tr>
      <w:tr>
        <w:trPr>
          <w:cantSplit/>
        </w:trPr>
        <w:tc>
          <w:tcPr>
            <w:tcW w:type="dxa" w:w="300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‘Mizant is building a governance-first platform.’</w:t>
            </w:r>
          </w:p>
        </w:tc>
        <w:tc>
          <w:tcPr>
            <w:tcW w:type="dxa" w:w="266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‘Mizant operates a global investment marketplace.’</w:t>
            </w:r>
          </w:p>
        </w:tc>
        <w:tc>
          <w:tcPr>
            <w:tcW w:type="dxa" w:w="385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The broader operating model is an ambition; the current product is a controlled preview.</w:t>
            </w:r>
          </w:p>
        </w:tc>
      </w:tr>
      <w:tr>
        <w:trPr>
          <w:cantSplit/>
        </w:trPr>
        <w:tc>
          <w:tcPr>
            <w:tcW w:type="dxa" w:w="300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‘Shariah-aligned structure with independent review.’</w:t>
            </w:r>
          </w:p>
        </w:tc>
        <w:tc>
          <w:tcPr>
            <w:tcW w:type="dxa" w:w="266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‘Guaranteed Shariah compliant.’</w:t>
            </w:r>
          </w:p>
        </w:tc>
        <w:tc>
          <w:tcPr>
            <w:tcW w:type="dxa" w:w="385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A qualified, independent decision applies to a specific structure and evidence set.</w:t>
            </w:r>
          </w:p>
        </w:tc>
      </w:tr>
      <w:tr>
        <w:trPr>
          <w:cantSplit/>
        </w:trPr>
        <w:tc>
          <w:tcPr>
            <w:tcW w:type="dxa" w:w="300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‘Digital representation of defined rights.’</w:t>
            </w:r>
          </w:p>
        </w:tc>
        <w:tc>
          <w:tcPr>
            <w:tcW w:type="dxa" w:w="266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‘The token is the asset.’</w:t>
            </w:r>
          </w:p>
        </w:tc>
        <w:tc>
          <w:tcPr>
            <w:tcW w:type="dxa" w:w="385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Legal documents establish the rights; technology records and administers them.</w:t>
            </w:r>
          </w:p>
        </w:tc>
      </w:tr>
      <w:tr>
        <w:trPr>
          <w:cantSplit/>
        </w:trPr>
        <w:tc>
          <w:tcPr>
            <w:tcW w:type="dxa" w:w="300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‘Simulate a commitment.’</w:t>
            </w:r>
          </w:p>
        </w:tc>
        <w:tc>
          <w:tcPr>
            <w:tcW w:type="dxa" w:w="266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‘Invest now’ or ‘complete your investment.’</w:t>
            </w:r>
          </w:p>
        </w:tc>
        <w:tc>
          <w:tcPr>
            <w:tcW w:type="dxa" w:w="385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The current flow moves no money and creates no ownership.</w:t>
            </w:r>
          </w:p>
        </w:tc>
      </w:tr>
      <w:tr>
        <w:trPr>
          <w:cantSplit/>
        </w:trPr>
        <w:tc>
          <w:tcPr>
            <w:tcW w:type="dxa" w:w="300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‘Illustrative Ijarah reference journey.’</w:t>
            </w:r>
          </w:p>
        </w:tc>
        <w:tc>
          <w:tcPr>
            <w:tcW w:type="dxa" w:w="266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‘Approved Ijarah product.’</w:t>
            </w:r>
          </w:p>
        </w:tc>
        <w:tc>
          <w:tcPr>
            <w:tcW w:type="dxa" w:w="385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The reference remains subject to legal, regulatory and independent Shariah approval.</w:t>
            </w:r>
          </w:p>
        </w:tc>
      </w:tr>
    </w:tbl>
    <w:p>
      <w:pPr>
        <w:spacing w:after="0"/>
      </w:pPr>
    </w:p>
    <w:p>
      <w:r>
        <w:br w:type="page"/>
      </w:r>
    </w:p>
    <w:p>
      <w:pPr>
        <w:spacing w:before="280" w:after="60"/>
        <w:keepNext/>
      </w:pPr>
      <w:r>
        <w:rPr>
          <w:rFonts w:ascii="Aptos" w:hAnsi="Aptos" w:eastAsia="Aptos"/>
          <w:b/>
          <w:color w:val="0B8A72"/>
          <w:sz w:val="17"/>
        </w:rPr>
        <w:t>PRODUCTION SYSTEM</w:t>
      </w:r>
    </w:p>
    <w:p>
      <w:pPr>
        <w:pStyle w:val="Title"/>
        <w:spacing w:after="120"/>
      </w:pPr>
      <w:r>
        <w:rPr>
          <w:rFonts w:ascii="Aptos" w:hAnsi="Aptos" w:eastAsia="Aptos"/>
          <w:b/>
          <w:color w:val="0B2B3C"/>
          <w:sz w:val="50"/>
        </w:rPr>
        <w:t>A calm, credible visual and editorial language</w:t>
      </w:r>
    </w:p>
    <w:p>
      <w:pPr>
        <w:spacing w:after="160"/>
        <w:pBdr>
          <w:bottom w:val="single" w:sz="14" w:space="1" w:color="0B8A72"/>
        </w:pBdr>
        <w:keepNext/>
      </w:pP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268"/>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Element</w:t>
            </w:r>
          </w:p>
        </w:tc>
        <w:tc>
          <w:tcPr>
            <w:tcW w:type="dxa" w:w="1701"/>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Direction</w:t>
            </w:r>
          </w:p>
        </w:tc>
        <w:tc>
          <w:tcPr>
            <w:tcW w:type="dxa" w:w="5443"/>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Use</w:t>
            </w:r>
          </w:p>
        </w:tc>
      </w:tr>
      <w:tr>
        <w:trPr>
          <w:cantSplit/>
        </w:trPr>
        <w:tc>
          <w:tcPr>
            <w:tcW w:type="dxa" w:w="226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Midnight Teal</w:t>
            </w:r>
          </w:p>
        </w:tc>
        <w:tc>
          <w:tcPr>
            <w:tcW w:type="dxa" w:w="1701"/>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#0B2B3C</w:t>
            </w:r>
          </w:p>
        </w:tc>
        <w:tc>
          <w:tcPr>
            <w:tcW w:type="dxa" w:w="5443"/>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Primary backgrounds, trust and institutional framing.</w:t>
            </w:r>
          </w:p>
        </w:tc>
      </w:tr>
      <w:tr>
        <w:trPr>
          <w:cantSplit/>
        </w:trPr>
        <w:tc>
          <w:tcPr>
            <w:tcW w:type="dxa" w:w="2268"/>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Mizavia Emerald</w:t>
            </w:r>
          </w:p>
        </w:tc>
        <w:tc>
          <w:tcPr>
            <w:tcW w:type="dxa" w:w="1701"/>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#0B8A72</w:t>
            </w:r>
          </w:p>
        </w:tc>
        <w:tc>
          <w:tcPr>
            <w:tcW w:type="dxa" w:w="5443"/>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Actions, selection, positive states and connective motion.</w:t>
            </w:r>
          </w:p>
        </w:tc>
      </w:tr>
      <w:tr>
        <w:trPr>
          <w:cantSplit/>
        </w:trPr>
        <w:tc>
          <w:tcPr>
            <w:tcW w:type="dxa" w:w="226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Token Gold</w:t>
            </w:r>
          </w:p>
        </w:tc>
        <w:tc>
          <w:tcPr>
            <w:tcW w:type="dxa" w:w="1701"/>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#D6A94A</w:t>
            </w:r>
          </w:p>
        </w:tc>
        <w:tc>
          <w:tcPr>
            <w:tcW w:type="dxa" w:w="5443"/>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Ownership/value accent only; keep below approximately 5% of the frame.</w:t>
            </w:r>
          </w:p>
        </w:tc>
      </w:tr>
      <w:tr>
        <w:trPr>
          <w:cantSplit/>
        </w:trPr>
        <w:tc>
          <w:tcPr>
            <w:tcW w:type="dxa" w:w="2268"/>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Soft Ivory</w:t>
            </w:r>
          </w:p>
        </w:tc>
        <w:tc>
          <w:tcPr>
            <w:tcW w:type="dxa" w:w="1701"/>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#F6F7F3</w:t>
            </w:r>
          </w:p>
        </w:tc>
        <w:tc>
          <w:tcPr>
            <w:tcW w:type="dxa" w:w="5443"/>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Readable light backgrounds and warmth.</w:t>
            </w:r>
          </w:p>
        </w:tc>
      </w:tr>
      <w:tr>
        <w:trPr>
          <w:cantSplit/>
        </w:trPr>
        <w:tc>
          <w:tcPr>
            <w:tcW w:type="dxa" w:w="226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Slate</w:t>
            </w:r>
          </w:p>
        </w:tc>
        <w:tc>
          <w:tcPr>
            <w:tcW w:type="dxa" w:w="1701"/>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#52616A</w:t>
            </w:r>
          </w:p>
        </w:tc>
        <w:tc>
          <w:tcPr>
            <w:tcW w:type="dxa" w:w="5443"/>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Supporting copy, labels, controls and documentation.</w:t>
            </w:r>
          </w:p>
        </w:tc>
      </w:tr>
    </w:tbl>
    <w:p>
      <w:pPr>
        <w:spacing w:after="0"/>
      </w:pPr>
    </w:p>
    <w:p>
      <w:pPr>
        <w:pStyle w:val="Heading2"/>
      </w:pPr>
      <w:r>
        <w:t>Motion, sound and captions</w:t>
      </w:r>
    </w:p>
    <w:p>
      <w:pPr>
        <w:pStyle w:val="ListBullet"/>
      </w:pPr>
      <w:r>
        <w:rPr>
          <w:rFonts w:ascii="Aptos" w:hAnsi="Aptos" w:eastAsia="Aptos"/>
          <w:color w:val="52616A"/>
          <w:sz w:val="19"/>
        </w:rPr>
        <w:t>16:9 master at 1920×1080; retain a 90-pixel safe margin for essential text.</w:t>
      </w:r>
    </w:p>
    <w:p>
      <w:pPr>
        <w:pStyle w:val="ListBullet"/>
      </w:pPr>
      <w:r>
        <w:rPr>
          <w:rFonts w:ascii="Aptos" w:hAnsi="Aptos" w:eastAsia="Aptos"/>
          <w:color w:val="52616A"/>
          <w:sz w:val="19"/>
        </w:rPr>
        <w:t>Use restrained 300–500 ms fades, position shifts and line draws. Avoid bounces, neon effects, token-coin clichés and rapid parallax.</w:t>
      </w:r>
    </w:p>
    <w:p>
      <w:pPr>
        <w:pStyle w:val="ListBullet"/>
      </w:pPr>
      <w:r>
        <w:rPr>
          <w:rFonts w:ascii="Aptos" w:hAnsi="Aptos" w:eastAsia="Aptos"/>
          <w:color w:val="52616A"/>
          <w:sz w:val="19"/>
        </w:rPr>
        <w:t>Use authentic platform recordings at 100% browser zoom; introduce 110–115% editorial crops only to clarify a specific status or action.</w:t>
      </w:r>
    </w:p>
    <w:p>
      <w:pPr>
        <w:pStyle w:val="ListBullet"/>
      </w:pPr>
      <w:r>
        <w:rPr>
          <w:rFonts w:ascii="Aptos" w:hAnsi="Aptos" w:eastAsia="Aptos"/>
          <w:color w:val="52616A"/>
          <w:sz w:val="19"/>
        </w:rPr>
        <w:t>Narration: calm neutral British English, 130–145 words per minute, confident but not promotional.</w:t>
      </w:r>
    </w:p>
    <w:p>
      <w:pPr>
        <w:pStyle w:val="ListBullet"/>
      </w:pPr>
      <w:r>
        <w:rPr>
          <w:rFonts w:ascii="Aptos" w:hAnsi="Aptos" w:eastAsia="Aptos"/>
          <w:color w:val="52616A"/>
          <w:sz w:val="19"/>
        </w:rPr>
        <w:t>Music: understated ambient bed, licensed for web and presentation use, mixed at least 16–20 dB below narration.</w:t>
      </w:r>
    </w:p>
    <w:p>
      <w:pPr>
        <w:pStyle w:val="ListBullet"/>
      </w:pPr>
      <w:r>
        <w:rPr>
          <w:rFonts w:ascii="Aptos" w:hAnsi="Aptos" w:eastAsia="Aptos"/>
          <w:color w:val="52616A"/>
          <w:sz w:val="19"/>
        </w:rPr>
        <w:t>Captions: sentence case, maximum two lines, strong contrast, verbatim to the approved narration. Provide burned-in and optional SRT versions.</w:t>
      </w:r>
    </w:p>
    <w:p>
      <w:pPr>
        <w:pStyle w:val="Heading2"/>
      </w:pPr>
      <w:r>
        <w:t>Standard disclaimer</w:t>
      </w:r>
    </w:p>
    <w:tbl>
      <w:tblPr>
        <w:tblW w:type="auto" w:w="0"/>
        <w:jc w:val="center"/>
        <w:tblLook w:firstColumn="1" w:firstRow="1" w:lastColumn="0" w:lastRow="0" w:noHBand="0" w:noVBand="1" w:val="04A0"/>
      </w:tblPr>
      <w:tblGrid>
        <w:gridCol w:w="10200"/>
      </w:tblGrid>
      <w:tr>
        <w:tc>
          <w:tcPr>
            <w:tcW w:type="dxa" w:w="10200"/>
            <w:shd w:fill="F6F7F3"/>
            <w:tcBorders>
              <w:left w:val="single" w:sz="10" w:space="0" w:color="0B8A72"/>
            </w:tcBorders>
            <w:tcMar>
              <w:top w:w="150" w:type="dxa"/>
              <w:start w:w="180" w:type="dxa"/>
              <w:bottom w:w="150" w:type="dxa"/>
              <w:end w:w="180" w:type="dxa"/>
            </w:tcMar>
          </w:tcPr>
          <w:p>
            <w:r>
              <w:rPr>
                <w:rFonts w:ascii="Aptos" w:hAnsi="Aptos" w:eastAsia="Aptos"/>
                <w:b/>
                <w:color w:val="0B8A72"/>
                <w:sz w:val="16"/>
              </w:rPr>
              <w:t>USE ON OPENING OR CLOSING CARDS</w:t>
            </w:r>
          </w:p>
          <w:p>
            <w:pPr>
              <w:spacing w:before="100"/>
            </w:pPr>
            <w:r>
              <w:rPr>
                <w:rFonts w:ascii="Aptos" w:hAnsi="Aptos" w:eastAsia="Aptos"/>
                <w:color w:val="0B2B3C"/>
                <w:sz w:val="20"/>
              </w:rPr>
              <w:t>For demonstration purposes only. This material is not an offer, investment advice, legal opinion or Shariah ruling. The preview uses fictional information and does not process real money, identity verification, custody or live digital assets.</w:t>
            </w:r>
          </w:p>
        </w:tc>
      </w:tr>
    </w:tbl>
    <w:p>
      <w:pPr>
        <w:spacing w:after="0"/>
      </w:pPr>
    </w:p>
    <w:p>
      <w:r>
        <w:br w:type="page"/>
      </w:r>
    </w:p>
    <w:p>
      <w:pPr>
        <w:spacing w:before="280" w:after="60"/>
        <w:keepNext/>
      </w:pPr>
      <w:r>
        <w:rPr>
          <w:rFonts w:ascii="Aptos" w:hAnsi="Aptos" w:eastAsia="Aptos"/>
          <w:b/>
          <w:color w:val="0B8A72"/>
          <w:sz w:val="17"/>
        </w:rPr>
        <w:t>DELIVERABLE 1</w:t>
      </w:r>
    </w:p>
    <w:p>
      <w:pPr>
        <w:pStyle w:val="Title"/>
        <w:spacing w:after="120"/>
      </w:pPr>
      <w:r>
        <w:rPr>
          <w:rFonts w:ascii="Aptos" w:hAnsi="Aptos" w:eastAsia="Aptos"/>
          <w:b/>
          <w:color w:val="0B2B3C"/>
          <w:sz w:val="50"/>
        </w:rPr>
        <w:t>60-second ‘Introducing Mizant’ video</w:t>
      </w:r>
    </w:p>
    <w:p>
      <w:pPr>
        <w:spacing w:after="200"/>
      </w:pPr>
      <w:r>
        <w:rPr>
          <w:rFonts w:ascii="Aptos" w:hAnsi="Aptos" w:eastAsia="Aptos"/>
          <w:color w:val="52616A"/>
          <w:sz w:val="23"/>
        </w:rPr>
        <w:t>Purpose: give a new visitor a concise understanding of Mizant and invite them to explore the platform.</w:t>
      </w:r>
    </w:p>
    <w:p>
      <w:pPr>
        <w:spacing w:after="160"/>
        <w:pBdr>
          <w:bottom w:val="single" w:sz="14" w:space="1" w:color="0B8A72"/>
        </w:pBdr>
        <w:keepNext/>
      </w:pPr>
    </w:p>
    <w:tbl>
      <w:tblPr>
        <w:tblW w:type="auto" w:w="0"/>
        <w:jc w:val="left"/>
        <w:tblLayout w:type="fixed"/>
        <w:tblLook w:firstColumn="1" w:firstRow="1" w:lastColumn="0" w:lastRow="0" w:noHBand="0" w:noVBand="1" w:val="04A0"/>
      </w:tblPr>
      <w:tblGrid>
        <w:gridCol w:w="1814"/>
        <w:gridCol w:w="7937"/>
      </w:tblGrid>
      <w:tr>
        <w:tc>
          <w:tcPr>
            <w:tcW w:type="dxa" w:w="5100"/>
            <w:shd w:fill="E8F3F0"/>
            <w:tcMar>
              <w:top w:w="100" w:type="dxa"/>
              <w:start w:w="140" w:type="dxa"/>
              <w:bottom w:w="100" w:type="dxa"/>
              <w:end w:w="140" w:type="dxa"/>
            </w:tcMar>
            <w:tcBorders>
              <w:top w:val="single" w:sz="6" w:space="0" w:color="E8F3F0"/>
              <w:left w:val="single" w:sz="6" w:space="0" w:color="E8F3F0"/>
              <w:bottom w:val="single" w:sz="6" w:space="0" w:color="E8F3F0"/>
              <w:right w:val="single" w:sz="6" w:space="0" w:color="E8F3F0"/>
            </w:tcBorders>
            <w:vAlign w:val="center"/>
          </w:tcPr>
          <w:p>
            <w:r>
              <w:rPr>
                <w:rFonts w:ascii="Aptos" w:hAnsi="Aptos" w:eastAsia="Aptos"/>
                <w:b/>
                <w:color w:val="0B8A72"/>
                <w:sz w:val="16"/>
              </w:rPr>
              <w:t>EDITORIAL PRINCIPLE</w:t>
            </w:r>
          </w:p>
        </w:tc>
        <w:tc>
          <w:tcPr>
            <w:tcW w:type="dxa" w:w="5100"/>
            <w:shd w:fill="E8F3F0"/>
            <w:tcMar>
              <w:top w:w="100" w:type="dxa"/>
              <w:start w:w="140" w:type="dxa"/>
              <w:bottom w:w="100" w:type="dxa"/>
              <w:end w:w="140" w:type="dxa"/>
            </w:tcMar>
            <w:tcBorders>
              <w:top w:val="single" w:sz="6" w:space="0" w:color="E8F3F0"/>
              <w:left w:val="single" w:sz="6" w:space="0" w:color="E8F3F0"/>
              <w:bottom w:val="single" w:sz="6" w:space="0" w:color="E8F3F0"/>
              <w:right w:val="single" w:sz="6" w:space="0" w:color="E8F3F0"/>
            </w:tcBorders>
            <w:vAlign w:val="center"/>
          </w:tcPr>
          <w:p>
            <w:r>
              <w:rPr>
                <w:rFonts w:ascii="Aptos" w:hAnsi="Aptos" w:eastAsia="Aptos"/>
                <w:b/>
                <w:color w:val="0B2B3C"/>
                <w:sz w:val="18"/>
              </w:rPr>
              <w:t>Open with the economic purpose, not the technology. Show the tokenisation layer only after the asset, rights, evidence and human approvals are understood.</w:t>
            </w:r>
          </w:p>
        </w:tc>
      </w:tr>
    </w:tbl>
    <w:p>
      <w:pPr>
        <w:spacing w:after="0"/>
      </w:pPr>
    </w:p>
    <w:p>
      <w:pPr>
        <w:pStyle w:val="Heading2"/>
      </w:pPr>
      <w:r>
        <w:t>Time-coded storyboard</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907"/>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Time</w:t>
            </w:r>
          </w:p>
        </w:tc>
        <w:tc>
          <w:tcPr>
            <w:tcW w:type="dxa" w:w="1701"/>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Narrative</w:t>
            </w:r>
          </w:p>
        </w:tc>
        <w:tc>
          <w:tcPr>
            <w:tcW w:type="dxa" w:w="4195"/>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Visual and motion direction</w:t>
            </w:r>
          </w:p>
        </w:tc>
        <w:tc>
          <w:tcPr>
            <w:tcW w:type="dxa" w:w="2665"/>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On-screen text</w:t>
            </w:r>
          </w:p>
        </w:tc>
      </w:tr>
      <w:tr>
        <w:trPr>
          <w:cantSplit/>
        </w:trPr>
        <w:tc>
          <w:tcPr>
            <w:tcW w:type="dxa" w:w="907"/>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6"/>
              </w:rPr>
              <w:t>0–6 sec</w:t>
            </w:r>
          </w:p>
        </w:tc>
        <w:tc>
          <w:tcPr>
            <w:tcW w:type="dxa" w:w="1701"/>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The barrier</w:t>
            </w:r>
          </w:p>
        </w:tc>
        <w:tc>
          <w:tcPr>
            <w:tcW w:type="dxa" w:w="419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Kinetic type: ‘High minimums. Complex structures. Unclear rights.’ Three restrained cards assemble over soft ivory. No statistics.</w:t>
            </w:r>
          </w:p>
        </w:tc>
        <w:tc>
          <w:tcPr>
            <w:tcW w:type="dxa" w:w="266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High minimums</w:t>
            </w:r>
            <w:r>
              <w:br/>
            </w:r>
            <w:r>
              <w:rPr>
                <w:rFonts w:ascii="Aptos" w:hAnsi="Aptos" w:eastAsia="Aptos"/>
                <w:b w:val="0"/>
                <w:color w:val="52616A"/>
                <w:sz w:val="16"/>
              </w:rPr>
              <w:t>Complexity</w:t>
            </w:r>
            <w:r>
              <w:br/>
            </w:r>
            <w:r>
              <w:rPr>
                <w:rFonts w:ascii="Aptos" w:hAnsi="Aptos" w:eastAsia="Aptos"/>
                <w:b w:val="0"/>
                <w:color w:val="52616A"/>
                <w:sz w:val="16"/>
              </w:rPr>
              <w:t>Unclear rights</w:t>
            </w:r>
          </w:p>
        </w:tc>
      </w:tr>
      <w:tr>
        <w:trPr>
          <w:cantSplit/>
        </w:trPr>
        <w:tc>
          <w:tcPr>
            <w:tcW w:type="dxa" w:w="907"/>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6"/>
              </w:rPr>
              <w:t>6–16 sec</w:t>
            </w:r>
          </w:p>
        </w:tc>
        <w:tc>
          <w:tcPr>
            <w:tcW w:type="dxa" w:w="1701"/>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Introduce Mizant</w:t>
            </w:r>
          </w:p>
        </w:tc>
        <w:tc>
          <w:tcPr>
            <w:tcW w:type="dxa" w:w="419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Reveal the supplied dark logo at correct proportions. A thin emerald line connects ‘real assets’ to ‘clear rights’. Gold appears only as a small ownership accent.</w:t>
            </w:r>
          </w:p>
        </w:tc>
        <w:tc>
          <w:tcPr>
            <w:tcW w:type="dxa" w:w="266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A governance-first platform for responsible real-asset investment</w:t>
            </w:r>
          </w:p>
        </w:tc>
      </w:tr>
      <w:tr>
        <w:trPr>
          <w:cantSplit/>
        </w:trPr>
        <w:tc>
          <w:tcPr>
            <w:tcW w:type="dxa" w:w="907"/>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6"/>
              </w:rPr>
              <w:t>16–32 sec</w:t>
            </w:r>
          </w:p>
        </w:tc>
        <w:tc>
          <w:tcPr>
            <w:tcW w:type="dxa" w:w="1701"/>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Connect the participants</w:t>
            </w:r>
          </w:p>
        </w:tc>
        <w:tc>
          <w:tcPr>
            <w:tcW w:type="dxa" w:w="419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Simple approved-motion diagram: SME/originator → evidence and independent review → eligible investor. Use icons and labels, not invented UI.</w:t>
            </w:r>
          </w:p>
        </w:tc>
        <w:tc>
          <w:tcPr>
            <w:tcW w:type="dxa" w:w="266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Prepare • Review • Understand</w:t>
            </w:r>
          </w:p>
        </w:tc>
      </w:tr>
      <w:tr>
        <w:trPr>
          <w:cantSplit/>
        </w:trPr>
        <w:tc>
          <w:tcPr>
            <w:tcW w:type="dxa" w:w="907"/>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6"/>
              </w:rPr>
              <w:t>32–38 sec</w:t>
            </w:r>
          </w:p>
        </w:tc>
        <w:tc>
          <w:tcPr>
            <w:tcW w:type="dxa" w:w="1701"/>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Structured opportunity</w:t>
            </w:r>
          </w:p>
        </w:tc>
        <w:tc>
          <w:tcPr>
            <w:tcW w:type="dxa" w:w="419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Authentic recording: investor dashboard, then Opportunities. Highlight next action and the reference opportunity without hiding the controlled-environment label.</w:t>
            </w:r>
          </w:p>
        </w:tc>
        <w:tc>
          <w:tcPr>
            <w:tcW w:type="dxa" w:w="266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One understandable view</w:t>
            </w:r>
          </w:p>
        </w:tc>
      </w:tr>
      <w:tr>
        <w:trPr>
          <w:cantSplit/>
        </w:trPr>
        <w:tc>
          <w:tcPr>
            <w:tcW w:type="dxa" w:w="907"/>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6"/>
              </w:rPr>
              <w:t>38–43 sec</w:t>
            </w:r>
          </w:p>
        </w:tc>
        <w:tc>
          <w:tcPr>
            <w:tcW w:type="dxa" w:w="1701"/>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Evidence and Shariah governance</w:t>
            </w:r>
          </w:p>
        </w:tc>
        <w:tc>
          <w:tcPr>
            <w:tcW w:type="dxa" w:w="419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Authentic recording: opportunity document room, Governance and Shariah assurance pages. Use one slow zoom on version/status labels.</w:t>
            </w:r>
          </w:p>
        </w:tc>
        <w:tc>
          <w:tcPr>
            <w:tcW w:type="dxa" w:w="266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Versioned evidence • Human approval</w:t>
            </w:r>
          </w:p>
        </w:tc>
      </w:tr>
      <w:tr>
        <w:trPr>
          <w:cantSplit/>
        </w:trPr>
        <w:tc>
          <w:tcPr>
            <w:tcW w:type="dxa" w:w="907"/>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6"/>
              </w:rPr>
              <w:t>43–47 sec</w:t>
            </w:r>
          </w:p>
        </w:tc>
        <w:tc>
          <w:tcPr>
            <w:tcW w:type="dxa" w:w="1701"/>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Ownership and tokenisation controls</w:t>
            </w:r>
          </w:p>
        </w:tc>
        <w:tc>
          <w:tcPr>
            <w:tcW w:type="dxa" w:w="419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Authentic recording: controlled tokenisation stage and ownership register. Do not imply blockchain settlement or a live token.</w:t>
            </w:r>
          </w:p>
        </w:tc>
        <w:tc>
          <w:tcPr>
            <w:tcW w:type="dxa" w:w="266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Defined rights • Controlled records</w:t>
            </w:r>
          </w:p>
        </w:tc>
      </w:tr>
      <w:tr>
        <w:trPr>
          <w:cantSplit/>
        </w:trPr>
        <w:tc>
          <w:tcPr>
            <w:tcW w:type="dxa" w:w="907"/>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6"/>
              </w:rPr>
              <w:t>47–56 sec</w:t>
            </w:r>
          </w:p>
        </w:tc>
        <w:tc>
          <w:tcPr>
            <w:tcW w:type="dxa" w:w="1701"/>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Intended outcome</w:t>
            </w:r>
          </w:p>
        </w:tc>
        <w:tc>
          <w:tcPr>
            <w:tcW w:type="dxa" w:w="419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Return to the opportunity’s plain-language summary. Three words appear in sequence: accessible, understandable, accountable.</w:t>
            </w:r>
          </w:p>
        </w:tc>
        <w:tc>
          <w:tcPr>
            <w:tcW w:type="dxa" w:w="266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Understand what you own, how value may arise and what could go wrong</w:t>
            </w:r>
          </w:p>
        </w:tc>
      </w:tr>
      <w:tr>
        <w:trPr>
          <w:cantSplit/>
        </w:trPr>
        <w:tc>
          <w:tcPr>
            <w:tcW w:type="dxa" w:w="907"/>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6"/>
              </w:rPr>
              <w:t>56–60 sec</w:t>
            </w:r>
          </w:p>
        </w:tc>
        <w:tc>
          <w:tcPr>
            <w:tcW w:type="dxa" w:w="1701"/>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Close</w:t>
            </w:r>
          </w:p>
        </w:tc>
        <w:tc>
          <w:tcPr>
            <w:tcW w:type="dxa" w:w="419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Navy end card. Supplied light logo. Emerald CTA; small gold rule. Music resolves gently.</w:t>
            </w:r>
          </w:p>
        </w:tc>
        <w:tc>
          <w:tcPr>
            <w:tcW w:type="dxa" w:w="266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6"/>
              </w:rPr>
              <w:t>Real assets. Clear rights. Ethical access.</w:t>
            </w:r>
            <w:r>
              <w:br/>
            </w:r>
            <w:r>
              <w:rPr>
                <w:rFonts w:ascii="Aptos" w:hAnsi="Aptos" w:eastAsia="Aptos"/>
                <w:b w:val="0"/>
                <w:color w:val="52616A"/>
                <w:sz w:val="16"/>
              </w:rPr>
              <w:t>Explore Mizant</w:t>
            </w:r>
          </w:p>
        </w:tc>
      </w:tr>
    </w:tbl>
    <w:p>
      <w:pPr>
        <w:spacing w:after="0"/>
      </w:pPr>
    </w:p>
    <w:p>
      <w:pPr>
        <w:pStyle w:val="Heading2"/>
      </w:pPr>
      <w:r>
        <w:t>Approved voiceover</w:t>
      </w:r>
    </w:p>
    <w:tbl>
      <w:tblPr>
        <w:tblW w:type="auto" w:w="0"/>
        <w:jc w:val="center"/>
        <w:tblLook w:firstColumn="1" w:firstRow="1" w:lastColumn="0" w:lastRow="0" w:noHBand="0" w:noVBand="1" w:val="04A0"/>
      </w:tblPr>
      <w:tblGrid>
        <w:gridCol w:w="10200"/>
      </w:tblGrid>
      <w:tr>
        <w:tc>
          <w:tcPr>
            <w:tcW w:type="dxa" w:w="10200"/>
            <w:shd w:fill="F6F7F3"/>
            <w:tcBorders>
              <w:left w:val="single" w:sz="10" w:space="0" w:color="0B8A72"/>
            </w:tcBorders>
            <w:tcMar>
              <w:top w:w="150" w:type="dxa"/>
              <w:start w:w="180" w:type="dxa"/>
              <w:bottom w:w="150" w:type="dxa"/>
              <w:end w:w="180" w:type="dxa"/>
            </w:tcMar>
          </w:tcPr>
          <w:p>
            <w:r>
              <w:rPr>
                <w:rFonts w:ascii="Aptos" w:hAnsi="Aptos" w:eastAsia="Aptos"/>
                <w:b/>
                <w:color w:val="0B8A72"/>
                <w:sz w:val="16"/>
              </w:rPr>
              <w:t>VOICEOVER — 136 WORDS</w:t>
            </w:r>
          </w:p>
          <w:p>
            <w:pPr>
              <w:spacing w:before="100"/>
            </w:pPr>
            <w:r>
              <w:rPr>
                <w:rFonts w:ascii="Aptos" w:hAnsi="Aptos" w:eastAsia="Aptos"/>
                <w:color w:val="0B2B3C"/>
                <w:sz w:val="20"/>
              </w:rPr>
              <w:t>Many people are excluded from real-asset investment by high minimums, complexity and uncertainty about what they truly own. Mizant is building a governance-first platform designed to make responsible real-asset opportunities more accessible, understandable and accountable. Originators and SMEs prepare an asset and its evidence. Independent legal, risk and Shariah reviewers assess the structure. Eligible investors can then explore the opportunity, understand the rights, risks and cash-flow source, and follow a controlled commitment journey. The platform connects versioned documents, approvals, ownership records and tokenisation controls, while keeping legal rights, identity data and money within appropriate off-chain and regulated processes. The first reference journey uses solar equipment leased to a productive SME under an illustrative Ijarah structure. Mizant’s principle is simple: real assets, clear rights, ethical access. Explore the platform and see how governed investment infrastructure can work.</w:t>
            </w:r>
          </w:p>
        </w:tc>
      </w:tr>
    </w:tbl>
    <w:p>
      <w:pPr>
        <w:spacing w:after="0"/>
      </w:pPr>
    </w:p>
    <w:p>
      <w:pPr>
        <w:pStyle w:val="Heading2"/>
      </w:pPr>
      <w:r>
        <w:t>Required assets</w:t>
      </w:r>
    </w:p>
    <w:p>
      <w:pPr>
        <w:pStyle w:val="ListBullet"/>
      </w:pPr>
      <w:r>
        <w:rPr>
          <w:rFonts w:ascii="Aptos" w:hAnsi="Aptos" w:eastAsia="Aptos"/>
          <w:color w:val="52616A"/>
          <w:sz w:val="19"/>
        </w:rPr>
        <w:t>Supplied Logo — Dark and Logo — Light, plus the approved logomark for small end-card applications.</w:t>
      </w:r>
    </w:p>
    <w:p>
      <w:pPr>
        <w:pStyle w:val="ListBullet"/>
      </w:pPr>
      <w:r>
        <w:rPr>
          <w:rFonts w:ascii="Aptos" w:hAnsi="Aptos" w:eastAsia="Aptos"/>
          <w:color w:val="52616A"/>
          <w:sz w:val="19"/>
        </w:rPr>
        <w:t>Colour System source deck and the five approved colour values.</w:t>
      </w:r>
    </w:p>
    <w:p>
      <w:pPr>
        <w:pStyle w:val="ListBullet"/>
      </w:pPr>
      <w:r>
        <w:rPr>
          <w:rFonts w:ascii="Aptos" w:hAnsi="Aptos" w:eastAsia="Aptos"/>
          <w:color w:val="52616A"/>
          <w:sz w:val="19"/>
        </w:rPr>
        <w:t>Real 1920×1080 screen recordings of /demo, /opportunities, /opportunities/solar-ijarah, /governance, /shariah, /tokenisation and /ownership.</w:t>
      </w:r>
    </w:p>
    <w:p>
      <w:pPr>
        <w:pStyle w:val="ListBullet"/>
      </w:pPr>
      <w:r>
        <w:rPr>
          <w:rFonts w:ascii="Aptos" w:hAnsi="Aptos" w:eastAsia="Aptos"/>
          <w:color w:val="52616A"/>
          <w:sz w:val="19"/>
        </w:rPr>
        <w:t>Approved participant and workflow icons derived from the current interface or pitch deck; no fictional screens.</w:t>
      </w:r>
    </w:p>
    <w:p>
      <w:pPr>
        <w:pStyle w:val="ListBullet"/>
      </w:pPr>
      <w:r>
        <w:rPr>
          <w:rFonts w:ascii="Aptos" w:hAnsi="Aptos" w:eastAsia="Aptos"/>
          <w:color w:val="52616A"/>
          <w:sz w:val="19"/>
        </w:rPr>
        <w:t>Licensed ambient music, British-English narration, caption file, transcript and final disclaimer card.</w:t>
      </w:r>
    </w:p>
    <w:p>
      <w:pPr>
        <w:pStyle w:val="Heading2"/>
      </w:pPr>
      <w:r>
        <w:t>Website placement and thumbnail</w:t>
      </w:r>
    </w:p>
    <w:p>
      <w:r>
        <w:rPr>
          <w:rFonts w:ascii="Aptos" w:hAnsi="Aptos" w:eastAsia="Aptos"/>
          <w:color w:val="52616A"/>
          <w:sz w:val="20"/>
        </w:rPr>
        <w:t>Place the 60-second film below the public hero and above the three role-entry cards. Keep playback user-initiated, muted until selected, with a written transcript immediately below. Use a secondary placement in the Learning Centre introduction.</w:t>
      </w:r>
    </w:p>
    <w:p>
      <w:r>
        <w:rPr>
          <w:rFonts w:ascii="Aptos" w:hAnsi="Aptos" w:eastAsia="Aptos"/>
          <w:color w:val="52616A"/>
          <w:sz w:val="20"/>
        </w:rPr>
        <w:t>Thumbnail: soft-ivory background; supplied dark logomark at left; authentic crop of the solar-opportunity structure at right; headline ‘Real assets. Clear rights.’ in Midnight Teal; small emerald play button; no people, coins or invented dashboard elements.</w:t>
      </w:r>
    </w:p>
    <w:p>
      <w:r>
        <w:br w:type="page"/>
      </w:r>
    </w:p>
    <w:p>
      <w:pPr>
        <w:spacing w:before="280" w:after="60"/>
        <w:keepNext/>
      </w:pPr>
      <w:r>
        <w:rPr>
          <w:rFonts w:ascii="Aptos" w:hAnsi="Aptos" w:eastAsia="Aptos"/>
          <w:b/>
          <w:color w:val="0B8A72"/>
          <w:sz w:val="17"/>
        </w:rPr>
        <w:t>DELIVERABLE 2</w:t>
      </w:r>
    </w:p>
    <w:p>
      <w:pPr>
        <w:pStyle w:val="Title"/>
        <w:spacing w:after="120"/>
      </w:pPr>
      <w:r>
        <w:rPr>
          <w:rFonts w:ascii="Aptos" w:hAnsi="Aptos" w:eastAsia="Aptos"/>
          <w:b/>
          <w:color w:val="0B2B3C"/>
          <w:sz w:val="50"/>
        </w:rPr>
        <w:t>Two-minute platform walkthrough</w:t>
      </w:r>
    </w:p>
    <w:p>
      <w:pPr>
        <w:spacing w:after="200"/>
      </w:pPr>
      <w:r>
        <w:rPr>
          <w:rFonts w:ascii="Aptos" w:hAnsi="Aptos" w:eastAsia="Aptos"/>
          <w:color w:val="52616A"/>
          <w:sz w:val="23"/>
        </w:rPr>
        <w:t>Primary recording: investor journey. SME and originator companion recordings are recommended because the tasks, language and success states differ substantially.</w:t>
      </w:r>
    </w:p>
    <w:p>
      <w:pPr>
        <w:spacing w:after="160"/>
        <w:pBdr>
          <w:bottom w:val="single" w:sz="14" w:space="1" w:color="0B8A72"/>
        </w:pBdr>
        <w:keepNext/>
      </w:pPr>
    </w:p>
    <w:tbl>
      <w:tblPr>
        <w:tblW w:type="auto" w:w="0"/>
        <w:jc w:val="left"/>
        <w:tblLayout w:type="fixed"/>
        <w:tblLook w:firstColumn="1" w:firstRow="1" w:lastColumn="0" w:lastRow="0" w:noHBand="0" w:noVBand="1" w:val="04A0"/>
      </w:tblPr>
      <w:tblGrid>
        <w:gridCol w:w="1814"/>
        <w:gridCol w:w="7937"/>
      </w:tblGrid>
      <w:tr>
        <w:tc>
          <w:tcPr>
            <w:tcW w:type="dxa" w:w="5100"/>
            <w:shd w:fill="E8F3F0"/>
            <w:tcMar>
              <w:top w:w="100" w:type="dxa"/>
              <w:start w:w="140" w:type="dxa"/>
              <w:bottom w:w="100" w:type="dxa"/>
              <w:end w:w="140" w:type="dxa"/>
            </w:tcMar>
            <w:tcBorders>
              <w:top w:val="single" w:sz="6" w:space="0" w:color="E8F3F0"/>
              <w:left w:val="single" w:sz="6" w:space="0" w:color="E8F3F0"/>
              <w:bottom w:val="single" w:sz="6" w:space="0" w:color="E8F3F0"/>
              <w:right w:val="single" w:sz="6" w:space="0" w:color="E8F3F0"/>
            </w:tcBorders>
            <w:vAlign w:val="center"/>
          </w:tcPr>
          <w:p>
            <w:r>
              <w:rPr>
                <w:rFonts w:ascii="Aptos" w:hAnsi="Aptos" w:eastAsia="Aptos"/>
                <w:b/>
                <w:color w:val="0B8A72"/>
                <w:sz w:val="16"/>
              </w:rPr>
              <w:t>PRIMARY DECISION</w:t>
            </w:r>
          </w:p>
        </w:tc>
        <w:tc>
          <w:tcPr>
            <w:tcW w:type="dxa" w:w="5100"/>
            <w:shd w:fill="E8F3F0"/>
            <w:tcMar>
              <w:top w:w="100" w:type="dxa"/>
              <w:start w:w="140" w:type="dxa"/>
              <w:bottom w:w="100" w:type="dxa"/>
              <w:end w:w="140" w:type="dxa"/>
            </w:tcMar>
            <w:tcBorders>
              <w:top w:val="single" w:sz="6" w:space="0" w:color="E8F3F0"/>
              <w:left w:val="single" w:sz="6" w:space="0" w:color="E8F3F0"/>
              <w:bottom w:val="single" w:sz="6" w:space="0" w:color="E8F3F0"/>
              <w:right w:val="single" w:sz="6" w:space="0" w:color="E8F3F0"/>
            </w:tcBorders>
            <w:vAlign w:val="center"/>
          </w:tcPr>
          <w:p>
            <w:r>
              <w:rPr>
                <w:rFonts w:ascii="Aptos" w:hAnsi="Aptos" w:eastAsia="Aptos"/>
                <w:b/>
                <w:color w:val="0B2B3C"/>
                <w:sz w:val="18"/>
              </w:rPr>
              <w:t>Approve the investor walkthrough as the first two-minute recording. Create separate SME and originator versions rather than switching roles mid-video.</w:t>
            </w:r>
          </w:p>
        </w:tc>
      </w:tr>
    </w:tbl>
    <w:p>
      <w:pPr>
        <w:spacing w:after="0"/>
      </w:pPr>
    </w:p>
    <w:p>
      <w:pPr>
        <w:pStyle w:val="Heading2"/>
      </w:pPr>
      <w:r>
        <w:t>Investor screen-recording plan</w:t>
      </w:r>
    </w:p>
    <w:tbl>
      <w:tblPr>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794"/>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Time</w:t>
            </w:r>
          </w:p>
        </w:tc>
        <w:tc>
          <w:tcPr>
            <w:tcW w:type="dxa" w:w="1701"/>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Page</w:t>
            </w:r>
          </w:p>
        </w:tc>
        <w:tc>
          <w:tcPr>
            <w:tcW w:type="dxa" w:w="3061"/>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Exact action</w:t>
            </w:r>
          </w:p>
        </w:tc>
        <w:tc>
          <w:tcPr>
            <w:tcW w:type="dxa" w:w="2438"/>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Cursor / zoom</w:t>
            </w:r>
          </w:p>
        </w:tc>
        <w:tc>
          <w:tcPr>
            <w:tcW w:type="dxa" w:w="1814"/>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Caption</w:t>
            </w:r>
          </w:p>
        </w:tc>
      </w:tr>
      <w:tr>
        <w:trPr>
          <w:cantSplit/>
        </w:trPr>
        <w:tc>
          <w:tcPr>
            <w:tcW w:type="dxa" w:w="79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5"/>
              </w:rPr>
              <w:t>0–10</w:t>
            </w:r>
          </w:p>
        </w:tc>
        <w:tc>
          <w:tcPr>
            <w:tcW w:type="dxa" w:w="1701"/>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Opening title card</w:t>
            </w:r>
          </w:p>
        </w:tc>
        <w:tc>
          <w:tcPr>
            <w:tcW w:type="dxa" w:w="3061"/>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Mizant Platform Walkthrough — Investor journey</w:t>
            </w:r>
          </w:p>
        </w:tc>
        <w:tc>
          <w:tcPr>
            <w:tcW w:type="dxa" w:w="243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No cursor. 1.5-second logo reveal; disclaimer remains visible for at least 3 seconds.</w:t>
            </w:r>
          </w:p>
        </w:tc>
        <w:tc>
          <w:tcPr>
            <w:tcW w:type="dxa" w:w="181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How to explore an opportunity and complete a safe demonstration journey</w:t>
            </w:r>
          </w:p>
        </w:tc>
      </w:tr>
      <w:tr>
        <w:trPr>
          <w:cantSplit/>
        </w:trPr>
        <w:tc>
          <w:tcPr>
            <w:tcW w:type="dxa" w:w="794"/>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5"/>
              </w:rPr>
              <w:t>10–25</w:t>
            </w:r>
          </w:p>
        </w:tc>
        <w:tc>
          <w:tcPr>
            <w:tcW w:type="dxa" w:w="1701"/>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/start</w:t>
            </w:r>
          </w:p>
        </w:tc>
        <w:tc>
          <w:tcPr>
            <w:tcW w:type="dxa" w:w="3061"/>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Choose Investor → retain fictional profile → Request preview access → Open my workspace</w:t>
            </w:r>
          </w:p>
        </w:tc>
        <w:tc>
          <w:tcPr>
            <w:tcW w:type="dxa" w:w="2438"/>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One circular cursor emphasis on Investor and Request preview access. 115% zoom only on the success state.</w:t>
            </w:r>
          </w:p>
        </w:tc>
        <w:tc>
          <w:tcPr>
            <w:tcW w:type="dxa" w:w="1814"/>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Choose a workspace and request demonstration access</w:t>
            </w:r>
          </w:p>
        </w:tc>
      </w:tr>
      <w:tr>
        <w:trPr>
          <w:cantSplit/>
        </w:trPr>
        <w:tc>
          <w:tcPr>
            <w:tcW w:type="dxa" w:w="79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5"/>
              </w:rPr>
              <w:t>25–45</w:t>
            </w:r>
          </w:p>
        </w:tc>
        <w:tc>
          <w:tcPr>
            <w:tcW w:type="dxa" w:w="1701"/>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/demo</w:t>
            </w:r>
          </w:p>
        </w:tc>
        <w:tc>
          <w:tcPr>
            <w:tcW w:type="dxa" w:w="3061"/>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Pause on next action → point to sidebar → point to workspace selector → click Opportunities</w:t>
            </w:r>
          </w:p>
        </w:tc>
        <w:tc>
          <w:tcPr>
            <w:tcW w:type="dxa" w:w="243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Move deliberately. Do not wave the cursor. 110% crop around readiness checklist for 3 seconds.</w:t>
            </w:r>
          </w:p>
        </w:tc>
        <w:tc>
          <w:tcPr>
            <w:tcW w:type="dxa" w:w="181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Your dashboard puts the next action first</w:t>
            </w:r>
          </w:p>
        </w:tc>
      </w:tr>
      <w:tr>
        <w:trPr>
          <w:cantSplit/>
        </w:trPr>
        <w:tc>
          <w:tcPr>
            <w:tcW w:type="dxa" w:w="794"/>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5"/>
              </w:rPr>
              <w:t>45–58</w:t>
            </w:r>
          </w:p>
        </w:tc>
        <w:tc>
          <w:tcPr>
            <w:tcW w:type="dxa" w:w="1701"/>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/opportunities</w:t>
            </w:r>
          </w:p>
        </w:tc>
        <w:tc>
          <w:tcPr>
            <w:tcW w:type="dxa" w:w="3061"/>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Pause on reference opportunity → point to status, asset pool, term and unit reference → Review opportunity</w:t>
            </w:r>
          </w:p>
        </w:tc>
        <w:tc>
          <w:tcPr>
            <w:tcW w:type="dxa" w:w="2438"/>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Use four short highlights, then one click. Keep ‘Illustrative only’ visible.</w:t>
            </w:r>
          </w:p>
        </w:tc>
        <w:tc>
          <w:tcPr>
            <w:tcW w:type="dxa" w:w="1814"/>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Review the reference opportunity and its current status</w:t>
            </w:r>
          </w:p>
        </w:tc>
      </w:tr>
      <w:tr>
        <w:trPr>
          <w:cantSplit/>
        </w:trPr>
        <w:tc>
          <w:tcPr>
            <w:tcW w:type="dxa" w:w="79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5"/>
              </w:rPr>
              <w:t>58–100</w:t>
            </w:r>
          </w:p>
        </w:tc>
        <w:tc>
          <w:tcPr>
            <w:tcW w:type="dxa" w:w="1701"/>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/opportunities/solar-ijarah</w:t>
            </w:r>
          </w:p>
        </w:tc>
        <w:tc>
          <w:tcPr>
            <w:tcW w:type="dxa" w:w="3061"/>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Show asset purpose → structure flow → risks → cash-flow scenarios → document room</w:t>
            </w:r>
          </w:p>
        </w:tc>
        <w:tc>
          <w:tcPr>
            <w:tcW w:type="dxa" w:w="243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Slow vertical scroll; stop 3–4 seconds per section. Zoom only on ‘What could go wrong’ and document statuses.</w:t>
            </w:r>
          </w:p>
        </w:tc>
        <w:tc>
          <w:tcPr>
            <w:tcW w:type="dxa" w:w="181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Understand the asset, rights, risks, scenarios and evidence</w:t>
            </w:r>
          </w:p>
        </w:tc>
      </w:tr>
      <w:tr>
        <w:trPr>
          <w:cantSplit/>
        </w:trPr>
        <w:tc>
          <w:tcPr>
            <w:tcW w:type="dxa" w:w="794"/>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5"/>
              </w:rPr>
              <w:t>100–112</w:t>
            </w:r>
          </w:p>
        </w:tc>
        <w:tc>
          <w:tcPr>
            <w:tcW w:type="dxa" w:w="1701"/>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/subscribe</w:t>
            </w:r>
          </w:p>
        </w:tc>
        <w:tc>
          <w:tcPr>
            <w:tcW w:type="dxa" w:w="3061"/>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Continue to commitment review → select amount → Continue to review → tick three comprehension points</w:t>
            </w:r>
          </w:p>
        </w:tc>
        <w:tc>
          <w:tcPr>
            <w:tcW w:type="dxa" w:w="2438"/>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Cut between step 1 and step 2. Do not show any real identity, bank, wallet or payment screen.</w:t>
            </w:r>
          </w:p>
        </w:tc>
        <w:tc>
          <w:tcPr>
            <w:tcW w:type="dxa" w:w="1814"/>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A comprehension gate comes before confirmation</w:t>
            </w:r>
          </w:p>
        </w:tc>
      </w:tr>
      <w:tr>
        <w:trPr>
          <w:cantSplit/>
        </w:trPr>
        <w:tc>
          <w:tcPr>
            <w:tcW w:type="dxa" w:w="79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5"/>
              </w:rPr>
              <w:t>112–120</w:t>
            </w:r>
          </w:p>
        </w:tc>
        <w:tc>
          <w:tcPr>
            <w:tcW w:type="dxa" w:w="1701"/>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/subscribe → /portfolio or /learn</w:t>
            </w:r>
          </w:p>
        </w:tc>
        <w:tc>
          <w:tcPr>
            <w:tcW w:type="dxa" w:w="3061"/>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Confirm simulation → show receipt → end card</w:t>
            </w:r>
          </w:p>
        </w:tc>
        <w:tc>
          <w:tcPr>
            <w:tcW w:type="dxa" w:w="243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Hold receipt for 3 seconds; close on logo and learning-centre CTA.</w:t>
            </w:r>
          </w:p>
        </w:tc>
        <w:tc>
          <w:tcPr>
            <w:tcW w:type="dxa" w:w="181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5"/>
              </w:rPr>
              <w:t>Demonstration only — no money, ownership or live digital asset</w:t>
            </w:r>
          </w:p>
        </w:tc>
      </w:tr>
    </w:tbl>
    <w:p>
      <w:pPr>
        <w:spacing w:after="0"/>
      </w:pPr>
    </w:p>
    <w:p>
      <w:r>
        <w:br w:type="page"/>
      </w:r>
    </w:p>
    <w:p>
      <w:pPr>
        <w:spacing w:before="280" w:after="60"/>
        <w:keepNext/>
      </w:pPr>
      <w:r>
        <w:rPr>
          <w:rFonts w:ascii="Aptos" w:hAnsi="Aptos" w:eastAsia="Aptos"/>
          <w:b/>
          <w:color w:val="0B8A72"/>
          <w:sz w:val="17"/>
        </w:rPr>
        <w:t>DELIVERABLE 2 CONTINUED</w:t>
      </w:r>
    </w:p>
    <w:p>
      <w:pPr>
        <w:pStyle w:val="Title"/>
        <w:spacing w:after="120"/>
      </w:pPr>
      <w:r>
        <w:rPr>
          <w:rFonts w:ascii="Aptos" w:hAnsi="Aptos" w:eastAsia="Aptos"/>
          <w:b/>
          <w:color w:val="0B2B3C"/>
          <w:sz w:val="50"/>
        </w:rPr>
        <w:t>Investor narration and cards</w:t>
      </w:r>
    </w:p>
    <w:p>
      <w:pPr>
        <w:spacing w:after="160"/>
        <w:pBdr>
          <w:bottom w:val="single" w:sz="14" w:space="1" w:color="0B8A72"/>
        </w:pBdr>
        <w:keepNext/>
      </w:pPr>
    </w:p>
    <w:tbl>
      <w:tblPr>
        <w:tblW w:type="auto" w:w="0"/>
        <w:jc w:val="center"/>
        <w:tblLook w:firstColumn="1" w:firstRow="1" w:lastColumn="0" w:lastRow="0" w:noHBand="0" w:noVBand="1" w:val="04A0"/>
      </w:tblPr>
      <w:tblGrid>
        <w:gridCol w:w="10200"/>
      </w:tblGrid>
      <w:tr>
        <w:tc>
          <w:tcPr>
            <w:tcW w:type="dxa" w:w="10200"/>
            <w:shd w:fill="F6F7F3"/>
            <w:tcBorders>
              <w:left w:val="single" w:sz="10" w:space="0" w:color="0B8A72"/>
            </w:tcBorders>
            <w:tcMar>
              <w:top w:w="150" w:type="dxa"/>
              <w:start w:w="180" w:type="dxa"/>
              <w:bottom w:w="150" w:type="dxa"/>
              <w:end w:w="180" w:type="dxa"/>
            </w:tcMar>
          </w:tcPr>
          <w:p>
            <w:r>
              <w:rPr>
                <w:rFonts w:ascii="Aptos" w:hAnsi="Aptos" w:eastAsia="Aptos"/>
                <w:b/>
                <w:color w:val="0B8A72"/>
                <w:sz w:val="16"/>
              </w:rPr>
              <w:t>VOICEOVER — 254 WORDS</w:t>
            </w:r>
          </w:p>
          <w:p>
            <w:pPr>
              <w:spacing w:before="100"/>
            </w:pPr>
            <w:r>
              <w:rPr>
                <w:rFonts w:ascii="Aptos" w:hAnsi="Aptos" w:eastAsia="Aptos"/>
                <w:color w:val="0B2B3C"/>
                <w:sz w:val="20"/>
              </w:rPr>
              <w:t>In the next two minutes, you will see how an investor can enter Mizant, understand a real-asset opportunity and complete a safe demonstration journey. Start by choosing Investor. The current preview uses a fictional access request rather than a live sign-in service, so use only the supplied demonstration details. Select Request preview access, then Open my workspace. The dashboard places the next action first. The left navigation leads to opportunities, portfolio records and the learning centre, while the workspace selector lets you understand other roles without changing permissions. Notice that the controlled-environment banner stays visible: this is a truthful boundary, not part of the investment proposition. Open Opportunities and choose the solar-equipment reference case. Its status, asset pool, proposed term and unit reference are clearly marked as illustrative. Select Review opportunity. The detail page explains why the asset exists, how the project vehicle, equipment and SME are connected, and what the digital units are intended to represent. Scroll to What could go wrong for operating, asset, liquidity and structural risks. Then review the cash-flow scenarios and document room, where each item is labelled recorded, draft or conditional. Select Continue to commitment review. Choose an illustrative amount, continue, and confirm each comprehension point. This records a demonstration commitment only—no money, ownership or live digital asset is created. Finish by opening the demo portfolio or the audit trail, where the amount, disclosure version and environment remain connected to the record. If you need guidance, choose Learn for a role-specific procedure, observable result and plain-language definitions.</w:t>
            </w:r>
          </w:p>
        </w:tc>
      </w:tr>
    </w:tbl>
    <w:p>
      <w:pPr>
        <w:spacing w:after="0"/>
      </w:pPr>
    </w:p>
    <w:p>
      <w:pPr>
        <w:pStyle w:val="Heading2"/>
      </w:pPr>
      <w:r>
        <w:t>Opening title card</w:t>
      </w:r>
    </w:p>
    <w:tbl>
      <w:tblPr>
        <w:tblW w:type="auto" w:w="0"/>
        <w:jc w:val="center"/>
        <w:tblLook w:firstColumn="1" w:firstRow="1" w:lastColumn="0" w:lastRow="0" w:noHBand="0" w:noVBand="1" w:val="04A0"/>
      </w:tblPr>
      <w:tblGrid>
        <w:gridCol w:w="10200"/>
      </w:tblGrid>
      <w:tr>
        <w:tc>
          <w:tcPr>
            <w:tcW w:type="dxa" w:w="10200"/>
            <w:shd w:fill="F6F7F3"/>
            <w:tcBorders>
              <w:left w:val="single" w:sz="10" w:space="0" w:color="0B8A72"/>
            </w:tcBorders>
            <w:tcMar>
              <w:top w:w="150" w:type="dxa"/>
              <w:start w:w="180" w:type="dxa"/>
              <w:bottom w:w="150" w:type="dxa"/>
              <w:end w:w="180" w:type="dxa"/>
            </w:tcMar>
          </w:tcPr>
          <w:p>
            <w:r>
              <w:rPr>
                <w:rFonts w:ascii="Aptos" w:hAnsi="Aptos" w:eastAsia="Aptos"/>
                <w:b/>
                <w:color w:val="0B8A72"/>
                <w:sz w:val="16"/>
              </w:rPr>
              <w:t>0–4 SECONDS</w:t>
            </w:r>
          </w:p>
          <w:p>
            <w:pPr>
              <w:spacing w:before="100"/>
            </w:pPr>
            <w:r>
              <w:rPr>
                <w:rFonts w:ascii="Aptos" w:hAnsi="Aptos" w:eastAsia="Aptos"/>
                <w:color w:val="0B2B3C"/>
                <w:sz w:val="20"/>
              </w:rPr>
              <w:t>Mizant Platform Walkthrough</w:t>
              <w:br/>
              <w:t>Investor journey</w:t>
              <w:br/>
              <w:t>How to explore an opportunity and complete a safe demonstration journey</w:t>
            </w:r>
          </w:p>
          <w:p>
            <w:pPr>
              <w:spacing w:before="100"/>
            </w:pPr>
            <w:r>
              <w:rPr>
                <w:rFonts w:ascii="Aptos" w:hAnsi="Aptos" w:eastAsia="Aptos"/>
                <w:b w:val="0"/>
                <w:i/>
                <w:color w:val="52616A"/>
                <w:sz w:val="16"/>
              </w:rPr>
              <w:t>Small footer: For demonstration purposes only.</w:t>
            </w:r>
          </w:p>
        </w:tc>
      </w:tr>
    </w:tbl>
    <w:p>
      <w:pPr>
        <w:spacing w:after="0"/>
      </w:pPr>
    </w:p>
    <w:p>
      <w:pPr>
        <w:pStyle w:val="Heading2"/>
      </w:pPr>
      <w:r>
        <w:t>Closing title card</w:t>
      </w:r>
    </w:p>
    <w:tbl>
      <w:tblPr>
        <w:tblW w:type="auto" w:w="0"/>
        <w:jc w:val="center"/>
        <w:tblLook w:firstColumn="1" w:firstRow="1" w:lastColumn="0" w:lastRow="0" w:noHBand="0" w:noVBand="1" w:val="04A0"/>
      </w:tblPr>
      <w:tblGrid>
        <w:gridCol w:w="10200"/>
      </w:tblGrid>
      <w:tr>
        <w:tc>
          <w:tcPr>
            <w:tcW w:type="dxa" w:w="10200"/>
            <w:shd w:fill="F6F7F3"/>
            <w:tcBorders>
              <w:left w:val="single" w:sz="10" w:space="0" w:color="0B8A72"/>
            </w:tcBorders>
            <w:tcMar>
              <w:top w:w="150" w:type="dxa"/>
              <w:start w:w="180" w:type="dxa"/>
              <w:bottom w:w="150" w:type="dxa"/>
              <w:end w:w="180" w:type="dxa"/>
            </w:tcMar>
          </w:tcPr>
          <w:p>
            <w:r>
              <w:rPr>
                <w:rFonts w:ascii="Aptos" w:hAnsi="Aptos" w:eastAsia="Aptos"/>
                <w:b/>
                <w:color w:val="0B8A72"/>
                <w:sz w:val="16"/>
              </w:rPr>
              <w:t>116–120 SECONDS</w:t>
            </w:r>
          </w:p>
          <w:p>
            <w:pPr>
              <w:spacing w:before="100"/>
            </w:pPr>
            <w:r>
              <w:rPr>
                <w:rFonts w:ascii="Aptos" w:hAnsi="Aptos" w:eastAsia="Aptos"/>
                <w:color w:val="0B2B3C"/>
                <w:sz w:val="20"/>
              </w:rPr>
              <w:t>Understand the asset. Review the evidence. Know the next step.</w:t>
              <w:br/>
              <w:t>Continue in the Mizant Learning Centre</w:t>
            </w:r>
          </w:p>
          <w:p>
            <w:pPr>
              <w:spacing w:before="100"/>
            </w:pPr>
            <w:r>
              <w:rPr>
                <w:rFonts w:ascii="Aptos" w:hAnsi="Aptos" w:eastAsia="Aptos"/>
                <w:b w:val="0"/>
                <w:i/>
                <w:color w:val="52616A"/>
                <w:sz w:val="16"/>
              </w:rPr>
              <w:t>Footer: No offer, advice, legal opinion or Shariah ruling.</w:t>
            </w:r>
          </w:p>
        </w:tc>
      </w:tr>
    </w:tbl>
    <w:p>
      <w:pPr>
        <w:spacing w:after="0"/>
      </w:pPr>
    </w:p>
    <w:p>
      <w:pPr>
        <w:pStyle w:val="Heading2"/>
      </w:pPr>
      <w:r>
        <w:t>Companion walkthroughs to record separately</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814"/>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Recording</w:t>
            </w:r>
          </w:p>
        </w:tc>
        <w:tc>
          <w:tcPr>
            <w:tcW w:type="dxa" w:w="2948"/>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Recommended route</w:t>
            </w:r>
          </w:p>
        </w:tc>
        <w:tc>
          <w:tcPr>
            <w:tcW w:type="dxa" w:w="2494"/>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Observable result</w:t>
            </w:r>
          </w:p>
        </w:tc>
        <w:tc>
          <w:tcPr>
            <w:tcW w:type="dxa" w:w="2721"/>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Why separate</w:t>
            </w:r>
          </w:p>
        </w:tc>
      </w:tr>
      <w:tr>
        <w:trPr>
          <w:cantSplit/>
        </w:trPr>
        <w:tc>
          <w:tcPr>
            <w:tcW w:type="dxa" w:w="181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SME — 2 minutes</w:t>
            </w:r>
          </w:p>
        </w:tc>
        <w:tc>
          <w:tcPr>
            <w:tcW w:type="dxa" w:w="294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/start → /applications → /applications/new → /applications</w:t>
            </w:r>
          </w:p>
        </w:tc>
        <w:tc>
          <w:tcPr>
            <w:tcW w:type="dxa" w:w="249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A synthetic submission reference and Awaiting human review status</w:t>
            </w:r>
          </w:p>
        </w:tc>
        <w:tc>
          <w:tcPr>
            <w:tcW w:type="dxa" w:w="2721"/>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Form completion, evidence preparation and submission are fundamentally different from investment review.</w:t>
            </w:r>
          </w:p>
        </w:tc>
      </w:tr>
      <w:tr>
        <w:trPr>
          <w:cantSplit/>
        </w:trPr>
        <w:tc>
          <w:tcPr>
            <w:tcW w:type="dxa" w:w="1814"/>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Originator — 2 minutes</w:t>
            </w:r>
          </w:p>
        </w:tc>
        <w:tc>
          <w:tcPr>
            <w:tcW w:type="dxa" w:w="2948"/>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/start → /origination → /applications?role=originator → /applications/new?role=originator</w:t>
            </w:r>
          </w:p>
        </w:tc>
        <w:tc>
          <w:tcPr>
            <w:tcW w:type="dxa" w:w="2494"/>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A review-ready case handed to independent lanes</w:t>
            </w:r>
          </w:p>
        </w:tc>
        <w:tc>
          <w:tcPr>
            <w:tcW w:type="dxa" w:w="2721"/>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The originator coordinates the SME but cannot approve eligibility, legal, compliance or Shariah outcomes.</w:t>
            </w:r>
          </w:p>
        </w:tc>
      </w:tr>
    </w:tbl>
    <w:p>
      <w:pPr>
        <w:spacing w:after="0"/>
      </w:pPr>
    </w:p>
    <w:p>
      <w:pPr>
        <w:pStyle w:val="Heading2"/>
      </w:pPr>
      <w:r>
        <w:t>Areas to confirm before recording</w:t>
      </w:r>
    </w:p>
    <w:p>
      <w:pPr>
        <w:pStyle w:val="ListNumber"/>
      </w:pPr>
      <w:r>
        <w:rPr>
          <w:rFonts w:ascii="Aptos" w:hAnsi="Aptos" w:eastAsia="Aptos"/>
          <w:color w:val="52616A"/>
          <w:sz w:val="19"/>
        </w:rPr>
        <w:t>Use the calm, neutral British-English narration profile recommended in this pack.</w:t>
      </w:r>
    </w:p>
    <w:p>
      <w:pPr>
        <w:pStyle w:val="ListNumber"/>
      </w:pPr>
      <w:r>
        <w:rPr>
          <w:rFonts w:ascii="Aptos" w:hAnsi="Aptos" w:eastAsia="Aptos"/>
          <w:color w:val="52616A"/>
          <w:sz w:val="19"/>
        </w:rPr>
        <w:t>Record the investor walkthrough first, followed by separate SME and originator walkthroughs.</w:t>
      </w:r>
    </w:p>
    <w:p>
      <w:pPr>
        <w:pStyle w:val="ListNumber"/>
      </w:pPr>
      <w:r>
        <w:rPr>
          <w:rFonts w:ascii="Aptos" w:hAnsi="Aptos" w:eastAsia="Aptos"/>
          <w:color w:val="52616A"/>
          <w:sz w:val="19"/>
        </w:rPr>
        <w:t>Keep the platform’s Controlled environment labels visible throughout all authentic screen recordings.</w:t>
      </w:r>
    </w:p>
    <w:p>
      <w:pPr>
        <w:pStyle w:val="ListNumber"/>
      </w:pPr>
      <w:r>
        <w:rPr>
          <w:rFonts w:ascii="Aptos" w:hAnsi="Aptos" w:eastAsia="Aptos"/>
          <w:color w:val="52616A"/>
          <w:sz w:val="19"/>
        </w:rPr>
        <w:t>Use ‘Explore Mizant’ linked to /start as the call to action.</w:t>
      </w:r>
    </w:p>
    <w:p>
      <w:pPr>
        <w:pStyle w:val="ListNumber"/>
      </w:pPr>
      <w:r>
        <w:rPr>
          <w:rFonts w:ascii="Aptos" w:hAnsi="Aptos" w:eastAsia="Aptos"/>
          <w:color w:val="52616A"/>
          <w:sz w:val="19"/>
        </w:rPr>
        <w:t>For onboarding topic 8, record current help and status guidance now; add notifications only after a real notification centre exists.</w:t>
      </w:r>
    </w:p>
    <w:p>
      <w:r>
        <w:br w:type="page"/>
      </w:r>
    </w:p>
    <w:p>
      <w:pPr>
        <w:spacing w:before="280" w:after="60"/>
        <w:keepNext/>
      </w:pPr>
      <w:r>
        <w:rPr>
          <w:rFonts w:ascii="Aptos" w:hAnsi="Aptos" w:eastAsia="Aptos"/>
          <w:b/>
          <w:color w:val="0B8A72"/>
          <w:sz w:val="17"/>
        </w:rPr>
        <w:t>DELIVERABLE 3</w:t>
      </w:r>
    </w:p>
    <w:p>
      <w:pPr>
        <w:pStyle w:val="Title"/>
        <w:spacing w:after="120"/>
      </w:pPr>
      <w:r>
        <w:rPr>
          <w:rFonts w:ascii="Aptos" w:hAnsi="Aptos" w:eastAsia="Aptos"/>
          <w:b/>
          <w:color w:val="0B2B3C"/>
          <w:sz w:val="50"/>
        </w:rPr>
        <w:t>Short onboarding series</w:t>
      </w:r>
    </w:p>
    <w:p>
      <w:pPr>
        <w:spacing w:after="200"/>
      </w:pPr>
      <w:r>
        <w:rPr>
          <w:rFonts w:ascii="Aptos" w:hAnsi="Aptos" w:eastAsia="Aptos"/>
          <w:color w:val="52616A"/>
          <w:sz w:val="23"/>
        </w:rPr>
        <w:t>Eight focused videos, each teaching one observable task in approximately 20–40 seconds.</w:t>
      </w:r>
    </w:p>
    <w:p>
      <w:pPr>
        <w:spacing w:after="160"/>
        <w:pBdr>
          <w:bottom w:val="single" w:sz="14" w:space="1" w:color="0B8A72"/>
        </w:pBdr>
        <w:keepNext/>
      </w:pPr>
    </w:p>
    <w:tbl>
      <w:tblPr>
        <w:tblW w:type="auto" w:w="0"/>
        <w:jc w:val="center"/>
        <w:tblLook w:firstColumn="1" w:firstRow="1" w:lastColumn="0" w:lastRow="0" w:noHBand="0" w:noVBand="1" w:val="04A0"/>
      </w:tblPr>
      <w:tblGrid>
        <w:gridCol w:w="10200"/>
      </w:tblGrid>
      <w:tr>
        <w:trPr>
          <w:cantSplit/>
        </w:trPr>
        <w:tc>
          <w:tcPr>
            <w:tcW w:type="dxa" w:w="10200"/>
            <w:shd w:fill="FFFFFF"/>
            <w:tcBorders>
              <w:top w:val="single" w:sz="8" w:space="0" w:color="C8D3D6"/>
              <w:left w:val="single" w:sz="8" w:space="0" w:color="C8D3D6"/>
              <w:bottom w:val="single" w:sz="8" w:space="0" w:color="C8D3D6"/>
              <w:right w:val="single" w:sz="8" w:space="0" w:color="C8D3D6"/>
            </w:tcBorders>
            <w:tcMar>
              <w:top w:w="95" w:type="dxa"/>
              <w:start w:w="150" w:type="dxa"/>
              <w:bottom w:w="95" w:type="dxa"/>
              <w:end w:w="150" w:type="dxa"/>
            </w:tcMar>
          </w:tcPr>
          <w:p>
            <w:pPr>
              <w:spacing w:after="60"/>
            </w:pPr>
            <w:r>
              <w:rPr>
                <w:rFonts w:ascii="Aptos" w:hAnsi="Aptos" w:eastAsia="Aptos"/>
                <w:b/>
                <w:color w:val="0B2B3C"/>
                <w:sz w:val="28"/>
              </w:rPr>
              <w:t>01  Choosing your Mizant workspace</w:t>
            </w:r>
          </w:p>
          <w:p>
            <w:pPr>
              <w:spacing w:after="60"/>
            </w:pPr>
            <w:r>
              <w:rPr>
                <w:rFonts w:ascii="Aptos" w:hAnsi="Aptos" w:eastAsia="Aptos"/>
                <w:b/>
                <w:color w:val="0B8A72"/>
                <w:sz w:val="17"/>
              </w:rPr>
              <w:t>Role: Investor, SME and originator  •  Duration: 25–30 seconds  •  Status: READY — renamed because live sign-in is not implemented</w:t>
            </w:r>
          </w:p>
          <w:p>
            <w:pPr>
              <w:spacing w:after="60"/>
            </w:pPr>
            <w:r>
              <w:rPr>
                <w:rFonts w:ascii="Aptos" w:hAnsi="Aptos" w:eastAsia="Aptos"/>
                <w:b/>
                <w:color w:val="0B2B3C"/>
                <w:sz w:val="19"/>
              </w:rPr>
              <w:t xml:space="preserve">Learning objective: </w:t>
            </w:r>
            <w:r>
              <w:rPr>
                <w:rFonts w:ascii="Aptos" w:hAnsi="Aptos" w:eastAsia="Aptos"/>
                <w:color w:val="52616A"/>
                <w:sz w:val="19"/>
              </w:rPr>
              <w:t>Choose the correct role and understand the first steps shown for that workspace.</w:t>
            </w:r>
          </w:p>
          <w:p>
            <w:pPr>
              <w:spacing w:after="40"/>
            </w:pPr>
            <w:r>
              <w:rPr>
                <w:rFonts w:ascii="Aptos" w:hAnsi="Aptos" w:eastAsia="Aptos"/>
                <w:b/>
                <w:color w:val="0B2B3C"/>
                <w:sz w:val="18"/>
              </w:rPr>
              <w:t>Screen actions</w:t>
            </w:r>
          </w:p>
          <w:p>
            <w:pPr>
              <w:spacing w:after="40"/>
              <w:ind w:left="198"/>
            </w:pPr>
            <w:r>
              <w:rPr>
                <w:rFonts w:ascii="Aptos" w:hAnsi="Aptos" w:eastAsia="Aptos"/>
                <w:b/>
                <w:color w:val="0B8A72"/>
                <w:sz w:val="18"/>
              </w:rPr>
              <w:t xml:space="preserve">1. </w:t>
            </w:r>
            <w:r>
              <w:rPr>
                <w:rFonts w:ascii="Aptos" w:hAnsi="Aptos" w:eastAsia="Aptos"/>
                <w:color w:val="52616A"/>
                <w:sz w:val="18"/>
              </w:rPr>
              <w:t>Open /start from the public-site ‘Get started’ button.</w:t>
            </w:r>
          </w:p>
          <w:p>
            <w:pPr>
              <w:spacing w:after="40"/>
              <w:ind w:left="198"/>
            </w:pPr>
            <w:r>
              <w:rPr>
                <w:rFonts w:ascii="Aptos" w:hAnsi="Aptos" w:eastAsia="Aptos"/>
                <w:b/>
                <w:color w:val="0B8A72"/>
                <w:sz w:val="18"/>
              </w:rPr>
              <w:t xml:space="preserve">2. </w:t>
            </w:r>
            <w:r>
              <w:rPr>
                <w:rFonts w:ascii="Aptos" w:hAnsi="Aptos" w:eastAsia="Aptos"/>
                <w:color w:val="52616A"/>
                <w:sz w:val="18"/>
              </w:rPr>
              <w:t>Select Investor; pause on its three guided first steps.</w:t>
            </w:r>
          </w:p>
          <w:p>
            <w:pPr>
              <w:spacing w:after="40"/>
              <w:ind w:left="198"/>
            </w:pPr>
            <w:r>
              <w:rPr>
                <w:rFonts w:ascii="Aptos" w:hAnsi="Aptos" w:eastAsia="Aptos"/>
                <w:b/>
                <w:color w:val="0B8A72"/>
                <w:sz w:val="18"/>
              </w:rPr>
              <w:t xml:space="preserve">3. </w:t>
            </w:r>
            <w:r>
              <w:rPr>
                <w:rFonts w:ascii="Aptos" w:hAnsi="Aptos" w:eastAsia="Aptos"/>
                <w:color w:val="52616A"/>
                <w:sz w:val="18"/>
              </w:rPr>
              <w:t>Select SME / asset user, then Originator, showing how the guidance changes.</w:t>
            </w:r>
          </w:p>
          <w:p>
            <w:pPr>
              <w:spacing w:after="40"/>
              <w:ind w:left="198"/>
            </w:pPr>
            <w:r>
              <w:rPr>
                <w:rFonts w:ascii="Aptos" w:hAnsi="Aptos" w:eastAsia="Aptos"/>
                <w:b/>
                <w:color w:val="0B8A72"/>
                <w:sz w:val="18"/>
              </w:rPr>
              <w:t xml:space="preserve">4. </w:t>
            </w:r>
            <w:r>
              <w:rPr>
                <w:rFonts w:ascii="Aptos" w:hAnsi="Aptos" w:eastAsia="Aptos"/>
                <w:color w:val="52616A"/>
                <w:sz w:val="18"/>
              </w:rPr>
              <w:t>Finish with the chosen role selected; do not claim that authentication occurred.</w:t>
            </w:r>
          </w:p>
          <w:p>
            <w:pPr>
              <w:spacing w:after="40"/>
            </w:pPr>
            <w:r>
              <w:rPr>
                <w:rFonts w:ascii="Aptos" w:hAnsi="Aptos" w:eastAsia="Aptos"/>
                <w:b/>
                <w:color w:val="0B2B3C"/>
                <w:sz w:val="18"/>
              </w:rPr>
              <w:t>Voiceover</w:t>
            </w:r>
          </w:p>
          <w:p>
            <w:pPr>
              <w:spacing w:after="60"/>
            </w:pPr>
            <w:r>
              <w:rPr>
                <w:rFonts w:ascii="Aptos" w:hAnsi="Aptos" w:eastAsia="Aptos"/>
                <w:color w:val="52616A"/>
                <w:sz w:val="19"/>
              </w:rPr>
              <w:t>Choose the workspace that matches what you want to do. Investors review opportunities and follow holdings. SMEs request productive assets and provide evidence. Originators help SMEs prepare review-ready cases. The guidance changes as you select each role, so you can understand the next steps before requesting access.</w:t>
            </w:r>
          </w:p>
          <w:p>
            <w:pPr>
              <w:spacing w:after="40"/>
            </w:pPr>
            <w:r>
              <w:rPr>
                <w:rFonts w:ascii="Aptos" w:hAnsi="Aptos" w:eastAsia="Aptos"/>
                <w:b/>
                <w:color w:val="0B2B3C"/>
                <w:sz w:val="17"/>
              </w:rPr>
              <w:t xml:space="preserve">Caption: </w:t>
            </w:r>
            <w:r>
              <w:rPr>
                <w:rFonts w:ascii="Aptos" w:hAnsi="Aptos" w:eastAsia="Aptos"/>
                <w:color w:val="52616A"/>
                <w:sz w:val="17"/>
              </w:rPr>
              <w:t>Choose a perspective • See role-specific first steps • Request access</w:t>
            </w:r>
          </w:p>
          <w:p>
            <w:pPr>
              <w:spacing w:after="0"/>
            </w:pPr>
            <w:r>
              <w:rPr>
                <w:rFonts w:ascii="Aptos" w:hAnsi="Aptos" w:eastAsia="Aptos"/>
                <w:b/>
                <w:color w:val="0B2B3C"/>
                <w:sz w:val="17"/>
              </w:rPr>
              <w:t xml:space="preserve">Placement: </w:t>
            </w:r>
            <w:r>
              <w:rPr>
                <w:rFonts w:ascii="Aptos" w:hAnsi="Aptos" w:eastAsia="Aptos"/>
                <w:color w:val="52616A"/>
                <w:sz w:val="17"/>
              </w:rPr>
              <w:t>Public ‘Get started’ page, directly above the role selector; also linked from the learning centre.</w:t>
            </w:r>
          </w:p>
        </w:tc>
      </w:tr>
    </w:tbl>
    <w:p>
      <w:pPr>
        <w:spacing w:after="0" w:line="48" w:lineRule="auto"/>
      </w:pPr>
      <w:r>
        <w:rPr>
          <w:rFonts w:ascii="Aptos" w:hAnsi="Aptos" w:eastAsia="Aptos"/>
          <w:color w:val="FFFFFF"/>
          <w:sz w:val="4"/>
        </w:rPr>
        <w:t xml:space="preserve"> </w:t>
      </w:r>
    </w:p>
    <w:tbl>
      <w:tblPr>
        <w:tblW w:type="auto" w:w="0"/>
        <w:jc w:val="center"/>
        <w:tblLook w:firstColumn="1" w:firstRow="1" w:lastColumn="0" w:lastRow="0" w:noHBand="0" w:noVBand="1" w:val="04A0"/>
      </w:tblPr>
      <w:tblGrid>
        <w:gridCol w:w="10200"/>
      </w:tblGrid>
      <w:tr>
        <w:trPr>
          <w:cantSplit/>
        </w:trPr>
        <w:tc>
          <w:tcPr>
            <w:tcW w:type="dxa" w:w="10200"/>
            <w:shd w:fill="FFFFFF"/>
            <w:tcBorders>
              <w:top w:val="single" w:sz="8" w:space="0" w:color="C8D3D6"/>
              <w:left w:val="single" w:sz="8" w:space="0" w:color="C8D3D6"/>
              <w:bottom w:val="single" w:sz="8" w:space="0" w:color="C8D3D6"/>
              <w:right w:val="single" w:sz="8" w:space="0" w:color="C8D3D6"/>
            </w:tcBorders>
            <w:tcMar>
              <w:top w:w="95" w:type="dxa"/>
              <w:start w:w="150" w:type="dxa"/>
              <w:bottom w:w="95" w:type="dxa"/>
              <w:end w:w="150" w:type="dxa"/>
            </w:tcMar>
          </w:tcPr>
          <w:p>
            <w:pPr>
              <w:spacing w:after="60"/>
            </w:pPr>
            <w:r>
              <w:rPr>
                <w:rFonts w:ascii="Aptos" w:hAnsi="Aptos" w:eastAsia="Aptos"/>
                <w:b/>
                <w:color w:val="0B2B3C"/>
                <w:sz w:val="28"/>
              </w:rPr>
              <w:t>02  Creating your demonstration profile</w:t>
            </w:r>
          </w:p>
          <w:p>
            <w:pPr>
              <w:spacing w:after="60"/>
            </w:pPr>
            <w:r>
              <w:rPr>
                <w:rFonts w:ascii="Aptos" w:hAnsi="Aptos" w:eastAsia="Aptos"/>
                <w:b/>
                <w:color w:val="0B8A72"/>
                <w:sz w:val="17"/>
              </w:rPr>
              <w:t>Role: Investor, SME and originator  •  Duration: 25–35 seconds  •  Status: READY — fictional data only</w:t>
            </w:r>
          </w:p>
          <w:p>
            <w:pPr>
              <w:spacing w:after="60"/>
            </w:pPr>
            <w:r>
              <w:rPr>
                <w:rFonts w:ascii="Aptos" w:hAnsi="Aptos" w:eastAsia="Aptos"/>
                <w:b/>
                <w:color w:val="0B2B3C"/>
                <w:sz w:val="19"/>
              </w:rPr>
              <w:t xml:space="preserve">Learning objective: </w:t>
            </w:r>
            <w:r>
              <w:rPr>
                <w:rFonts w:ascii="Aptos" w:hAnsi="Aptos" w:eastAsia="Aptos"/>
                <w:color w:val="52616A"/>
                <w:sz w:val="19"/>
              </w:rPr>
              <w:t>Complete the current preview access request safely and open the selected workspace.</w:t>
            </w:r>
          </w:p>
          <w:p>
            <w:pPr>
              <w:spacing w:after="40"/>
            </w:pPr>
            <w:r>
              <w:rPr>
                <w:rFonts w:ascii="Aptos" w:hAnsi="Aptos" w:eastAsia="Aptos"/>
                <w:b/>
                <w:color w:val="0B2B3C"/>
                <w:sz w:val="18"/>
              </w:rPr>
              <w:t>Screen actions</w:t>
            </w:r>
          </w:p>
          <w:p>
            <w:pPr>
              <w:spacing w:after="40"/>
              <w:ind w:left="198"/>
            </w:pPr>
            <w:r>
              <w:rPr>
                <w:rFonts w:ascii="Aptos" w:hAnsi="Aptos" w:eastAsia="Aptos"/>
                <w:b/>
                <w:color w:val="0B8A72"/>
                <w:sz w:val="18"/>
              </w:rPr>
              <w:t xml:space="preserve">1. </w:t>
            </w:r>
            <w:r>
              <w:rPr>
                <w:rFonts w:ascii="Aptos" w:hAnsi="Aptos" w:eastAsia="Aptos"/>
                <w:color w:val="52616A"/>
                <w:sz w:val="18"/>
              </w:rPr>
              <w:t>On /start, choose a role.</w:t>
            </w:r>
          </w:p>
          <w:p>
            <w:pPr>
              <w:spacing w:after="40"/>
              <w:ind w:left="198"/>
            </w:pPr>
            <w:r>
              <w:rPr>
                <w:rFonts w:ascii="Aptos" w:hAnsi="Aptos" w:eastAsia="Aptos"/>
                <w:b/>
                <w:color w:val="0B8A72"/>
                <w:sz w:val="18"/>
              </w:rPr>
              <w:t xml:space="preserve">2. </w:t>
            </w:r>
            <w:r>
              <w:rPr>
                <w:rFonts w:ascii="Aptos" w:hAnsi="Aptos" w:eastAsia="Aptos"/>
                <w:color w:val="52616A"/>
                <w:sz w:val="18"/>
              </w:rPr>
              <w:t>Use the pre-filled fictional name, @example.test email and fictional organisation.</w:t>
            </w:r>
          </w:p>
          <w:p>
            <w:pPr>
              <w:spacing w:after="40"/>
              <w:ind w:left="198"/>
            </w:pPr>
            <w:r>
              <w:rPr>
                <w:rFonts w:ascii="Aptos" w:hAnsi="Aptos" w:eastAsia="Aptos"/>
                <w:b/>
                <w:color w:val="0B8A72"/>
                <w:sz w:val="18"/>
              </w:rPr>
              <w:t xml:space="preserve">3. </w:t>
            </w:r>
            <w:r>
              <w:rPr>
                <w:rFonts w:ascii="Aptos" w:hAnsi="Aptos" w:eastAsia="Aptos"/>
                <w:color w:val="52616A"/>
                <w:sz w:val="18"/>
              </w:rPr>
              <w:t>Select Request preview access.</w:t>
            </w:r>
          </w:p>
          <w:p>
            <w:pPr>
              <w:spacing w:after="40"/>
              <w:ind w:left="198"/>
            </w:pPr>
            <w:r>
              <w:rPr>
                <w:rFonts w:ascii="Aptos" w:hAnsi="Aptos" w:eastAsia="Aptos"/>
                <w:b/>
                <w:color w:val="0B8A72"/>
                <w:sz w:val="18"/>
              </w:rPr>
              <w:t xml:space="preserve">4. </w:t>
            </w:r>
            <w:r>
              <w:rPr>
                <w:rFonts w:ascii="Aptos" w:hAnsi="Aptos" w:eastAsia="Aptos"/>
                <w:color w:val="52616A"/>
                <w:sz w:val="18"/>
              </w:rPr>
              <w:t>Pause on the access reference, then choose Open my workspace.</w:t>
            </w:r>
          </w:p>
          <w:p>
            <w:pPr>
              <w:spacing w:after="40"/>
            </w:pPr>
            <w:r>
              <w:rPr>
                <w:rFonts w:ascii="Aptos" w:hAnsi="Aptos" w:eastAsia="Aptos"/>
                <w:b/>
                <w:color w:val="0B2B3C"/>
                <w:sz w:val="18"/>
              </w:rPr>
              <w:t>Voiceover</w:t>
            </w:r>
          </w:p>
          <w:p>
            <w:pPr>
              <w:spacing w:after="60"/>
            </w:pPr>
            <w:r>
              <w:rPr>
                <w:rFonts w:ascii="Aptos" w:hAnsi="Aptos" w:eastAsia="Aptos"/>
                <w:color w:val="52616A"/>
                <w:sz w:val="19"/>
              </w:rPr>
              <w:t>The current preview uses a fictional access request rather than a live identity service. Keep the demonstration details provided, confirm the requested workspace and select Request preview access. The recorded reference demonstrates the administrator approval queue. Choose Open my workspace to continue. Never enter a real person’s information in this environment.</w:t>
            </w:r>
          </w:p>
          <w:p>
            <w:pPr>
              <w:spacing w:after="40"/>
            </w:pPr>
            <w:r>
              <w:rPr>
                <w:rFonts w:ascii="Aptos" w:hAnsi="Aptos" w:eastAsia="Aptos"/>
                <w:b/>
                <w:color w:val="0B2B3C"/>
                <w:sz w:val="17"/>
              </w:rPr>
              <w:t xml:space="preserve">Caption: </w:t>
            </w:r>
            <w:r>
              <w:rPr>
                <w:rFonts w:ascii="Aptos" w:hAnsi="Aptos" w:eastAsia="Aptos"/>
                <w:color w:val="52616A"/>
                <w:sz w:val="17"/>
              </w:rPr>
              <w:t>Fictional information only • Access request recorded • No live identity check</w:t>
            </w:r>
          </w:p>
          <w:p>
            <w:pPr>
              <w:spacing w:after="0"/>
            </w:pPr>
            <w:r>
              <w:rPr>
                <w:rFonts w:ascii="Aptos" w:hAnsi="Aptos" w:eastAsia="Aptos"/>
                <w:b/>
                <w:color w:val="0B2B3C"/>
                <w:sz w:val="17"/>
              </w:rPr>
              <w:t xml:space="preserve">Placement: </w:t>
            </w:r>
            <w:r>
              <w:rPr>
                <w:rFonts w:ascii="Aptos" w:hAnsi="Aptos" w:eastAsia="Aptos"/>
                <w:color w:val="52616A"/>
                <w:sz w:val="17"/>
              </w:rPr>
              <w:t>Inline beside the fictional-profile form and in the first-visit welcome panel.</w:t>
            </w:r>
          </w:p>
        </w:tc>
      </w:tr>
    </w:tbl>
    <w:p>
      <w:pPr>
        <w:spacing w:after="0" w:line="48" w:lineRule="auto"/>
      </w:pPr>
      <w:r>
        <w:rPr>
          <w:rFonts w:ascii="Aptos" w:hAnsi="Aptos" w:eastAsia="Aptos"/>
          <w:color w:val="FFFFFF"/>
          <w:sz w:val="4"/>
        </w:rPr>
        <w:t xml:space="preserve"> </w:t>
      </w:r>
    </w:p>
    <w:p>
      <w:pPr>
        <w:pageBreakBefore/>
        <w:spacing w:before="280" w:after="60"/>
        <w:keepNext/>
      </w:pPr>
      <w:r>
        <w:rPr>
          <w:rFonts w:ascii="Aptos" w:hAnsi="Aptos" w:eastAsia="Aptos"/>
          <w:b/>
          <w:color w:val="0B8A72"/>
          <w:sz w:val="17"/>
        </w:rPr>
        <w:t>DELIVERABLE 3 CONTINUED</w:t>
      </w:r>
    </w:p>
    <w:p>
      <w:pPr>
        <w:pStyle w:val="Title"/>
        <w:spacing w:after="120"/>
      </w:pPr>
      <w:r>
        <w:rPr>
          <w:rFonts w:ascii="Aptos" w:hAnsi="Aptos" w:eastAsia="Aptos"/>
          <w:b/>
          <w:color w:val="0B2B3C"/>
          <w:sz w:val="50"/>
        </w:rPr>
        <w:t>Short onboarding series</w:t>
      </w:r>
    </w:p>
    <w:p>
      <w:pPr>
        <w:spacing w:after="160"/>
        <w:pBdr>
          <w:bottom w:val="single" w:sz="14" w:space="1" w:color="0B8A72"/>
        </w:pBdr>
        <w:keepNext/>
      </w:pPr>
    </w:p>
    <w:tbl>
      <w:tblPr>
        <w:tblW w:type="auto" w:w="0"/>
        <w:jc w:val="center"/>
        <w:tblLook w:firstColumn="1" w:firstRow="1" w:lastColumn="0" w:lastRow="0" w:noHBand="0" w:noVBand="1" w:val="04A0"/>
      </w:tblPr>
      <w:tblGrid>
        <w:gridCol w:w="10200"/>
      </w:tblGrid>
      <w:tr>
        <w:trPr>
          <w:cantSplit/>
        </w:trPr>
        <w:tc>
          <w:tcPr>
            <w:tcW w:type="dxa" w:w="10200"/>
            <w:shd w:fill="FFFFFF"/>
            <w:tcBorders>
              <w:top w:val="single" w:sz="8" w:space="0" w:color="C8D3D6"/>
              <w:left w:val="single" w:sz="8" w:space="0" w:color="C8D3D6"/>
              <w:bottom w:val="single" w:sz="8" w:space="0" w:color="C8D3D6"/>
              <w:right w:val="single" w:sz="8" w:space="0" w:color="C8D3D6"/>
            </w:tcBorders>
            <w:tcMar>
              <w:top w:w="95" w:type="dxa"/>
              <w:start w:w="150" w:type="dxa"/>
              <w:bottom w:w="95" w:type="dxa"/>
              <w:end w:w="150" w:type="dxa"/>
            </w:tcMar>
          </w:tcPr>
          <w:p>
            <w:pPr>
              <w:spacing w:after="60"/>
            </w:pPr>
            <w:r>
              <w:rPr>
                <w:rFonts w:ascii="Aptos" w:hAnsi="Aptos" w:eastAsia="Aptos"/>
                <w:b/>
                <w:color w:val="0B2B3C"/>
                <w:sz w:val="28"/>
              </w:rPr>
              <w:t>03  Finding your way around the dashboard</w:t>
            </w:r>
          </w:p>
          <w:p>
            <w:pPr>
              <w:spacing w:after="60"/>
            </w:pPr>
            <w:r>
              <w:rPr>
                <w:rFonts w:ascii="Aptos" w:hAnsi="Aptos" w:eastAsia="Aptos"/>
                <w:b/>
                <w:color w:val="0B8A72"/>
                <w:sz w:val="17"/>
              </w:rPr>
              <w:t>Role: All roles  •  Duration: 30–35 seconds  •  Status: READY</w:t>
            </w:r>
          </w:p>
          <w:p>
            <w:pPr>
              <w:spacing w:after="60"/>
            </w:pPr>
            <w:r>
              <w:rPr>
                <w:rFonts w:ascii="Aptos" w:hAnsi="Aptos" w:eastAsia="Aptos"/>
                <w:b/>
                <w:color w:val="0B2B3C"/>
                <w:sz w:val="19"/>
              </w:rPr>
              <w:t xml:space="preserve">Learning objective: </w:t>
            </w:r>
            <w:r>
              <w:rPr>
                <w:rFonts w:ascii="Aptos" w:hAnsi="Aptos" w:eastAsia="Aptos"/>
                <w:color w:val="52616A"/>
                <w:sz w:val="19"/>
              </w:rPr>
              <w:t>Recognise the next action, navigation, role context and safety boundary.</w:t>
            </w:r>
          </w:p>
          <w:p>
            <w:pPr>
              <w:spacing w:after="40"/>
            </w:pPr>
            <w:r>
              <w:rPr>
                <w:rFonts w:ascii="Aptos" w:hAnsi="Aptos" w:eastAsia="Aptos"/>
                <w:b/>
                <w:color w:val="0B2B3C"/>
                <w:sz w:val="18"/>
              </w:rPr>
              <w:t>Screen actions</w:t>
            </w:r>
          </w:p>
          <w:p>
            <w:pPr>
              <w:spacing w:after="40"/>
              <w:ind w:left="198"/>
            </w:pPr>
            <w:r>
              <w:rPr>
                <w:rFonts w:ascii="Aptos" w:hAnsi="Aptos" w:eastAsia="Aptos"/>
                <w:b/>
                <w:color w:val="0B8A72"/>
                <w:sz w:val="18"/>
              </w:rPr>
              <w:t xml:space="preserve">1. </w:t>
            </w:r>
            <w:r>
              <w:rPr>
                <w:rFonts w:ascii="Aptos" w:hAnsi="Aptos" w:eastAsia="Aptos"/>
                <w:color w:val="52616A"/>
                <w:sz w:val="18"/>
              </w:rPr>
              <w:t>Open /demo and pause on the page heading and next-action card.</w:t>
            </w:r>
          </w:p>
          <w:p>
            <w:pPr>
              <w:spacing w:after="40"/>
              <w:ind w:left="198"/>
            </w:pPr>
            <w:r>
              <w:rPr>
                <w:rFonts w:ascii="Aptos" w:hAnsi="Aptos" w:eastAsia="Aptos"/>
                <w:b/>
                <w:color w:val="0B8A72"/>
                <w:sz w:val="18"/>
              </w:rPr>
              <w:t xml:space="preserve">2. </w:t>
            </w:r>
            <w:r>
              <w:rPr>
                <w:rFonts w:ascii="Aptos" w:hAnsi="Aptos" w:eastAsia="Aptos"/>
                <w:color w:val="52616A"/>
                <w:sz w:val="18"/>
              </w:rPr>
              <w:t>Trace the left navigation: Home, role-specific workspaces and Learn.</w:t>
            </w:r>
          </w:p>
          <w:p>
            <w:pPr>
              <w:spacing w:after="40"/>
              <w:ind w:left="198"/>
            </w:pPr>
            <w:r>
              <w:rPr>
                <w:rFonts w:ascii="Aptos" w:hAnsi="Aptos" w:eastAsia="Aptos"/>
                <w:b/>
                <w:color w:val="0B8A72"/>
                <w:sz w:val="18"/>
              </w:rPr>
              <w:t xml:space="preserve">3. </w:t>
            </w:r>
            <w:r>
              <w:rPr>
                <w:rFonts w:ascii="Aptos" w:hAnsi="Aptos" w:eastAsia="Aptos"/>
                <w:color w:val="52616A"/>
                <w:sz w:val="18"/>
              </w:rPr>
              <w:t>Point to the workspace selector and current profile.</w:t>
            </w:r>
          </w:p>
          <w:p>
            <w:pPr>
              <w:spacing w:after="40"/>
              <w:ind w:left="198"/>
            </w:pPr>
            <w:r>
              <w:rPr>
                <w:rFonts w:ascii="Aptos" w:hAnsi="Aptos" w:eastAsia="Aptos"/>
                <w:b/>
                <w:color w:val="0B8A72"/>
                <w:sz w:val="18"/>
              </w:rPr>
              <w:t xml:space="preserve">4. </w:t>
            </w:r>
            <w:r>
              <w:rPr>
                <w:rFonts w:ascii="Aptos" w:hAnsi="Aptos" w:eastAsia="Aptos"/>
                <w:color w:val="52616A"/>
                <w:sz w:val="18"/>
              </w:rPr>
              <w:t>Show the Controlled environment banner and footer boundary once.</w:t>
            </w:r>
          </w:p>
          <w:p>
            <w:pPr>
              <w:spacing w:after="40"/>
            </w:pPr>
            <w:r>
              <w:rPr>
                <w:rFonts w:ascii="Aptos" w:hAnsi="Aptos" w:eastAsia="Aptos"/>
                <w:b/>
                <w:color w:val="0B2B3C"/>
                <w:sz w:val="18"/>
              </w:rPr>
              <w:t>Voiceover</w:t>
            </w:r>
          </w:p>
          <w:p>
            <w:pPr>
              <w:spacing w:after="60"/>
            </w:pPr>
            <w:r>
              <w:rPr>
                <w:rFonts w:ascii="Aptos" w:hAnsi="Aptos" w:eastAsia="Aptos"/>
                <w:color w:val="52616A"/>
                <w:sz w:val="19"/>
              </w:rPr>
              <w:t>Each dashboard starts with the next useful action. Use the left navigation for your role’s workspaces and choose Learn whenever you need a guided procedure. The workspace selector lets you explore another perspective in the demonstration. The controlled-environment notice confirms that no real money, customer data, custody or live digital assets are connected.</w:t>
            </w:r>
          </w:p>
          <w:p>
            <w:pPr>
              <w:spacing w:after="40"/>
            </w:pPr>
            <w:r>
              <w:rPr>
                <w:rFonts w:ascii="Aptos" w:hAnsi="Aptos" w:eastAsia="Aptos"/>
                <w:b/>
                <w:color w:val="0B2B3C"/>
                <w:sz w:val="17"/>
              </w:rPr>
              <w:t xml:space="preserve">Caption: </w:t>
            </w:r>
            <w:r>
              <w:rPr>
                <w:rFonts w:ascii="Aptos" w:hAnsi="Aptos" w:eastAsia="Aptos"/>
                <w:color w:val="52616A"/>
                <w:sz w:val="17"/>
              </w:rPr>
              <w:t>Next action first • Role-specific navigation • Controlled environment</w:t>
            </w:r>
          </w:p>
          <w:p>
            <w:pPr>
              <w:spacing w:after="0"/>
            </w:pPr>
            <w:r>
              <w:rPr>
                <w:rFonts w:ascii="Aptos" w:hAnsi="Aptos" w:eastAsia="Aptos"/>
                <w:b/>
                <w:color w:val="0B2B3C"/>
                <w:sz w:val="17"/>
              </w:rPr>
              <w:t xml:space="preserve">Placement: </w:t>
            </w:r>
            <w:r>
              <w:rPr>
                <w:rFonts w:ascii="Aptos" w:hAnsi="Aptos" w:eastAsia="Aptos"/>
                <w:color w:val="52616A"/>
                <w:sz w:val="17"/>
              </w:rPr>
              <w:t>Autoplay-disabled welcome tile on each role’s first dashboard visit.</w:t>
            </w:r>
          </w:p>
        </w:tc>
      </w:tr>
    </w:tbl>
    <w:p>
      <w:pPr>
        <w:spacing w:after="0" w:line="48" w:lineRule="auto"/>
      </w:pPr>
      <w:r>
        <w:rPr>
          <w:rFonts w:ascii="Aptos" w:hAnsi="Aptos" w:eastAsia="Aptos"/>
          <w:color w:val="FFFFFF"/>
          <w:sz w:val="4"/>
        </w:rPr>
        <w:t xml:space="preserve"> </w:t>
      </w:r>
    </w:p>
    <w:tbl>
      <w:tblPr>
        <w:tblW w:type="auto" w:w="0"/>
        <w:jc w:val="center"/>
        <w:tblLook w:firstColumn="1" w:firstRow="1" w:lastColumn="0" w:lastRow="0" w:noHBand="0" w:noVBand="1" w:val="04A0"/>
      </w:tblPr>
      <w:tblGrid>
        <w:gridCol w:w="10200"/>
      </w:tblGrid>
      <w:tr>
        <w:trPr>
          <w:cantSplit/>
        </w:trPr>
        <w:tc>
          <w:tcPr>
            <w:tcW w:type="dxa" w:w="10200"/>
            <w:shd w:fill="FFFFFF"/>
            <w:tcBorders>
              <w:top w:val="single" w:sz="8" w:space="0" w:color="C8D3D6"/>
              <w:left w:val="single" w:sz="8" w:space="0" w:color="C8D3D6"/>
              <w:bottom w:val="single" w:sz="8" w:space="0" w:color="C8D3D6"/>
              <w:right w:val="single" w:sz="8" w:space="0" w:color="C8D3D6"/>
            </w:tcBorders>
            <w:tcMar>
              <w:top w:w="95" w:type="dxa"/>
              <w:start w:w="150" w:type="dxa"/>
              <w:bottom w:w="95" w:type="dxa"/>
              <w:end w:w="150" w:type="dxa"/>
            </w:tcMar>
          </w:tcPr>
          <w:p>
            <w:pPr>
              <w:spacing w:after="60"/>
            </w:pPr>
            <w:r>
              <w:rPr>
                <w:rFonts w:ascii="Aptos" w:hAnsi="Aptos" w:eastAsia="Aptos"/>
                <w:b/>
                <w:color w:val="0B2B3C"/>
                <w:sz w:val="28"/>
              </w:rPr>
              <w:t>04  Finding and reviewing an opportunity</w:t>
            </w:r>
          </w:p>
          <w:p>
            <w:pPr>
              <w:spacing w:after="60"/>
            </w:pPr>
            <w:r>
              <w:rPr>
                <w:rFonts w:ascii="Aptos" w:hAnsi="Aptos" w:eastAsia="Aptos"/>
                <w:b/>
                <w:color w:val="0B8A72"/>
                <w:sz w:val="17"/>
              </w:rPr>
              <w:t>Role: Investor and professional adviser  •  Duration: 30–40 seconds  •  Status: READY</w:t>
            </w:r>
          </w:p>
          <w:p>
            <w:pPr>
              <w:spacing w:after="60"/>
            </w:pPr>
            <w:r>
              <w:rPr>
                <w:rFonts w:ascii="Aptos" w:hAnsi="Aptos" w:eastAsia="Aptos"/>
                <w:b/>
                <w:color w:val="0B2B3C"/>
                <w:sz w:val="19"/>
              </w:rPr>
              <w:t xml:space="preserve">Learning objective: </w:t>
            </w:r>
            <w:r>
              <w:rPr>
                <w:rFonts w:ascii="Aptos" w:hAnsi="Aptos" w:eastAsia="Aptos"/>
                <w:color w:val="52616A"/>
                <w:sz w:val="19"/>
              </w:rPr>
              <w:t>Open the reference opportunity and recognise what is available versus gated.</w:t>
            </w:r>
          </w:p>
          <w:p>
            <w:pPr>
              <w:spacing w:after="40"/>
            </w:pPr>
            <w:r>
              <w:rPr>
                <w:rFonts w:ascii="Aptos" w:hAnsi="Aptos" w:eastAsia="Aptos"/>
                <w:b/>
                <w:color w:val="0B2B3C"/>
                <w:sz w:val="18"/>
              </w:rPr>
              <w:t>Screen actions</w:t>
            </w:r>
          </w:p>
          <w:p>
            <w:pPr>
              <w:spacing w:after="40"/>
              <w:ind w:left="198"/>
            </w:pPr>
            <w:r>
              <w:rPr>
                <w:rFonts w:ascii="Aptos" w:hAnsi="Aptos" w:eastAsia="Aptos"/>
                <w:b/>
                <w:color w:val="0B8A72"/>
                <w:sz w:val="18"/>
              </w:rPr>
              <w:t xml:space="preserve">1. </w:t>
            </w:r>
            <w:r>
              <w:rPr>
                <w:rFonts w:ascii="Aptos" w:hAnsi="Aptos" w:eastAsia="Aptos"/>
                <w:color w:val="52616A"/>
                <w:sz w:val="18"/>
              </w:rPr>
              <w:t>From /demo choose Opportunities.</w:t>
            </w:r>
          </w:p>
          <w:p>
            <w:pPr>
              <w:spacing w:after="40"/>
              <w:ind w:left="198"/>
            </w:pPr>
            <w:r>
              <w:rPr>
                <w:rFonts w:ascii="Aptos" w:hAnsi="Aptos" w:eastAsia="Aptos"/>
                <w:b/>
                <w:color w:val="0B8A72"/>
                <w:sz w:val="18"/>
              </w:rPr>
              <w:t xml:space="preserve">2. </w:t>
            </w:r>
            <w:r>
              <w:rPr>
                <w:rFonts w:ascii="Aptos" w:hAnsi="Aptos" w:eastAsia="Aptos"/>
                <w:color w:val="52616A"/>
                <w:sz w:val="18"/>
              </w:rPr>
              <w:t>On /opportunities, pause on the solar-equipment reference case.</w:t>
            </w:r>
          </w:p>
          <w:p>
            <w:pPr>
              <w:spacing w:after="40"/>
              <w:ind w:left="198"/>
            </w:pPr>
            <w:r>
              <w:rPr>
                <w:rFonts w:ascii="Aptos" w:hAnsi="Aptos" w:eastAsia="Aptos"/>
                <w:b/>
                <w:color w:val="0B8A72"/>
                <w:sz w:val="18"/>
              </w:rPr>
              <w:t xml:space="preserve">3. </w:t>
            </w:r>
            <w:r>
              <w:rPr>
                <w:rFonts w:ascii="Aptos" w:hAnsi="Aptos" w:eastAsia="Aptos"/>
                <w:color w:val="52616A"/>
                <w:sz w:val="18"/>
              </w:rPr>
              <w:t>Highlight the synthetic status, asset pool, term and unit reference.</w:t>
            </w:r>
          </w:p>
          <w:p>
            <w:pPr>
              <w:spacing w:after="40"/>
              <w:ind w:left="198"/>
            </w:pPr>
            <w:r>
              <w:rPr>
                <w:rFonts w:ascii="Aptos" w:hAnsi="Aptos" w:eastAsia="Aptos"/>
                <w:b/>
                <w:color w:val="0B8A72"/>
                <w:sz w:val="18"/>
              </w:rPr>
              <w:t xml:space="preserve">4. </w:t>
            </w:r>
            <w:r>
              <w:rPr>
                <w:rFonts w:ascii="Aptos" w:hAnsi="Aptos" w:eastAsia="Aptos"/>
                <w:color w:val="52616A"/>
                <w:sz w:val="18"/>
              </w:rPr>
              <w:t>Show the locked pipeline cards, then choose Review opportunity.</w:t>
            </w:r>
          </w:p>
          <w:p>
            <w:pPr>
              <w:spacing w:after="40"/>
            </w:pPr>
            <w:r>
              <w:rPr>
                <w:rFonts w:ascii="Aptos" w:hAnsi="Aptos" w:eastAsia="Aptos"/>
                <w:b/>
                <w:color w:val="0B2B3C"/>
                <w:sz w:val="18"/>
              </w:rPr>
              <w:t>Voiceover</w:t>
            </w:r>
          </w:p>
          <w:p>
            <w:pPr>
              <w:spacing w:after="60"/>
            </w:pPr>
            <w:r>
              <w:rPr>
                <w:rFonts w:ascii="Aptos" w:hAnsi="Aptos" w:eastAsia="Aptos"/>
                <w:color w:val="52616A"/>
                <w:sz w:val="19"/>
              </w:rPr>
              <w:t>The Opportunities page separates the reference case from assets that are still under review. Check the status first, then the illustrative asset pool, proposed term and unit reference. Pipeline cards remain unavailable while diligence is incomplete. Select Review opportunity to open the full asset, structure, risk and evidence view.</w:t>
            </w:r>
          </w:p>
          <w:p>
            <w:pPr>
              <w:spacing w:after="40"/>
            </w:pPr>
            <w:r>
              <w:rPr>
                <w:rFonts w:ascii="Aptos" w:hAnsi="Aptos" w:eastAsia="Aptos"/>
                <w:b/>
                <w:color w:val="0B2B3C"/>
                <w:sz w:val="17"/>
              </w:rPr>
              <w:t xml:space="preserve">Caption: </w:t>
            </w:r>
            <w:r>
              <w:rPr>
                <w:rFonts w:ascii="Aptos" w:hAnsi="Aptos" w:eastAsia="Aptos"/>
                <w:color w:val="52616A"/>
                <w:sz w:val="17"/>
              </w:rPr>
              <w:t>Check status first • Review key terms • Gated assets stay unavailable</w:t>
            </w:r>
          </w:p>
          <w:p>
            <w:pPr>
              <w:spacing w:after="0"/>
            </w:pPr>
            <w:r>
              <w:rPr>
                <w:rFonts w:ascii="Aptos" w:hAnsi="Aptos" w:eastAsia="Aptos"/>
                <w:b/>
                <w:color w:val="0B2B3C"/>
                <w:sz w:val="17"/>
              </w:rPr>
              <w:t xml:space="preserve">Placement: </w:t>
            </w:r>
            <w:r>
              <w:rPr>
                <w:rFonts w:ascii="Aptos" w:hAnsi="Aptos" w:eastAsia="Aptos"/>
                <w:color w:val="52616A"/>
                <w:sz w:val="17"/>
              </w:rPr>
              <w:t>Top of /opportunities and beside the dashboard’s Opportunities navigation item.</w:t>
            </w:r>
          </w:p>
        </w:tc>
      </w:tr>
    </w:tbl>
    <w:p>
      <w:pPr>
        <w:spacing w:after="0" w:line="48" w:lineRule="auto"/>
      </w:pPr>
      <w:r>
        <w:rPr>
          <w:rFonts w:ascii="Aptos" w:hAnsi="Aptos" w:eastAsia="Aptos"/>
          <w:color w:val="FFFFFF"/>
          <w:sz w:val="4"/>
        </w:rPr>
        <w:t xml:space="preserve"> </w:t>
      </w:r>
    </w:p>
    <w:p>
      <w:r>
        <w:br w:type="page"/>
      </w:r>
    </w:p>
    <w:p>
      <w:pPr>
        <w:spacing w:before="280" w:after="60"/>
        <w:keepNext/>
      </w:pPr>
      <w:r>
        <w:rPr>
          <w:rFonts w:ascii="Aptos" w:hAnsi="Aptos" w:eastAsia="Aptos"/>
          <w:b/>
          <w:color w:val="0B8A72"/>
          <w:sz w:val="17"/>
        </w:rPr>
        <w:t>DELIVERABLE 3 CONTINUED</w:t>
      </w:r>
    </w:p>
    <w:p>
      <w:pPr>
        <w:pStyle w:val="Title"/>
        <w:spacing w:after="120"/>
      </w:pPr>
      <w:r>
        <w:rPr>
          <w:rFonts w:ascii="Aptos" w:hAnsi="Aptos" w:eastAsia="Aptos"/>
          <w:b/>
          <w:color w:val="0B2B3C"/>
          <w:sz w:val="50"/>
        </w:rPr>
        <w:t>Short onboarding series</w:t>
      </w:r>
    </w:p>
    <w:p>
      <w:pPr>
        <w:spacing w:after="160"/>
        <w:pBdr>
          <w:bottom w:val="single" w:sz="14" w:space="1" w:color="0B8A72"/>
        </w:pBdr>
        <w:keepNext/>
      </w:pPr>
    </w:p>
    <w:tbl>
      <w:tblPr>
        <w:tblW w:type="auto" w:w="0"/>
        <w:jc w:val="center"/>
        <w:tblLook w:firstColumn="1" w:firstRow="1" w:lastColumn="0" w:lastRow="0" w:noHBand="0" w:noVBand="1" w:val="04A0"/>
      </w:tblPr>
      <w:tblGrid>
        <w:gridCol w:w="10200"/>
      </w:tblGrid>
      <w:tr>
        <w:trPr>
          <w:cantSplit/>
        </w:trPr>
        <w:tc>
          <w:tcPr>
            <w:tcW w:type="dxa" w:w="10200"/>
            <w:shd w:fill="FFFFFF"/>
            <w:tcBorders>
              <w:top w:val="single" w:sz="8" w:space="0" w:color="C8D3D6"/>
              <w:left w:val="single" w:sz="8" w:space="0" w:color="C8D3D6"/>
              <w:bottom w:val="single" w:sz="8" w:space="0" w:color="C8D3D6"/>
              <w:right w:val="single" w:sz="8" w:space="0" w:color="C8D3D6"/>
            </w:tcBorders>
            <w:tcMar>
              <w:top w:w="95" w:type="dxa"/>
              <w:start w:w="150" w:type="dxa"/>
              <w:bottom w:w="95" w:type="dxa"/>
              <w:end w:w="150" w:type="dxa"/>
            </w:tcMar>
          </w:tcPr>
          <w:p>
            <w:pPr>
              <w:spacing w:after="60"/>
            </w:pPr>
            <w:r>
              <w:rPr>
                <w:rFonts w:ascii="Aptos" w:hAnsi="Aptos" w:eastAsia="Aptos"/>
                <w:b/>
                <w:color w:val="0B2B3C"/>
                <w:sz w:val="28"/>
              </w:rPr>
              <w:t>05  Reviewing documents and key information</w:t>
            </w:r>
          </w:p>
          <w:p>
            <w:pPr>
              <w:spacing w:after="60"/>
            </w:pPr>
            <w:r>
              <w:rPr>
                <w:rFonts w:ascii="Aptos" w:hAnsi="Aptos" w:eastAsia="Aptos"/>
                <w:b/>
                <w:color w:val="0B8A72"/>
                <w:sz w:val="17"/>
              </w:rPr>
              <w:t>Role: Investor, adviser and reviewer  •  Duration: 35–40 seconds  •  Status: READY</w:t>
            </w:r>
          </w:p>
          <w:p>
            <w:pPr>
              <w:spacing w:after="60"/>
            </w:pPr>
            <w:r>
              <w:rPr>
                <w:rFonts w:ascii="Aptos" w:hAnsi="Aptos" w:eastAsia="Aptos"/>
                <w:b/>
                <w:color w:val="0B2B3C"/>
                <w:sz w:val="19"/>
              </w:rPr>
              <w:t xml:space="preserve">Learning objective: </w:t>
            </w:r>
            <w:r>
              <w:rPr>
                <w:rFonts w:ascii="Aptos" w:hAnsi="Aptos" w:eastAsia="Aptos"/>
                <w:color w:val="52616A"/>
                <w:sz w:val="19"/>
              </w:rPr>
              <w:t>Use the opportunity page to understand the asset, risks, scenarios and document status.</w:t>
            </w:r>
          </w:p>
          <w:p>
            <w:pPr>
              <w:spacing w:after="40"/>
            </w:pPr>
            <w:r>
              <w:rPr>
                <w:rFonts w:ascii="Aptos" w:hAnsi="Aptos" w:eastAsia="Aptos"/>
                <w:b/>
                <w:color w:val="0B2B3C"/>
                <w:sz w:val="18"/>
              </w:rPr>
              <w:t>Screen actions</w:t>
            </w:r>
          </w:p>
          <w:p>
            <w:pPr>
              <w:spacing w:after="40"/>
              <w:ind w:left="198"/>
            </w:pPr>
            <w:r>
              <w:rPr>
                <w:rFonts w:ascii="Aptos" w:hAnsi="Aptos" w:eastAsia="Aptos"/>
                <w:b/>
                <w:color w:val="0B8A72"/>
                <w:sz w:val="18"/>
              </w:rPr>
              <w:t xml:space="preserve">1. </w:t>
            </w:r>
            <w:r>
              <w:rPr>
                <w:rFonts w:ascii="Aptos" w:hAnsi="Aptos" w:eastAsia="Aptos"/>
                <w:color w:val="52616A"/>
                <w:sz w:val="18"/>
              </w:rPr>
              <w:t>On /opportunities/solar-ijarah, show the information date and evidence basis.</w:t>
            </w:r>
          </w:p>
          <w:p>
            <w:pPr>
              <w:spacing w:after="40"/>
              <w:ind w:left="198"/>
            </w:pPr>
            <w:r>
              <w:rPr>
                <w:rFonts w:ascii="Aptos" w:hAnsi="Aptos" w:eastAsia="Aptos"/>
                <w:b/>
                <w:color w:val="0B8A72"/>
                <w:sz w:val="18"/>
              </w:rPr>
              <w:t xml:space="preserve">2. </w:t>
            </w:r>
            <w:r>
              <w:rPr>
                <w:rFonts w:ascii="Aptos" w:hAnsi="Aptos" w:eastAsia="Aptos"/>
                <w:color w:val="52616A"/>
                <w:sz w:val="18"/>
              </w:rPr>
              <w:t>Pause on Why this asset exists and How the structure works.</w:t>
            </w:r>
          </w:p>
          <w:p>
            <w:pPr>
              <w:spacing w:after="40"/>
              <w:ind w:left="198"/>
            </w:pPr>
            <w:r>
              <w:rPr>
                <w:rFonts w:ascii="Aptos" w:hAnsi="Aptos" w:eastAsia="Aptos"/>
                <w:b/>
                <w:color w:val="0B8A72"/>
                <w:sz w:val="18"/>
              </w:rPr>
              <w:t xml:space="preserve">3. </w:t>
            </w:r>
            <w:r>
              <w:rPr>
                <w:rFonts w:ascii="Aptos" w:hAnsi="Aptos" w:eastAsia="Aptos"/>
                <w:color w:val="52616A"/>
                <w:sz w:val="18"/>
              </w:rPr>
              <w:t>Scroll to What could go wrong and the cash-flow scenarios.</w:t>
            </w:r>
          </w:p>
          <w:p>
            <w:pPr>
              <w:spacing w:after="40"/>
              <w:ind w:left="198"/>
            </w:pPr>
            <w:r>
              <w:rPr>
                <w:rFonts w:ascii="Aptos" w:hAnsi="Aptos" w:eastAsia="Aptos"/>
                <w:b/>
                <w:color w:val="0B8A72"/>
                <w:sz w:val="18"/>
              </w:rPr>
              <w:t xml:space="preserve">4. </w:t>
            </w:r>
            <w:r>
              <w:rPr>
                <w:rFonts w:ascii="Aptos" w:hAnsi="Aptos" w:eastAsia="Aptos"/>
                <w:color w:val="52616A"/>
                <w:sz w:val="18"/>
              </w:rPr>
              <w:t>Finish on the document room; highlight Recorded, Draft and Conditional.</w:t>
            </w:r>
          </w:p>
          <w:p>
            <w:pPr>
              <w:spacing w:after="40"/>
            </w:pPr>
            <w:r>
              <w:rPr>
                <w:rFonts w:ascii="Aptos" w:hAnsi="Aptos" w:eastAsia="Aptos"/>
                <w:b/>
                <w:color w:val="0B2B3C"/>
                <w:sz w:val="18"/>
              </w:rPr>
              <w:t>Voiceover</w:t>
            </w:r>
          </w:p>
          <w:p>
            <w:pPr>
              <w:spacing w:after="60"/>
            </w:pPr>
            <w:r>
              <w:rPr>
                <w:rFonts w:ascii="Aptos" w:hAnsi="Aptos" w:eastAsia="Aptos"/>
                <w:color w:val="52616A"/>
                <w:sz w:val="19"/>
              </w:rPr>
              <w:t>Start with the information date and evidence basis. The opportunity then explains the productive asset, the parties and the source of any potential cash flow. Review What could go wrong before the scenarios. In the document room, each item is clearly marked recorded, draft or conditional, so you can see what is complete and what still needs professional approval.</w:t>
            </w:r>
          </w:p>
          <w:p>
            <w:pPr>
              <w:spacing w:after="40"/>
            </w:pPr>
            <w:r>
              <w:rPr>
                <w:rFonts w:ascii="Aptos" w:hAnsi="Aptos" w:eastAsia="Aptos"/>
                <w:b/>
                <w:color w:val="0B2B3C"/>
                <w:sz w:val="17"/>
              </w:rPr>
              <w:t xml:space="preserve">Caption: </w:t>
            </w:r>
            <w:r>
              <w:rPr>
                <w:rFonts w:ascii="Aptos" w:hAnsi="Aptos" w:eastAsia="Aptos"/>
                <w:color w:val="52616A"/>
                <w:sz w:val="17"/>
              </w:rPr>
              <w:t>Asset • Structure • Risks • Scenarios • Evidence status</w:t>
            </w:r>
          </w:p>
          <w:p>
            <w:pPr>
              <w:spacing w:after="0"/>
            </w:pPr>
            <w:r>
              <w:rPr>
                <w:rFonts w:ascii="Aptos" w:hAnsi="Aptos" w:eastAsia="Aptos"/>
                <w:b/>
                <w:color w:val="0B2B3C"/>
                <w:sz w:val="17"/>
              </w:rPr>
              <w:t xml:space="preserve">Placement: </w:t>
            </w:r>
            <w:r>
              <w:rPr>
                <w:rFonts w:ascii="Aptos" w:hAnsi="Aptos" w:eastAsia="Aptos"/>
                <w:color w:val="52616A"/>
                <w:sz w:val="17"/>
              </w:rPr>
              <w:t>Sticky help link on the opportunity detail page, anchored to the document room.</w:t>
            </w:r>
          </w:p>
        </w:tc>
      </w:tr>
    </w:tbl>
    <w:p>
      <w:pPr>
        <w:spacing w:after="0" w:line="48" w:lineRule="auto"/>
      </w:pPr>
      <w:r>
        <w:rPr>
          <w:rFonts w:ascii="Aptos" w:hAnsi="Aptos" w:eastAsia="Aptos"/>
          <w:color w:val="FFFFFF"/>
          <w:sz w:val="4"/>
        </w:rPr>
        <w:t xml:space="preserve"> </w:t>
      </w:r>
    </w:p>
    <w:tbl>
      <w:tblPr>
        <w:tblW w:type="auto" w:w="0"/>
        <w:jc w:val="center"/>
        <w:tblLook w:firstColumn="1" w:firstRow="1" w:lastColumn="0" w:lastRow="0" w:noHBand="0" w:noVBand="1" w:val="04A0"/>
      </w:tblPr>
      <w:tblGrid>
        <w:gridCol w:w="10200"/>
      </w:tblGrid>
      <w:tr>
        <w:trPr>
          <w:cantSplit/>
        </w:trPr>
        <w:tc>
          <w:tcPr>
            <w:tcW w:type="dxa" w:w="10200"/>
            <w:shd w:fill="FFFFFF"/>
            <w:tcBorders>
              <w:top w:val="single" w:sz="8" w:space="0" w:color="C8D3D6"/>
              <w:left w:val="single" w:sz="8" w:space="0" w:color="C8D3D6"/>
              <w:bottom w:val="single" w:sz="8" w:space="0" w:color="C8D3D6"/>
              <w:right w:val="single" w:sz="8" w:space="0" w:color="C8D3D6"/>
            </w:tcBorders>
            <w:tcMar>
              <w:top w:w="95" w:type="dxa"/>
              <w:start w:w="150" w:type="dxa"/>
              <w:bottom w:w="95" w:type="dxa"/>
              <w:end w:w="150" w:type="dxa"/>
            </w:tcMar>
          </w:tcPr>
          <w:p>
            <w:pPr>
              <w:spacing w:after="60"/>
            </w:pPr>
            <w:r>
              <w:rPr>
                <w:rFonts w:ascii="Aptos" w:hAnsi="Aptos" w:eastAsia="Aptos"/>
                <w:b/>
                <w:color w:val="0B2B3C"/>
                <w:sz w:val="28"/>
              </w:rPr>
              <w:t>06  Completing the next investor step</w:t>
            </w:r>
          </w:p>
          <w:p>
            <w:pPr>
              <w:spacing w:after="60"/>
            </w:pPr>
            <w:r>
              <w:rPr>
                <w:rFonts w:ascii="Aptos" w:hAnsi="Aptos" w:eastAsia="Aptos"/>
                <w:b/>
                <w:color w:val="0B8A72"/>
                <w:sz w:val="17"/>
              </w:rPr>
              <w:t>Role: Investor  •  Duration: 35–40 seconds  •  Status: READY — simulated commitment only</w:t>
            </w:r>
          </w:p>
          <w:p>
            <w:pPr>
              <w:spacing w:after="60"/>
            </w:pPr>
            <w:r>
              <w:rPr>
                <w:rFonts w:ascii="Aptos" w:hAnsi="Aptos" w:eastAsia="Aptos"/>
                <w:b/>
                <w:color w:val="0B2B3C"/>
                <w:sz w:val="19"/>
              </w:rPr>
              <w:t xml:space="preserve">Learning objective: </w:t>
            </w:r>
            <w:r>
              <w:rPr>
                <w:rFonts w:ascii="Aptos" w:hAnsi="Aptos" w:eastAsia="Aptos"/>
                <w:color w:val="52616A"/>
                <w:sz w:val="19"/>
              </w:rPr>
              <w:t>Complete the present comprehension-and-consent flow without implying a real investment.</w:t>
            </w:r>
          </w:p>
          <w:p>
            <w:pPr>
              <w:spacing w:after="40"/>
            </w:pPr>
            <w:r>
              <w:rPr>
                <w:rFonts w:ascii="Aptos" w:hAnsi="Aptos" w:eastAsia="Aptos"/>
                <w:b/>
                <w:color w:val="0B2B3C"/>
                <w:sz w:val="18"/>
              </w:rPr>
              <w:t>Screen actions</w:t>
            </w:r>
          </w:p>
          <w:p>
            <w:pPr>
              <w:spacing w:after="40"/>
              <w:ind w:left="198"/>
            </w:pPr>
            <w:r>
              <w:rPr>
                <w:rFonts w:ascii="Aptos" w:hAnsi="Aptos" w:eastAsia="Aptos"/>
                <w:b/>
                <w:color w:val="0B8A72"/>
                <w:sz w:val="18"/>
              </w:rPr>
              <w:t xml:space="preserve">1. </w:t>
            </w:r>
            <w:r>
              <w:rPr>
                <w:rFonts w:ascii="Aptos" w:hAnsi="Aptos" w:eastAsia="Aptos"/>
                <w:color w:val="52616A"/>
                <w:sz w:val="18"/>
              </w:rPr>
              <w:t>Choose Continue to commitment review.</w:t>
            </w:r>
          </w:p>
          <w:p>
            <w:pPr>
              <w:spacing w:after="40"/>
              <w:ind w:left="198"/>
            </w:pPr>
            <w:r>
              <w:rPr>
                <w:rFonts w:ascii="Aptos" w:hAnsi="Aptos" w:eastAsia="Aptos"/>
                <w:b/>
                <w:color w:val="0B8A72"/>
                <w:sz w:val="18"/>
              </w:rPr>
              <w:t xml:space="preserve">2. </w:t>
            </w:r>
            <w:r>
              <w:rPr>
                <w:rFonts w:ascii="Aptos" w:hAnsi="Aptos" w:eastAsia="Aptos"/>
                <w:color w:val="52616A"/>
                <w:sz w:val="18"/>
              </w:rPr>
              <w:t>Enter an illustrative amount and choose Continue to review.</w:t>
            </w:r>
          </w:p>
          <w:p>
            <w:pPr>
              <w:spacing w:after="40"/>
              <w:ind w:left="198"/>
            </w:pPr>
            <w:r>
              <w:rPr>
                <w:rFonts w:ascii="Aptos" w:hAnsi="Aptos" w:eastAsia="Aptos"/>
                <w:b/>
                <w:color w:val="0B8A72"/>
                <w:sz w:val="18"/>
              </w:rPr>
              <w:t xml:space="preserve">3. </w:t>
            </w:r>
            <w:r>
              <w:rPr>
                <w:rFonts w:ascii="Aptos" w:hAnsi="Aptos" w:eastAsia="Aptos"/>
                <w:color w:val="52616A"/>
                <w:sz w:val="18"/>
              </w:rPr>
              <w:t>Tick the three comprehension statements and the synthetic consent.</w:t>
            </w:r>
          </w:p>
          <w:p>
            <w:pPr>
              <w:spacing w:after="40"/>
              <w:ind w:left="198"/>
            </w:pPr>
            <w:r>
              <w:rPr>
                <w:rFonts w:ascii="Aptos" w:hAnsi="Aptos" w:eastAsia="Aptos"/>
                <w:b/>
                <w:color w:val="0B8A72"/>
                <w:sz w:val="18"/>
              </w:rPr>
              <w:t xml:space="preserve">4. </w:t>
            </w:r>
            <w:r>
              <w:rPr>
                <w:rFonts w:ascii="Aptos" w:hAnsi="Aptos" w:eastAsia="Aptos"/>
                <w:color w:val="52616A"/>
                <w:sz w:val="18"/>
              </w:rPr>
              <w:t>Choose Confirm simulation, then show the demonstration receipt.</w:t>
            </w:r>
          </w:p>
          <w:p>
            <w:pPr>
              <w:spacing w:after="40"/>
            </w:pPr>
            <w:r>
              <w:rPr>
                <w:rFonts w:ascii="Aptos" w:hAnsi="Aptos" w:eastAsia="Aptos"/>
                <w:b/>
                <w:color w:val="0B2B3C"/>
                <w:sz w:val="18"/>
              </w:rPr>
              <w:t>Voiceover</w:t>
            </w:r>
          </w:p>
          <w:p>
            <w:pPr>
              <w:spacing w:after="60"/>
            </w:pPr>
            <w:r>
              <w:rPr>
                <w:rFonts w:ascii="Aptos" w:hAnsi="Aptos" w:eastAsia="Aptos"/>
                <w:color w:val="52616A"/>
                <w:sz w:val="19"/>
              </w:rPr>
              <w:t>Choose an illustrative amount, then continue to the comprehension review. Confirm that you understand the rights, the absence of promised liquidity and the dependence on rent actually received. Accept the synthetic consent and select Confirm simulation. The receipt is an attributable demonstration record only: no money moves and no investment or ownership is created.</w:t>
            </w:r>
          </w:p>
          <w:p>
            <w:pPr>
              <w:spacing w:after="40"/>
            </w:pPr>
            <w:r>
              <w:rPr>
                <w:rFonts w:ascii="Aptos" w:hAnsi="Aptos" w:eastAsia="Aptos"/>
                <w:b/>
                <w:color w:val="0B2B3C"/>
                <w:sz w:val="17"/>
              </w:rPr>
              <w:t xml:space="preserve">Caption: </w:t>
            </w:r>
            <w:r>
              <w:rPr>
                <w:rFonts w:ascii="Aptos" w:hAnsi="Aptos" w:eastAsia="Aptos"/>
                <w:color w:val="52616A"/>
                <w:sz w:val="17"/>
              </w:rPr>
              <w:t>Understand before confirming • Demonstration only • No money or ownership created</w:t>
            </w:r>
          </w:p>
          <w:p>
            <w:pPr>
              <w:spacing w:after="0"/>
            </w:pPr>
            <w:r>
              <w:rPr>
                <w:rFonts w:ascii="Aptos" w:hAnsi="Aptos" w:eastAsia="Aptos"/>
                <w:b/>
                <w:color w:val="0B2B3C"/>
                <w:sz w:val="17"/>
              </w:rPr>
              <w:t xml:space="preserve">Placement: </w:t>
            </w:r>
            <w:r>
              <w:rPr>
                <w:rFonts w:ascii="Aptos" w:hAnsi="Aptos" w:eastAsia="Aptos"/>
                <w:color w:val="52616A"/>
                <w:sz w:val="17"/>
              </w:rPr>
              <w:t>At the top of /subscribe and available from the commitment-review entry point.</w:t>
            </w:r>
          </w:p>
        </w:tc>
      </w:tr>
    </w:tbl>
    <w:p>
      <w:pPr>
        <w:spacing w:after="0" w:line="48" w:lineRule="auto"/>
      </w:pPr>
      <w:r>
        <w:rPr>
          <w:rFonts w:ascii="Aptos" w:hAnsi="Aptos" w:eastAsia="Aptos"/>
          <w:color w:val="FFFFFF"/>
          <w:sz w:val="4"/>
        </w:rPr>
        <w:t xml:space="preserve"> </w:t>
      </w:r>
    </w:p>
    <w:p>
      <w:r>
        <w:br w:type="page"/>
      </w:r>
    </w:p>
    <w:p>
      <w:pPr>
        <w:spacing w:before="280" w:after="60"/>
        <w:keepNext/>
      </w:pPr>
      <w:r>
        <w:rPr>
          <w:rFonts w:ascii="Aptos" w:hAnsi="Aptos" w:eastAsia="Aptos"/>
          <w:b/>
          <w:color w:val="0B8A72"/>
          <w:sz w:val="17"/>
        </w:rPr>
        <w:t>DELIVERABLE 3 CONTINUED</w:t>
      </w:r>
    </w:p>
    <w:p>
      <w:pPr>
        <w:pStyle w:val="Title"/>
        <w:spacing w:after="120"/>
      </w:pPr>
      <w:r>
        <w:rPr>
          <w:rFonts w:ascii="Aptos" w:hAnsi="Aptos" w:eastAsia="Aptos"/>
          <w:b/>
          <w:color w:val="0B2B3C"/>
          <w:sz w:val="50"/>
        </w:rPr>
        <w:t>Short onboarding series</w:t>
      </w:r>
    </w:p>
    <w:p>
      <w:pPr>
        <w:spacing w:after="160"/>
        <w:pBdr>
          <w:bottom w:val="single" w:sz="14" w:space="1" w:color="0B8A72"/>
        </w:pBdr>
        <w:keepNext/>
      </w:pPr>
    </w:p>
    <w:tbl>
      <w:tblPr>
        <w:tblW w:type="auto" w:w="0"/>
        <w:jc w:val="center"/>
        <w:tblLook w:firstColumn="1" w:firstRow="1" w:lastColumn="0" w:lastRow="0" w:noHBand="0" w:noVBand="1" w:val="04A0"/>
      </w:tblPr>
      <w:tblGrid>
        <w:gridCol w:w="10200"/>
      </w:tblGrid>
      <w:tr>
        <w:trPr>
          <w:cantSplit/>
        </w:trPr>
        <w:tc>
          <w:tcPr>
            <w:tcW w:type="dxa" w:w="10200"/>
            <w:shd w:fill="FFFFFF"/>
            <w:tcBorders>
              <w:top w:val="single" w:sz="8" w:space="0" w:color="C8D3D6"/>
              <w:left w:val="single" w:sz="8" w:space="0" w:color="C8D3D6"/>
              <w:bottom w:val="single" w:sz="8" w:space="0" w:color="C8D3D6"/>
              <w:right w:val="single" w:sz="8" w:space="0" w:color="C8D3D6"/>
            </w:tcBorders>
            <w:tcMar>
              <w:top w:w="95" w:type="dxa"/>
              <w:start w:w="150" w:type="dxa"/>
              <w:bottom w:w="95" w:type="dxa"/>
              <w:end w:w="150" w:type="dxa"/>
            </w:tcMar>
          </w:tcPr>
          <w:p>
            <w:pPr>
              <w:spacing w:after="60"/>
            </w:pPr>
            <w:r>
              <w:rPr>
                <w:rFonts w:ascii="Aptos" w:hAnsi="Aptos" w:eastAsia="Aptos"/>
                <w:b/>
                <w:color w:val="0B2B3C"/>
                <w:sz w:val="28"/>
              </w:rPr>
              <w:t>07  Submitting an opportunity for human review</w:t>
            </w:r>
          </w:p>
          <w:p>
            <w:pPr>
              <w:spacing w:after="60"/>
            </w:pPr>
            <w:r>
              <w:rPr>
                <w:rFonts w:ascii="Aptos" w:hAnsi="Aptos" w:eastAsia="Aptos"/>
                <w:b/>
                <w:color w:val="0B8A72"/>
                <w:sz w:val="17"/>
              </w:rPr>
              <w:t>Role: SME and originator  •  Duration: 35–40 seconds  •  Status: READY — browser-only synthetic submission</w:t>
            </w:r>
          </w:p>
          <w:p>
            <w:pPr>
              <w:spacing w:after="60"/>
            </w:pPr>
            <w:r>
              <w:rPr>
                <w:rFonts w:ascii="Aptos" w:hAnsi="Aptos" w:eastAsia="Aptos"/>
                <w:b/>
                <w:color w:val="0B2B3C"/>
                <w:sz w:val="19"/>
              </w:rPr>
              <w:t xml:space="preserve">Learning objective: </w:t>
            </w:r>
            <w:r>
              <w:rPr>
                <w:rFonts w:ascii="Aptos" w:hAnsi="Aptos" w:eastAsia="Aptos"/>
                <w:color w:val="52616A"/>
                <w:sz w:val="19"/>
              </w:rPr>
              <w:t>Complete the three-step application and understand the independent-review hand-off.</w:t>
            </w:r>
          </w:p>
          <w:p>
            <w:pPr>
              <w:spacing w:after="40"/>
            </w:pPr>
            <w:r>
              <w:rPr>
                <w:rFonts w:ascii="Aptos" w:hAnsi="Aptos" w:eastAsia="Aptos"/>
                <w:b/>
                <w:color w:val="0B2B3C"/>
                <w:sz w:val="18"/>
              </w:rPr>
              <w:t>Screen actions</w:t>
            </w:r>
          </w:p>
          <w:p>
            <w:pPr>
              <w:spacing w:after="40"/>
              <w:ind w:left="198"/>
            </w:pPr>
            <w:r>
              <w:rPr>
                <w:rFonts w:ascii="Aptos" w:hAnsi="Aptos" w:eastAsia="Aptos"/>
                <w:b/>
                <w:color w:val="0B8A72"/>
                <w:sz w:val="18"/>
              </w:rPr>
              <w:t xml:space="preserve">1. </w:t>
            </w:r>
            <w:r>
              <w:rPr>
                <w:rFonts w:ascii="Aptos" w:hAnsi="Aptos" w:eastAsia="Aptos"/>
                <w:color w:val="52616A"/>
                <w:sz w:val="18"/>
              </w:rPr>
              <w:t>From /applications or /origination choose Start an application / Start a guided case.</w:t>
            </w:r>
          </w:p>
          <w:p>
            <w:pPr>
              <w:spacing w:after="40"/>
              <w:ind w:left="198"/>
            </w:pPr>
            <w:r>
              <w:rPr>
                <w:rFonts w:ascii="Aptos" w:hAnsi="Aptos" w:eastAsia="Aptos"/>
                <w:b/>
                <w:color w:val="0B8A72"/>
                <w:sz w:val="18"/>
              </w:rPr>
              <w:t xml:space="preserve">2. </w:t>
            </w:r>
            <w:r>
              <w:rPr>
                <w:rFonts w:ascii="Aptos" w:hAnsi="Aptos" w:eastAsia="Aptos"/>
                <w:color w:val="52616A"/>
                <w:sz w:val="18"/>
              </w:rPr>
              <w:t>Complete Business, Asset request and Evidence &amp; review using fictional details.</w:t>
            </w:r>
          </w:p>
          <w:p>
            <w:pPr>
              <w:spacing w:after="40"/>
              <w:ind w:left="198"/>
            </w:pPr>
            <w:r>
              <w:rPr>
                <w:rFonts w:ascii="Aptos" w:hAnsi="Aptos" w:eastAsia="Aptos"/>
                <w:b/>
                <w:color w:val="0B8A72"/>
                <w:sz w:val="18"/>
              </w:rPr>
              <w:t xml:space="preserve">3. </w:t>
            </w:r>
            <w:r>
              <w:rPr>
                <w:rFonts w:ascii="Aptos" w:hAnsi="Aptos" w:eastAsia="Aptos"/>
                <w:color w:val="52616A"/>
                <w:sz w:val="18"/>
              </w:rPr>
              <w:t>Tick every evidence placeholder and the declaration.</w:t>
            </w:r>
          </w:p>
          <w:p>
            <w:pPr>
              <w:spacing w:after="40"/>
              <w:ind w:left="198"/>
            </w:pPr>
            <w:r>
              <w:rPr>
                <w:rFonts w:ascii="Aptos" w:hAnsi="Aptos" w:eastAsia="Aptos"/>
                <w:b/>
                <w:color w:val="0B8A72"/>
                <w:sz w:val="18"/>
              </w:rPr>
              <w:t xml:space="preserve">4. </w:t>
            </w:r>
            <w:r>
              <w:rPr>
                <w:rFonts w:ascii="Aptos" w:hAnsi="Aptos" w:eastAsia="Aptos"/>
                <w:color w:val="52616A"/>
                <w:sz w:val="18"/>
              </w:rPr>
              <w:t>Choose Submit for human review; pause on the reference and Awaiting human review status.</w:t>
            </w:r>
          </w:p>
          <w:p>
            <w:pPr>
              <w:spacing w:after="40"/>
            </w:pPr>
            <w:r>
              <w:rPr>
                <w:rFonts w:ascii="Aptos" w:hAnsi="Aptos" w:eastAsia="Aptos"/>
                <w:b/>
                <w:color w:val="0B2B3C"/>
                <w:sz w:val="18"/>
              </w:rPr>
              <w:t>Voiceover</w:t>
            </w:r>
          </w:p>
          <w:p>
            <w:pPr>
              <w:spacing w:after="60"/>
            </w:pPr>
            <w:r>
              <w:rPr>
                <w:rFonts w:ascii="Aptos" w:hAnsi="Aptos" w:eastAsia="Aptos"/>
                <w:color w:val="52616A"/>
                <w:sz w:val="19"/>
              </w:rPr>
              <w:t>Describe the fictional business first, then the productive asset and why it is needed. In the final step, confirm each evidence placeholder and the safe-submission declaration. Select Submit for human review. The reference shows that the case has been routed to separate legal, compliance and independent Shariah review; submission is not approval.</w:t>
            </w:r>
          </w:p>
          <w:p>
            <w:pPr>
              <w:spacing w:after="40"/>
            </w:pPr>
            <w:r>
              <w:rPr>
                <w:rFonts w:ascii="Aptos" w:hAnsi="Aptos" w:eastAsia="Aptos"/>
                <w:b/>
                <w:color w:val="0B2B3C"/>
                <w:sz w:val="17"/>
              </w:rPr>
              <w:t xml:space="preserve">Caption: </w:t>
            </w:r>
            <w:r>
              <w:rPr>
                <w:rFonts w:ascii="Aptos" w:hAnsi="Aptos" w:eastAsia="Aptos"/>
                <w:color w:val="52616A"/>
                <w:sz w:val="17"/>
              </w:rPr>
              <w:t>Three guided steps • Versioned evidence • Submission is not approval</w:t>
            </w:r>
          </w:p>
          <w:p>
            <w:pPr>
              <w:spacing w:after="0"/>
            </w:pPr>
            <w:r>
              <w:rPr>
                <w:rFonts w:ascii="Aptos" w:hAnsi="Aptos" w:eastAsia="Aptos"/>
                <w:b/>
                <w:color w:val="0B2B3C"/>
                <w:sz w:val="17"/>
              </w:rPr>
              <w:t xml:space="preserve">Placement: </w:t>
            </w:r>
            <w:r>
              <w:rPr>
                <w:rFonts w:ascii="Aptos" w:hAnsi="Aptos" w:eastAsia="Aptos"/>
                <w:color w:val="52616A"/>
                <w:sz w:val="17"/>
              </w:rPr>
              <w:t>Application workspace header and the first panel of /applications/new.</w:t>
            </w:r>
          </w:p>
        </w:tc>
      </w:tr>
    </w:tbl>
    <w:p>
      <w:pPr>
        <w:spacing w:after="0" w:line="48" w:lineRule="auto"/>
      </w:pPr>
      <w:r>
        <w:rPr>
          <w:rFonts w:ascii="Aptos" w:hAnsi="Aptos" w:eastAsia="Aptos"/>
          <w:color w:val="FFFFFF"/>
          <w:sz w:val="4"/>
        </w:rPr>
        <w:t xml:space="preserve"> </w:t>
      </w:r>
    </w:p>
    <w:tbl>
      <w:tblPr>
        <w:tblW w:type="auto" w:w="0"/>
        <w:jc w:val="center"/>
        <w:tblLook w:firstColumn="1" w:firstRow="1" w:lastColumn="0" w:lastRow="0" w:noHBand="0" w:noVBand="1" w:val="04A0"/>
      </w:tblPr>
      <w:tblGrid>
        <w:gridCol w:w="10200"/>
      </w:tblGrid>
      <w:tr>
        <w:trPr>
          <w:cantSplit/>
        </w:trPr>
        <w:tc>
          <w:tcPr>
            <w:tcW w:type="dxa" w:w="10200"/>
            <w:shd w:fill="FFFFFF"/>
            <w:tcBorders>
              <w:top w:val="single" w:sz="8" w:space="0" w:color="C8D3D6"/>
              <w:left w:val="single" w:sz="8" w:space="0" w:color="C8D3D6"/>
              <w:bottom w:val="single" w:sz="8" w:space="0" w:color="C8D3D6"/>
              <w:right w:val="single" w:sz="8" w:space="0" w:color="C8D3D6"/>
            </w:tcBorders>
            <w:tcMar>
              <w:top w:w="95" w:type="dxa"/>
              <w:start w:w="150" w:type="dxa"/>
              <w:bottom w:w="95" w:type="dxa"/>
              <w:end w:w="150" w:type="dxa"/>
            </w:tcMar>
          </w:tcPr>
          <w:p>
            <w:pPr>
              <w:spacing w:after="60"/>
            </w:pPr>
            <w:r>
              <w:rPr>
                <w:rFonts w:ascii="Aptos" w:hAnsi="Aptos" w:eastAsia="Aptos"/>
                <w:b/>
                <w:color w:val="0B2B3C"/>
                <w:sz w:val="28"/>
              </w:rPr>
              <w:t>08  Getting guidance and reading status indicators</w:t>
            </w:r>
          </w:p>
          <w:p>
            <w:pPr>
              <w:spacing w:after="60"/>
            </w:pPr>
            <w:r>
              <w:rPr>
                <w:rFonts w:ascii="Aptos" w:hAnsi="Aptos" w:eastAsia="Aptos"/>
                <w:b/>
                <w:color w:val="0B8A72"/>
                <w:sz w:val="17"/>
              </w:rPr>
              <w:t>Role: All roles  •  Duration: 25–35 seconds  •  Status: PARTLY READY — help exists; notifications centre does not</w:t>
            </w:r>
          </w:p>
          <w:p>
            <w:pPr>
              <w:spacing w:after="60"/>
            </w:pPr>
            <w:r>
              <w:rPr>
                <w:rFonts w:ascii="Aptos" w:hAnsi="Aptos" w:eastAsia="Aptos"/>
                <w:b/>
                <w:color w:val="0B2B3C"/>
                <w:sz w:val="19"/>
              </w:rPr>
              <w:t xml:space="preserve">Learning objective: </w:t>
            </w:r>
            <w:r>
              <w:rPr>
                <w:rFonts w:ascii="Aptos" w:hAnsi="Aptos" w:eastAsia="Aptos"/>
                <w:color w:val="52616A"/>
                <w:sz w:val="19"/>
              </w:rPr>
              <w:t>Use current guidance and status cues without presenting an unbuilt notifications feature.</w:t>
            </w:r>
          </w:p>
          <w:p>
            <w:pPr>
              <w:spacing w:after="40"/>
            </w:pPr>
            <w:r>
              <w:rPr>
                <w:rFonts w:ascii="Aptos" w:hAnsi="Aptos" w:eastAsia="Aptos"/>
                <w:b/>
                <w:color w:val="0B2B3C"/>
                <w:sz w:val="18"/>
              </w:rPr>
              <w:t>Screen actions</w:t>
            </w:r>
          </w:p>
          <w:p>
            <w:pPr>
              <w:spacing w:after="40"/>
              <w:ind w:left="198"/>
            </w:pPr>
            <w:r>
              <w:rPr>
                <w:rFonts w:ascii="Aptos" w:hAnsi="Aptos" w:eastAsia="Aptos"/>
                <w:b/>
                <w:color w:val="0B8A72"/>
                <w:sz w:val="18"/>
              </w:rPr>
              <w:t xml:space="preserve">1. </w:t>
            </w:r>
            <w:r>
              <w:rPr>
                <w:rFonts w:ascii="Aptos" w:hAnsi="Aptos" w:eastAsia="Aptos"/>
                <w:color w:val="52616A"/>
                <w:sz w:val="18"/>
              </w:rPr>
              <w:t>Choose Learn from any workspace.</w:t>
            </w:r>
          </w:p>
          <w:p>
            <w:pPr>
              <w:spacing w:after="40"/>
              <w:ind w:left="198"/>
            </w:pPr>
            <w:r>
              <w:rPr>
                <w:rFonts w:ascii="Aptos" w:hAnsi="Aptos" w:eastAsia="Aptos"/>
                <w:b/>
                <w:color w:val="0B8A72"/>
                <w:sz w:val="18"/>
              </w:rPr>
              <w:t xml:space="preserve">2. </w:t>
            </w:r>
            <w:r>
              <w:rPr>
                <w:rFonts w:ascii="Aptos" w:hAnsi="Aptos" w:eastAsia="Aptos"/>
                <w:color w:val="52616A"/>
                <w:sz w:val="18"/>
              </w:rPr>
              <w:t>Select the relevant role guide and show its numbered procedure.</w:t>
            </w:r>
          </w:p>
          <w:p>
            <w:pPr>
              <w:spacing w:after="40"/>
              <w:ind w:left="198"/>
            </w:pPr>
            <w:r>
              <w:rPr>
                <w:rFonts w:ascii="Aptos" w:hAnsi="Aptos" w:eastAsia="Aptos"/>
                <w:b/>
                <w:color w:val="0B8A72"/>
                <w:sz w:val="18"/>
              </w:rPr>
              <w:t xml:space="preserve">3. </w:t>
            </w:r>
            <w:r>
              <w:rPr>
                <w:rFonts w:ascii="Aptos" w:hAnsi="Aptos" w:eastAsia="Aptos"/>
                <w:color w:val="52616A"/>
                <w:sz w:val="18"/>
              </w:rPr>
              <w:t>Return to a case and point to status chips, next-action text and audit references.</w:t>
            </w:r>
          </w:p>
          <w:p>
            <w:pPr>
              <w:spacing w:after="40"/>
              <w:ind w:left="198"/>
            </w:pPr>
            <w:r>
              <w:rPr>
                <w:rFonts w:ascii="Aptos" w:hAnsi="Aptos" w:eastAsia="Aptos"/>
                <w:b/>
                <w:color w:val="0B8A72"/>
                <w:sz w:val="18"/>
              </w:rPr>
              <w:t xml:space="preserve">4. </w:t>
            </w:r>
            <w:r>
              <w:rPr>
                <w:rFonts w:ascii="Aptos" w:hAnsi="Aptos" w:eastAsia="Aptos"/>
                <w:color w:val="52616A"/>
                <w:sz w:val="18"/>
              </w:rPr>
              <w:t>Do not show or mention an inbox, alerts panel or notification preference screen.</w:t>
            </w:r>
          </w:p>
          <w:p>
            <w:pPr>
              <w:spacing w:after="40"/>
            </w:pPr>
            <w:r>
              <w:rPr>
                <w:rFonts w:ascii="Aptos" w:hAnsi="Aptos" w:eastAsia="Aptos"/>
                <w:b/>
                <w:color w:val="0B2B3C"/>
                <w:sz w:val="18"/>
              </w:rPr>
              <w:t>Voiceover</w:t>
            </w:r>
          </w:p>
          <w:p>
            <w:pPr>
              <w:spacing w:after="60"/>
            </w:pPr>
            <w:r>
              <w:rPr>
                <w:rFonts w:ascii="Aptos" w:hAnsi="Aptos" w:eastAsia="Aptos"/>
                <w:color w:val="52616A"/>
                <w:sz w:val="19"/>
              </w:rPr>
              <w:t>Choose Learn for a short procedure tailored to your role. Each guide explains the actions, the responsible person and the result you should expect. In the workspaces, status chips, next-action text and audit references show what has happened and what comes next. A dedicated notification centre is not part of the current preview.</w:t>
            </w:r>
          </w:p>
          <w:p>
            <w:pPr>
              <w:spacing w:after="40"/>
            </w:pPr>
            <w:r>
              <w:rPr>
                <w:rFonts w:ascii="Aptos" w:hAnsi="Aptos" w:eastAsia="Aptos"/>
                <w:b/>
                <w:color w:val="0B2B3C"/>
                <w:sz w:val="17"/>
              </w:rPr>
              <w:t xml:space="preserve">Caption: </w:t>
            </w:r>
            <w:r>
              <w:rPr>
                <w:rFonts w:ascii="Aptos" w:hAnsi="Aptos" w:eastAsia="Aptos"/>
                <w:color w:val="52616A"/>
                <w:sz w:val="17"/>
              </w:rPr>
              <w:t>Role guides • Clear status • Observable next action</w:t>
            </w:r>
          </w:p>
          <w:p>
            <w:pPr>
              <w:spacing w:after="0"/>
            </w:pPr>
            <w:r>
              <w:rPr>
                <w:rFonts w:ascii="Aptos" w:hAnsi="Aptos" w:eastAsia="Aptos"/>
                <w:b/>
                <w:color w:val="0B2B3C"/>
                <w:sz w:val="17"/>
              </w:rPr>
              <w:t xml:space="preserve">Placement: </w:t>
            </w:r>
            <w:r>
              <w:rPr>
                <w:rFonts w:ascii="Aptos" w:hAnsi="Aptos" w:eastAsia="Aptos"/>
                <w:color w:val="52616A"/>
                <w:sz w:val="17"/>
              </w:rPr>
              <w:t>Learning centre, contextual ‘Need help?’ links and future notification centre after implementation.</w:t>
            </w:r>
          </w:p>
        </w:tc>
      </w:tr>
    </w:tbl>
    <w:p>
      <w:pPr>
        <w:spacing w:after="0" w:line="48" w:lineRule="auto"/>
      </w:pPr>
      <w:r>
        <w:rPr>
          <w:rFonts w:ascii="Aptos" w:hAnsi="Aptos" w:eastAsia="Aptos"/>
          <w:color w:val="FFFFFF"/>
          <w:sz w:val="4"/>
        </w:rPr>
        <w:t xml:space="preserve"> </w:t>
      </w:r>
    </w:p>
    <w:p>
      <w:r>
        <w:br w:type="page"/>
      </w:r>
    </w:p>
    <w:p>
      <w:pPr>
        <w:spacing w:before="280" w:after="60"/>
        <w:keepNext/>
      </w:pPr>
      <w:r>
        <w:rPr>
          <w:rFonts w:ascii="Aptos" w:hAnsi="Aptos" w:eastAsia="Aptos"/>
          <w:b/>
          <w:color w:val="0B8A72"/>
          <w:sz w:val="17"/>
        </w:rPr>
        <w:t>ADVANCED FOLLOW-ON SERIES</w:t>
      </w:r>
    </w:p>
    <w:p>
      <w:pPr>
        <w:pStyle w:val="Title"/>
        <w:spacing w:after="120"/>
      </w:pPr>
      <w:r>
        <w:rPr>
          <w:rFonts w:ascii="Aptos" w:hAnsi="Aptos" w:eastAsia="Aptos"/>
          <w:b/>
          <w:color w:val="0B2B3C"/>
          <w:sz w:val="50"/>
        </w:rPr>
        <w:t>The next tutorials after the first eight</w:t>
      </w:r>
    </w:p>
    <w:p>
      <w:pPr>
        <w:spacing w:after="160"/>
        <w:pBdr>
          <w:bottom w:val="single" w:sz="14" w:space="1" w:color="0B8A72"/>
        </w:pBdr>
        <w:keepNext/>
      </w:pPr>
    </w:p>
    <w:p>
      <w:r>
        <w:rPr>
          <w:rFonts w:ascii="Aptos" w:hAnsi="Aptos" w:eastAsia="Aptos"/>
          <w:color w:val="52616A"/>
          <w:sz w:val="20"/>
        </w:rPr>
        <w:t>The platform already contains advanced controlled workflows that deserve their own recordings. They should not be compressed into the general onboarding series.</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2268"/>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Video</w:t>
            </w:r>
          </w:p>
        </w:tc>
        <w:tc>
          <w:tcPr>
            <w:tcW w:type="dxa" w:w="2098"/>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Audience</w:t>
            </w:r>
          </w:p>
        </w:tc>
        <w:tc>
          <w:tcPr>
            <w:tcW w:type="dxa" w:w="1814"/>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Recommended length</w:t>
            </w:r>
          </w:p>
        </w:tc>
        <w:tc>
          <w:tcPr>
            <w:tcW w:type="dxa" w:w="3685"/>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Focus</w:t>
            </w:r>
          </w:p>
        </w:tc>
      </w:tr>
      <w:tr>
        <w:trPr>
          <w:cantSplit/>
        </w:trPr>
        <w:tc>
          <w:tcPr>
            <w:tcW w:type="dxa" w:w="226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Administering access and roles</w:t>
            </w:r>
          </w:p>
        </w:tc>
        <w:tc>
          <w:tcPr>
            <w:tcW w:type="dxa" w:w="209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Platform administrator</w:t>
            </w:r>
          </w:p>
        </w:tc>
        <w:tc>
          <w:tcPr>
            <w:tcW w:type="dxa" w:w="181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75–90 seconds</w:t>
            </w:r>
          </w:p>
        </w:tc>
        <w:tc>
          <w:tcPr>
            <w:tcW w:type="dxa" w:w="368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Approve, decline, suspend, reactivate and remove; show attributable audit history.</w:t>
            </w:r>
          </w:p>
        </w:tc>
      </w:tr>
      <w:tr>
        <w:trPr>
          <w:cantSplit/>
        </w:trPr>
        <w:tc>
          <w:tcPr>
            <w:tcW w:type="dxa" w:w="2268"/>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Running a maker-checker review</w:t>
            </w:r>
          </w:p>
        </w:tc>
        <w:tc>
          <w:tcPr>
            <w:tcW w:type="dxa" w:w="2098"/>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Operations and compliance</w:t>
            </w:r>
          </w:p>
        </w:tc>
        <w:tc>
          <w:tcPr>
            <w:tcW w:type="dxa" w:w="1814"/>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90 seconds</w:t>
            </w:r>
          </w:p>
        </w:tc>
        <w:tc>
          <w:tcPr>
            <w:tcW w:type="dxa" w:w="368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Separate preparation from independent approval and preserve version-bound evidence.</w:t>
            </w:r>
          </w:p>
        </w:tc>
      </w:tr>
      <w:tr>
        <w:trPr>
          <w:cantSplit/>
        </w:trPr>
        <w:tc>
          <w:tcPr>
            <w:tcW w:type="dxa" w:w="226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Monitoring Shariah conditions</w:t>
            </w:r>
          </w:p>
        </w:tc>
        <w:tc>
          <w:tcPr>
            <w:tcW w:type="dxa" w:w="209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Shariah adviser and compliance</w:t>
            </w:r>
          </w:p>
        </w:tc>
        <w:tc>
          <w:tcPr>
            <w:tcW w:type="dxa" w:w="181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90 seconds</w:t>
            </w:r>
          </w:p>
        </w:tc>
        <w:tc>
          <w:tcPr>
            <w:tcW w:type="dxa" w:w="368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Review evidence, conditions and material changes; retain accountable human judgement.</w:t>
            </w:r>
          </w:p>
        </w:tc>
      </w:tr>
      <w:tr>
        <w:trPr>
          <w:cantSplit/>
        </w:trPr>
        <w:tc>
          <w:tcPr>
            <w:tcW w:type="dxa" w:w="2268"/>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Completing controlled tokenisation</w:t>
            </w:r>
          </w:p>
        </w:tc>
        <w:tc>
          <w:tcPr>
            <w:tcW w:type="dxa" w:w="2098"/>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Ownership administrator</w:t>
            </w:r>
          </w:p>
        </w:tc>
        <w:tc>
          <w:tcPr>
            <w:tcW w:type="dxa" w:w="1814"/>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90–120 seconds</w:t>
            </w:r>
          </w:p>
        </w:tc>
        <w:tc>
          <w:tcPr>
            <w:tcW w:type="dxa" w:w="368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Pass issuance gates, obtain checker approval and reconcile fixed supply with the register.</w:t>
            </w:r>
          </w:p>
        </w:tc>
      </w:tr>
      <w:tr>
        <w:trPr>
          <w:cantSplit/>
        </w:trPr>
        <w:tc>
          <w:tcPr>
            <w:tcW w:type="dxa" w:w="226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Reconciling ownership records</w:t>
            </w:r>
          </w:p>
        </w:tc>
        <w:tc>
          <w:tcPr>
            <w:tcW w:type="dxa" w:w="2098"/>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Ownership administrator and reviewer</w:t>
            </w:r>
          </w:p>
        </w:tc>
        <w:tc>
          <w:tcPr>
            <w:tcW w:type="dxa" w:w="1814"/>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60–90 seconds</w:t>
            </w:r>
          </w:p>
        </w:tc>
        <w:tc>
          <w:tcPr>
            <w:tcW w:type="dxa" w:w="368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Search holder positions, inspect evidence and verify that digital records do not replace legal rights.</w:t>
            </w:r>
          </w:p>
        </w:tc>
      </w:tr>
    </w:tbl>
    <w:p>
      <w:pPr>
        <w:spacing w:after="0"/>
      </w:pPr>
    </w:p>
    <w:p>
      <w:r>
        <w:br w:type="page"/>
      </w:r>
    </w:p>
    <w:p>
      <w:pPr>
        <w:spacing w:before="280" w:after="60"/>
        <w:keepNext/>
      </w:pPr>
      <w:r>
        <w:rPr>
          <w:rFonts w:ascii="Aptos" w:hAnsi="Aptos" w:eastAsia="Aptos"/>
          <w:b/>
          <w:color w:val="0B8A72"/>
          <w:sz w:val="17"/>
        </w:rPr>
        <w:t>RECORDING CHECKLIST</w:t>
      </w:r>
    </w:p>
    <w:p>
      <w:pPr>
        <w:pStyle w:val="Title"/>
        <w:spacing w:after="120"/>
      </w:pPr>
      <w:r>
        <w:rPr>
          <w:rFonts w:ascii="Aptos" w:hAnsi="Aptos" w:eastAsia="Aptos"/>
          <w:b/>
          <w:color w:val="0B2B3C"/>
          <w:sz w:val="50"/>
        </w:rPr>
        <w:t>Phase 4 begins only after approval</w:t>
      </w:r>
    </w:p>
    <w:p>
      <w:pPr>
        <w:spacing w:after="160"/>
        <w:pBdr>
          <w:bottom w:val="single" w:sz="14" w:space="1" w:color="0B8A72"/>
        </w:pBdr>
        <w:keepNext/>
      </w:pP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3175"/>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Before capture</w:t>
            </w:r>
          </w:p>
        </w:tc>
        <w:tc>
          <w:tcPr>
            <w:tcW w:type="dxa" w:w="3175"/>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During capture</w:t>
            </w:r>
          </w:p>
        </w:tc>
        <w:tc>
          <w:tcPr>
            <w:tcW w:type="dxa" w:w="3175"/>
            <w:shd w:fill="0B2B3C"/>
            <w:tcMar>
              <w:top w:w="100" w:type="dxa"/>
              <w:start w:w="110" w:type="dxa"/>
              <w:bottom w:w="100" w:type="dxa"/>
              <w:end w:w="110" w:type="dxa"/>
            </w:tcMar>
            <w:tcBorders>
              <w:top w:val="single" w:sz="6" w:space="0" w:color="0B2B3C"/>
              <w:left w:val="single" w:sz="6" w:space="0" w:color="0B2B3C"/>
              <w:bottom w:val="single" w:sz="6" w:space="0" w:color="0B2B3C"/>
              <w:right w:val="single" w:sz="6" w:space="0" w:color="0B2B3C"/>
            </w:tcBorders>
          </w:tcPr>
          <w:p>
            <w:r>
              <w:rPr>
                <w:rFonts w:ascii="Aptos" w:hAnsi="Aptos" w:eastAsia="Aptos"/>
                <w:b/>
                <w:color w:val="FFFFFF"/>
                <w:sz w:val="16"/>
              </w:rPr>
              <w:t>Before release</w:t>
            </w:r>
          </w:p>
        </w:tc>
      </w:tr>
      <w:tr>
        <w:trPr>
          <w:cantSplit/>
        </w:trPr>
        <w:tc>
          <w:tcPr>
            <w:tcW w:type="dxa" w:w="317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Use the approved preview URL and reset it to fictional demo data.</w:t>
            </w:r>
          </w:p>
        </w:tc>
        <w:tc>
          <w:tcPr>
            <w:tcW w:type="dxa" w:w="317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Record at 1920×1080 with browser zoom at 100%.</w:t>
            </w:r>
          </w:p>
        </w:tc>
        <w:tc>
          <w:tcPr>
            <w:tcW w:type="dxa" w:w="317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Verify every narrated claim against the visible screen.</w:t>
            </w:r>
          </w:p>
        </w:tc>
      </w:tr>
      <w:tr>
        <w:trPr>
          <w:cantSplit/>
        </w:trPr>
        <w:tc>
          <w:tcPr>
            <w:tcW w:type="dxa" w:w="317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Hide bookmarks, extensions, account identifiers and unrelated tabs.</w:t>
            </w:r>
          </w:p>
        </w:tc>
        <w:tc>
          <w:tcPr>
            <w:tcW w:type="dxa" w:w="317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Use smooth deliberate cursor movement; one action per shot.</w:t>
            </w:r>
          </w:p>
        </w:tc>
        <w:tc>
          <w:tcPr>
            <w:tcW w:type="dxa" w:w="317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Check that no real name, email, token, URL secret or confidential record appears.</w:t>
            </w:r>
          </w:p>
        </w:tc>
      </w:tr>
      <w:tr>
        <w:trPr>
          <w:cantSplit/>
        </w:trPr>
        <w:tc>
          <w:tcPr>
            <w:tcW w:type="dxa" w:w="317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Confirm the deployed build matches this plan’s routes and labels.</w:t>
            </w:r>
          </w:p>
        </w:tc>
        <w:tc>
          <w:tcPr>
            <w:tcW w:type="dxa" w:w="317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Leave safety notices and status labels unobscured.</w:t>
            </w:r>
          </w:p>
        </w:tc>
        <w:tc>
          <w:tcPr>
            <w:tcW w:type="dxa" w:w="3175"/>
            <w:shd w:fill="FFFFFF"/>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Complete caption, sound, logo and contrast checks.</w:t>
            </w:r>
          </w:p>
        </w:tc>
      </w:tr>
      <w:tr>
        <w:trPr>
          <w:cantSplit/>
        </w:trPr>
        <w:tc>
          <w:tcPr>
            <w:tcW w:type="dxa" w:w="317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color w:val="0B2B3C"/>
                <w:sz w:val="17"/>
              </w:rPr>
              <w:t>Select the approved narrator and licensed music track.</w:t>
            </w:r>
          </w:p>
        </w:tc>
        <w:tc>
          <w:tcPr>
            <w:tcW w:type="dxa" w:w="317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Record clean source footage before adding zooms and highlights.</w:t>
            </w:r>
          </w:p>
        </w:tc>
        <w:tc>
          <w:tcPr>
            <w:tcW w:type="dxa" w:w="3175"/>
            <w:shd w:fill="F6F7F3"/>
            <w:tcMar>
              <w:top w:w="95" w:type="dxa"/>
              <w:start w:w="110" w:type="dxa"/>
              <w:bottom w:w="95" w:type="dxa"/>
              <w:end w:w="110" w:type="dxa"/>
            </w:tcMar>
            <w:tcBorders>
              <w:top w:val="single" w:sz="6" w:space="0" w:color="EDF0F1"/>
              <w:left w:val="single" w:sz="6" w:space="0" w:color="EDF0F1"/>
              <w:bottom w:val="single" w:sz="6" w:space="0" w:color="EDF0F1"/>
              <w:right w:val="single" w:sz="6" w:space="0" w:color="EDF0F1"/>
            </w:tcBorders>
            <w:vAlign w:val="top"/>
          </w:tcPr>
          <w:p>
            <w:r>
              <w:rPr>
                <w:rFonts w:ascii="Aptos" w:hAnsi="Aptos" w:eastAsia="Aptos"/>
                <w:b w:val="0"/>
                <w:color w:val="52616A"/>
                <w:sz w:val="17"/>
              </w:rPr>
              <w:t>Founder approves drafts before any website embedding or new deployment.</w:t>
            </w:r>
          </w:p>
        </w:tc>
      </w:tr>
    </w:tbl>
    <w:p>
      <w:pPr>
        <w:spacing w:after="0"/>
      </w:pPr>
    </w:p>
    <w:p>
      <w:pPr>
        <w:pStyle w:val="Heading2"/>
      </w:pPr>
      <w:r>
        <w:t>Founder approval requested</w:t>
      </w:r>
    </w:p>
    <w:tbl>
      <w:tblPr>
        <w:tblW w:type="auto" w:w="0"/>
        <w:jc w:val="left"/>
        <w:tblLayout w:type="fixed"/>
        <w:tblLook w:firstColumn="1" w:firstRow="1" w:lastColumn="0" w:lastRow="0" w:noHBand="0" w:noVBand="1" w:val="04A0"/>
      </w:tblPr>
      <w:tblGrid>
        <w:gridCol w:w="1814"/>
        <w:gridCol w:w="7937"/>
      </w:tblGrid>
      <w:tr>
        <w:tc>
          <w:tcPr>
            <w:tcW w:type="dxa" w:w="5100"/>
            <w:shd w:fill="E8F3F0"/>
            <w:tcMar>
              <w:top w:w="100" w:type="dxa"/>
              <w:start w:w="140" w:type="dxa"/>
              <w:bottom w:w="100" w:type="dxa"/>
              <w:end w:w="140" w:type="dxa"/>
            </w:tcMar>
            <w:tcBorders>
              <w:top w:val="single" w:sz="6" w:space="0" w:color="E8F3F0"/>
              <w:left w:val="single" w:sz="6" w:space="0" w:color="E8F3F0"/>
              <w:bottom w:val="single" w:sz="6" w:space="0" w:color="E8F3F0"/>
              <w:right w:val="single" w:sz="6" w:space="0" w:color="E8F3F0"/>
            </w:tcBorders>
            <w:vAlign w:val="center"/>
          </w:tcPr>
          <w:p>
            <w:r>
              <w:rPr>
                <w:rFonts w:ascii="Aptos" w:hAnsi="Aptos" w:eastAsia="Aptos"/>
                <w:b/>
                <w:color w:val="0B8A72"/>
                <w:sz w:val="16"/>
              </w:rPr>
              <w:t>APPROVE</w:t>
            </w:r>
          </w:p>
        </w:tc>
        <w:tc>
          <w:tcPr>
            <w:tcW w:type="dxa" w:w="5100"/>
            <w:shd w:fill="E8F3F0"/>
            <w:tcMar>
              <w:top w:w="100" w:type="dxa"/>
              <w:start w:w="140" w:type="dxa"/>
              <w:bottom w:w="100" w:type="dxa"/>
              <w:end w:w="140" w:type="dxa"/>
            </w:tcMar>
            <w:tcBorders>
              <w:top w:val="single" w:sz="6" w:space="0" w:color="E8F3F0"/>
              <w:left w:val="single" w:sz="6" w:space="0" w:color="E8F3F0"/>
              <w:bottom w:val="single" w:sz="6" w:space="0" w:color="E8F3F0"/>
              <w:right w:val="single" w:sz="6" w:space="0" w:color="E8F3F0"/>
            </w:tcBorders>
            <w:vAlign w:val="center"/>
          </w:tcPr>
          <w:p>
            <w:r>
              <w:rPr>
                <w:rFonts w:ascii="Aptos" w:hAnsi="Aptos" w:eastAsia="Aptos"/>
                <w:b/>
                <w:color w:val="0B2B3C"/>
                <w:sz w:val="18"/>
              </w:rPr>
              <w:t>The scripts, recording sequence, factual boundaries and recommended British-English narration direction.</w:t>
            </w:r>
          </w:p>
        </w:tc>
      </w:tr>
    </w:tbl>
    <w:p>
      <w:pPr>
        <w:spacing w:after="0"/>
      </w:pPr>
    </w:p>
    <w:tbl>
      <w:tblPr>
        <w:tblW w:type="auto" w:w="0"/>
        <w:jc w:val="left"/>
        <w:tblLayout w:type="fixed"/>
        <w:tblLook w:firstColumn="1" w:firstRow="1" w:lastColumn="0" w:lastRow="0" w:noHBand="0" w:noVBand="1" w:val="04A0"/>
      </w:tblPr>
      <w:tblGrid>
        <w:gridCol w:w="1814"/>
        <w:gridCol w:w="7937"/>
      </w:tblGrid>
      <w:tr>
        <w:tc>
          <w:tcPr>
            <w:tcW w:type="dxa" w:w="5100"/>
            <w:shd w:fill="F7EFD9"/>
            <w:tcMar>
              <w:top w:w="100" w:type="dxa"/>
              <w:start w:w="140" w:type="dxa"/>
              <w:bottom w:w="100" w:type="dxa"/>
              <w:end w:w="140" w:type="dxa"/>
            </w:tcMar>
            <w:tcBorders>
              <w:top w:val="single" w:sz="6" w:space="0" w:color="F7EFD9"/>
              <w:left w:val="single" w:sz="6" w:space="0" w:color="F7EFD9"/>
              <w:bottom w:val="single" w:sz="6" w:space="0" w:color="F7EFD9"/>
              <w:right w:val="single" w:sz="6" w:space="0" w:color="F7EFD9"/>
            </w:tcBorders>
            <w:vAlign w:val="center"/>
          </w:tcPr>
          <w:p>
            <w:r>
              <w:rPr>
                <w:rFonts w:ascii="Aptos" w:hAnsi="Aptos" w:eastAsia="Aptos"/>
                <w:b/>
                <w:color w:val="8A6721"/>
                <w:sz w:val="16"/>
              </w:rPr>
              <w:t>CONFIRM</w:t>
            </w:r>
          </w:p>
        </w:tc>
        <w:tc>
          <w:tcPr>
            <w:tcW w:type="dxa" w:w="5100"/>
            <w:shd w:fill="F7EFD9"/>
            <w:tcMar>
              <w:top w:w="100" w:type="dxa"/>
              <w:start w:w="140" w:type="dxa"/>
              <w:bottom w:w="100" w:type="dxa"/>
              <w:end w:w="140" w:type="dxa"/>
            </w:tcMar>
            <w:tcBorders>
              <w:top w:val="single" w:sz="6" w:space="0" w:color="F7EFD9"/>
              <w:left w:val="single" w:sz="6" w:space="0" w:color="F7EFD9"/>
              <w:bottom w:val="single" w:sz="6" w:space="0" w:color="F7EFD9"/>
              <w:right w:val="single" w:sz="6" w:space="0" w:color="F7EFD9"/>
            </w:tcBorders>
            <w:vAlign w:val="center"/>
          </w:tcPr>
          <w:p>
            <w:r>
              <w:rPr>
                <w:rFonts w:ascii="Aptos" w:hAnsi="Aptos" w:eastAsia="Aptos"/>
                <w:b/>
                <w:color w:val="0B2B3C"/>
                <w:sz w:val="18"/>
              </w:rPr>
              <w:t>Investor walkthrough first; separate SME and originator walkthroughs; current help/status video in place of an unbuilt notifications tutorial.</w:t>
            </w:r>
          </w:p>
        </w:tc>
      </w:tr>
    </w:tbl>
    <w:p>
      <w:pPr>
        <w:spacing w:after="0"/>
      </w:pPr>
    </w:p>
    <w:tbl>
      <w:tblPr>
        <w:tblW w:type="auto" w:w="0"/>
        <w:jc w:val="left"/>
        <w:tblLayout w:type="fixed"/>
        <w:tblLook w:firstColumn="1" w:firstRow="1" w:lastColumn="0" w:lastRow="0" w:noHBand="0" w:noVBand="1" w:val="04A0"/>
      </w:tblPr>
      <w:tblGrid>
        <w:gridCol w:w="1814"/>
        <w:gridCol w:w="7937"/>
      </w:tblGrid>
      <w:tr>
        <w:tc>
          <w:tcPr>
            <w:tcW w:type="dxa" w:w="5100"/>
            <w:shd w:fill="EDF0F1"/>
            <w:tcMar>
              <w:top w:w="100" w:type="dxa"/>
              <w:start w:w="140" w:type="dxa"/>
              <w:bottom w:w="100" w:type="dxa"/>
              <w:end w:w="140" w:type="dxa"/>
            </w:tcMar>
            <w:tcBorders>
              <w:top w:val="single" w:sz="6" w:space="0" w:color="EDF0F1"/>
              <w:left w:val="single" w:sz="6" w:space="0" w:color="EDF0F1"/>
              <w:bottom w:val="single" w:sz="6" w:space="0" w:color="EDF0F1"/>
              <w:right w:val="single" w:sz="6" w:space="0" w:color="EDF0F1"/>
            </w:tcBorders>
            <w:vAlign w:val="center"/>
          </w:tcPr>
          <w:p>
            <w:r>
              <w:rPr>
                <w:rFonts w:ascii="Aptos" w:hAnsi="Aptos" w:eastAsia="Aptos"/>
                <w:b/>
                <w:color w:val="52616A"/>
                <w:sz w:val="16"/>
              </w:rPr>
              <w:t>THEN</w:t>
            </w:r>
          </w:p>
        </w:tc>
        <w:tc>
          <w:tcPr>
            <w:tcW w:type="dxa" w:w="5100"/>
            <w:shd w:fill="EDF0F1"/>
            <w:tcMar>
              <w:top w:w="100" w:type="dxa"/>
              <w:start w:w="140" w:type="dxa"/>
              <w:bottom w:w="100" w:type="dxa"/>
              <w:end w:w="140" w:type="dxa"/>
            </w:tcMar>
            <w:tcBorders>
              <w:top w:val="single" w:sz="6" w:space="0" w:color="EDF0F1"/>
              <w:left w:val="single" w:sz="6" w:space="0" w:color="EDF0F1"/>
              <w:bottom w:val="single" w:sz="6" w:space="0" w:color="EDF0F1"/>
              <w:right w:val="single" w:sz="6" w:space="0" w:color="EDF0F1"/>
            </w:tcBorders>
            <w:vAlign w:val="center"/>
          </w:tcPr>
          <w:p>
            <w:r>
              <w:rPr>
                <w:rFonts w:ascii="Aptos" w:hAnsi="Aptos" w:eastAsia="Aptos"/>
                <w:b/>
                <w:color w:val="0B2B3C"/>
                <w:sz w:val="18"/>
              </w:rPr>
              <w:t>Phase 4 produces watermarked draft videos for review. No website integration or deployment occurs until a later explicit approval.</w:t>
            </w:r>
          </w:p>
        </w:tc>
      </w:tr>
    </w:tbl>
    <w:p>
      <w:pPr>
        <w:spacing w:after="0"/>
      </w:pPr>
    </w:p>
    <w:p>
      <w:pPr>
        <w:pStyle w:val="Heading2"/>
      </w:pPr>
      <w:r>
        <w:t>Source basis</w:t>
      </w:r>
    </w:p>
    <w:p>
      <w:pPr>
        <w:pStyle w:val="ListBullet"/>
      </w:pPr>
      <w:r>
        <w:rPr>
          <w:rFonts w:ascii="Aptos" w:hAnsi="Aptos" w:eastAsia="Aptos"/>
          <w:color w:val="52616A"/>
          <w:sz w:val="19"/>
        </w:rPr>
        <w:t>Mizant MVP Product Specification v1 — authoritative product and technical baseline.</w:t>
      </w:r>
    </w:p>
    <w:p>
      <w:pPr>
        <w:pStyle w:val="ListBullet"/>
      </w:pPr>
      <w:r>
        <w:rPr>
          <w:rFonts w:ascii="Aptos" w:hAnsi="Aptos" w:eastAsia="Aptos"/>
          <w:color w:val="52616A"/>
          <w:sz w:val="19"/>
        </w:rPr>
        <w:t>Colour System — Mizant — brand palette and visual-use principles.</w:t>
      </w:r>
    </w:p>
    <w:p>
      <w:pPr>
        <w:pStyle w:val="ListBullet"/>
      </w:pPr>
      <w:r>
        <w:rPr>
          <w:rFonts w:ascii="Aptos" w:hAnsi="Aptos" w:eastAsia="Aptos"/>
          <w:color w:val="52616A"/>
          <w:sz w:val="19"/>
        </w:rPr>
        <w:t>Mizant Purpose, Vision, Mission and Principles — approved identity, promise and operating principles.</w:t>
      </w:r>
    </w:p>
    <w:p>
      <w:pPr>
        <w:pStyle w:val="ListBullet"/>
      </w:pPr>
      <w:r>
        <w:rPr>
          <w:rFonts w:ascii="Aptos" w:hAnsi="Aptos" w:eastAsia="Aptos"/>
          <w:color w:val="52616A"/>
          <w:sz w:val="19"/>
        </w:rPr>
        <w:t>Pitch Deck — Mizant — approved positioning, reference Ijarah flow, governance language and cautionary boundaries.</w:t>
      </w:r>
    </w:p>
    <w:p>
      <w:pPr>
        <w:pStyle w:val="ListBullet"/>
      </w:pPr>
      <w:r>
        <w:rPr>
          <w:rFonts w:ascii="Aptos" w:hAnsi="Aptos" w:eastAsia="Aptos"/>
          <w:color w:val="52616A"/>
          <w:sz w:val="19"/>
        </w:rPr>
        <w:t>Current Mizant preview and repository routes reviewed on 18 August 2026.</w:t>
      </w:r>
    </w:p>
    <w:p>
      <w:r>
        <w:rPr>
          <w:rFonts w:ascii="Aptos" w:hAnsi="Aptos" w:eastAsia="Aptos"/>
          <w:color w:val="52616A"/>
          <w:sz w:val="20"/>
        </w:rPr>
        <w:t>This document is a production plan, not financial promotion, investment advice, legal advice or a Shariah ruling.</w:t>
      </w:r>
    </w:p>
    <w:sectPr w:rsidR="00FC693F" w:rsidRPr="0006063C" w:rsidSect="00034616">
      <w:headerReference w:type="default" r:id="rId9"/>
      <w:footerReference w:type="default" r:id="rId10"/>
      <w:pgSz w:w="12240" w:h="15840"/>
      <w:pgMar w:top="1276" w:right="1020" w:bottom="850" w:left="1020" w:header="59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6A"/>
        <w:sz w:val="16"/>
      </w:rPr>
      <w:t xml:space="preserve">MIZANT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40"/>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52616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eastAsia="Aptos Display"/>
      <w:b/>
      <w:bCs/>
      <w:color w:val="0B2B3C"/>
      <w:sz w:val="3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eastAsia="Aptos Display"/>
      <w:b/>
      <w:bCs/>
      <w:color w:val="0B2B3C"/>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eastAsia="Aptos"/>
      <w:b/>
      <w:bCs/>
      <w:color w:val="0B8A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100"/>
      <w:contextualSpacing/>
    </w:pPr>
    <w:rPr>
      <w:rFonts w:asciiTheme="majorHAnsi" w:eastAsiaTheme="majorEastAsia" w:hAnsiTheme="majorHAnsi" w:cstheme="majorBidi" w:ascii="Aptos Display" w:hAnsi="Aptos Display" w:eastAsia="Aptos Display"/>
      <w:b/>
      <w:color w:val="0B2B3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zantCaption">
    <w:name w:val="Mizant Caption"/>
    <w:rPr>
      <w:rFonts w:ascii="Aptos" w:hAnsi="Aptos"/>
      <w:i/>
      <w:color w:val="5261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Mizant Video Suite — Scripts, Storyboards and Recording Plan</dc:title>
  <dc:subject>Founder approval pack for Mizant video production</dc:subject>
  <dc:creator>Mizant</dc:creator>
  <cp:keywords>Mizant, video suite, storyboard, onboarding, platform walkthrough</cp:keywords>
  <dc:description>generated by python-docx</dc:description>
  <cp:lastModifiedBy/>
  <cp:revision>1</cp:revision>
  <dcterms:created xsi:type="dcterms:W3CDTF">2013-12-23T23:15:00Z</dcterms:created>
  <dcterms:modified xsi:type="dcterms:W3CDTF">2013-12-23T23:15:00Z</dcterms:modified>
  <cp:category/>
</cp:coreProperties>
</file>