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jc w:val="center"/>
      </w:pPr>
      <w:r>
        <w:rPr>
          <w:rFonts w:ascii="Times New Roman" w:cs="Times New Roman" w:eastAsia="Times New Roman" w:hAnsi="Times New Roman"/>
          <w:b/>
          <w:bCs/>
          <w:sz w:val="30"/>
          <w:szCs w:val="30"/>
        </w:rPr>
        <w:t xml:space="preserve">Voice Recognition for Robot Control Using</w:t>
      </w:r>
    </w:p>
    <w:p>
      <w:pPr>
        <w:spacing w:after="100"/>
        <w:jc w:val="center"/>
      </w:pPr>
      <w:r>
        <w:rPr>
          <w:rFonts w:ascii="Times New Roman" w:cs="Times New Roman" w:eastAsia="Times New Roman" w:hAnsi="Times New Roman"/>
          <w:b/>
          <w:bCs/>
          <w:sz w:val="30"/>
          <w:szCs w:val="30"/>
        </w:rPr>
        <w:t xml:space="preserve">Faster-Whisper ASR in a ROS 2 Pipeline</w:t>
      </w:r>
    </w:p>
    <w:p>
      <w:pPr>
        <w:spacing w:after="60"/>
        <w:jc w:val="center"/>
      </w:pPr>
      <w:r>
        <w:rPr>
          <w:rFonts w:ascii="Times New Roman" w:cs="Times New Roman" w:eastAsia="Times New Roman" w:hAnsi="Times New Roman"/>
          <w:i/>
          <w:iCs/>
          <w:sz w:val="22"/>
          <w:szCs w:val="22"/>
        </w:rPr>
        <w:t xml:space="preserve">Khushal Singh, Raka Sarkar, Taibaz Pathan</w:t>
      </w:r>
    </w:p>
    <w:p>
      <w:pPr>
        <w:spacing w:after="60"/>
        <w:jc w:val="center"/>
      </w:pPr>
      <w:r>
        <w:rPr>
          <w:rFonts w:ascii="Times New Roman" w:cs="Times New Roman" w:eastAsia="Times New Roman" w:hAnsi="Times New Roman"/>
          <w:sz w:val="18"/>
          <w:szCs w:val="18"/>
        </w:rPr>
        <w:t xml:space="preserve">Department of Computer Science and Engineering</w:t>
      </w:r>
    </w:p>
    <w:p>
      <w:pPr>
        <w:spacing w:after="60"/>
        <w:jc w:val="center"/>
      </w:pPr>
      <w:r>
        <w:rPr>
          <w:rFonts w:ascii="Times New Roman" w:cs="Times New Roman" w:eastAsia="Times New Roman" w:hAnsi="Times New Roman"/>
          <w:sz w:val="18"/>
          <w:szCs w:val="18"/>
        </w:rPr>
        <w:t xml:space="preserve">Frankfurt University of Applied Sciences (Frankfurt UAS), Frankfurt am Main, Germany</w:t>
      </w:r>
    </w:p>
    <w:p>
      <w:pPr>
        <w:spacing w:after="200"/>
        <w:jc w:val="center"/>
      </w:pPr>
      <w:r>
        <w:rPr>
          <w:rFonts w:ascii="Times New Roman" w:cs="Times New Roman" w:eastAsia="Times New Roman" w:hAnsi="Times New Roman"/>
          <w:color w:val="2E75B6"/>
          <w:sz w:val="17"/>
          <w:szCs w:val="17"/>
        </w:rPr>
        <w:t xml:space="preserve">khushal.singh@stud.fra-uas.de  |  raka.sarkar@stud.fra-uas.de  |  taibaz.pathan@stud.fra-uas.de</w:t>
      </w:r>
    </w:p>
    <w:p>
      <w:pPr>
        <w:pBdr>
          <w:bottom w:val="single" w:color="000000" w:sz="6"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40"/>
              <w:left w:type="dxa" w:w="240"/>
              <w:bottom w:type="dxa" w:w="140"/>
              <w:right w:type="dxa" w:w="240"/>
            </w:tcMar>
          </w:tcPr>
          <w:p>
            <w:pPr>
              <w:spacing w:after="80"/>
            </w:pPr>
            <w:r>
              <w:rPr>
                <w:rFonts w:ascii="Times New Roman" w:cs="Times New Roman" w:eastAsia="Times New Roman" w:hAnsi="Times New Roman"/>
                <w:b/>
                <w:bCs/>
                <w:sz w:val="19"/>
                <w:szCs w:val="19"/>
              </w:rPr>
              <w:t xml:space="preserve">Abstract </w:t>
            </w:r>
            <w:r>
              <w:rPr>
                <w:rFonts w:ascii="Times New Roman" w:cs="Times New Roman" w:eastAsia="Times New Roman" w:hAnsi="Times New Roman"/>
                <w:sz w:val="19"/>
                <w:szCs w:val="19"/>
              </w:rPr>
              <w:t xml:space="preserve">This paper presents the AIS VRC-4 voice-controlled robot system at Frankfurt UAS. The pipeline uses faster-whisper (Whisper base, CPU int8), rapidfuzz intent classification, a three-state safety state machine with YES/NO confirmation, and a ROS 2 Humble node graph driving ROSWITHA in Gazebo. Pre-recorded 16 kHz WAV files eliminate cloud dependencies. Evaluated at SNR 20/10/0 dB, the ASR module achieved 86.7% accuracy exceeding the 85% target, with all latencies below 2.2 s. Confidence gating converts low-SNR failures to safe rejections.</w:t>
            </w:r>
          </w:p>
        </w:tc>
      </w:tr>
    </w:tbl>
    <w:p>
      <w:pPr>
        <w:spacing w:after="100"/>
      </w:pPr>
    </w:p>
    <w:p>
      <w:pPr>
        <w:spacing w:after="120" w:line="276"/>
        <w:jc w:val="both"/>
      </w:pPr>
      <w:r>
        <w:rPr>
          <w:rFonts w:ascii="Times New Roman" w:cs="Times New Roman" w:eastAsia="Times New Roman" w:hAnsi="Times New Roman"/>
          <w:b/>
          <w:bCs/>
          <w:sz w:val="19"/>
          <w:szCs w:val="19"/>
        </w:rPr>
        <w:t xml:space="preserve">Keywords — </w:t>
      </w:r>
      <w:r>
        <w:rPr>
          <w:rFonts w:ascii="Times New Roman" w:cs="Times New Roman" w:eastAsia="Times New Roman" w:hAnsi="Times New Roman"/>
          <w:i/>
          <w:iCs/>
          <w:sz w:val="19"/>
          <w:szCs w:val="19"/>
        </w:rPr>
        <w:t xml:space="preserve">voice recognition, automatic speech recognition, ROS 2, Gazebo, faster-whisper, noise robustness, safety state machine, intent classification, SNR, robot control.</w:t>
      </w:r>
    </w:p>
    <w:p>
      <w:pPr>
        <w:pBdr>
          <w:bottom w:val="single" w:color="000000" w:sz="6" w:space="4"/>
        </w:pBdr>
        <w:spacing w:after="160"/>
      </w:pPr>
    </w:p>
    <w:p>
      <w:pPr>
        <w:spacing w:before="280" w:after="100"/>
        <w:jc w:val="center"/>
      </w:pPr>
      <w:r>
        <w:rPr>
          <w:rFonts w:ascii="Times New Roman" w:cs="Times New Roman" w:eastAsia="Times New Roman" w:hAnsi="Times New Roman"/>
          <w:b/>
          <w:bCs/>
          <w:sz w:val="20"/>
          <w:szCs w:val="20"/>
        </w:rPr>
        <w:t xml:space="preserve">I. INTRODUCTION</w:t>
      </w:r>
    </w:p>
    <w:p>
      <w:pPr>
        <w:spacing w:after="120" w:line="276"/>
        <w:jc w:val="both"/>
      </w:pPr>
      <w:r>
        <w:rPr>
          <w:rFonts w:ascii="Times New Roman" w:cs="Times New Roman" w:eastAsia="Times New Roman" w:hAnsi="Times New Roman"/>
          <w:sz w:val="20"/>
          <w:szCs w:val="20"/>
        </w:rPr>
        <w:t xml:space="preserve">Voice interfaces represent a natural and intuitive modality for human-robot interaction, particularly in scenarios where manual input devices are impractical, unavailable, or hazardous. Industrial inspection, search and rescue operations, and assistive robotics for people with mobility impairments are prime examples where hands-free command of mobile platforms is not merely convenient but essential [1].</w:t>
      </w:r>
    </w:p>
    <w:p>
      <w:pPr>
        <w:spacing w:after="120" w:line="276"/>
        <w:jc w:val="both"/>
      </w:pPr>
      <w:r>
        <w:rPr>
          <w:rFonts w:ascii="Times New Roman" w:cs="Times New Roman" w:eastAsia="Times New Roman" w:hAnsi="Times New Roman"/>
          <w:sz w:val="20"/>
          <w:szCs w:val="20"/>
        </w:rPr>
        <w:t xml:space="preserve">Despite growing interest, practical deployment of voice-controlled robots remains challenging. Existing solutions frequently depend on cloud-based ASR APIs, introducing latency, privacy risks, and availability constraints. Others require dedicated GPU hardware or fail to generalise across diverse speakers and acoustic environments. In simulation research contexts — where repeatability and determinism are critical — real-time microphone input introduces unnecessary variability.</w:t>
      </w:r>
    </w:p>
    <w:p>
      <w:pPr>
        <w:spacing w:after="120" w:line="276"/>
        <w:jc w:val="both"/>
      </w:pPr>
      <w:r>
        <w:rPr>
          <w:rFonts w:ascii="Times New Roman" w:cs="Times New Roman" w:eastAsia="Times New Roman" w:hAnsi="Times New Roman"/>
          <w:sz w:val="20"/>
          <w:szCs w:val="20"/>
        </w:rPr>
        <w:t xml:space="preserve">The AIS VRC-4 project at Frankfurt UAS addresses these challenges by designing a fully offline, CPU-resident voice recognition pipeline integrated with the Robot Operating System 2 (ROS 2) framework. The system controls ROSWITHA, a simulated differential-drive robot in Gazebo, using pre-recorded WAV audio injection for deterministic, repeatable evaluation.</w:t>
      </w:r>
    </w:p>
    <w:p>
      <w:pPr>
        <w:spacing w:after="120" w:line="276"/>
        <w:jc w:val="both"/>
      </w:pPr>
      <w:r>
        <w:rPr>
          <w:rFonts w:ascii="Times New Roman" w:cs="Times New Roman" w:eastAsia="Times New Roman" w:hAnsi="Times New Roman"/>
          <w:sz w:val="20"/>
          <w:szCs w:val="20"/>
        </w:rPr>
        <w:t xml:space="preserve">The primary research questions are:</w:t>
      </w:r>
    </w:p>
    <w:p>
      <w:pPr>
        <w:pStyle w:val="ListParagraph"/>
        <w:numPr>
          <w:ilvl w:val="0"/>
          <w:numId w:val="2"/>
        </w:numPr>
        <w:spacing w:after="80"/>
      </w:pPr>
      <w:r>
        <w:rPr>
          <w:rFonts w:ascii="Times New Roman" w:cs="Times New Roman" w:eastAsia="Times New Roman" w:hAnsi="Times New Roman"/>
          <w:sz w:val="20"/>
          <w:szCs w:val="20"/>
        </w:rPr>
        <w:t xml:space="preserve">Can a lightweight, quantised Whisper transformer model achieve the required &gt;85% recognition accuracy without GPU acceleration on commodity hardware?</w:t>
      </w:r>
    </w:p>
    <w:p>
      <w:pPr>
        <w:pStyle w:val="ListParagraph"/>
        <w:numPr>
          <w:ilvl w:val="0"/>
          <w:numId w:val="2"/>
        </w:numPr>
        <w:spacing w:after="80"/>
      </w:pPr>
      <w:r>
        <w:rPr>
          <w:rFonts w:ascii="Times New Roman" w:cs="Times New Roman" w:eastAsia="Times New Roman" w:hAnsi="Times New Roman"/>
          <w:sz w:val="20"/>
          <w:szCs w:val="20"/>
        </w:rPr>
        <w:t xml:space="preserve">Is end-to-end voice-to-motion latency below 5 seconds achievable in a ROS 2 pipeline on CPU-only systems?</w:t>
      </w:r>
    </w:p>
    <w:p>
      <w:pPr>
        <w:pStyle w:val="ListParagraph"/>
        <w:numPr>
          <w:ilvl w:val="0"/>
          <w:numId w:val="2"/>
        </w:numPr>
        <w:spacing w:after="80"/>
      </w:pPr>
      <w:r>
        <w:rPr>
          <w:rFonts w:ascii="Times New Roman" w:cs="Times New Roman" w:eastAsia="Times New Roman" w:hAnsi="Times New Roman"/>
          <w:sz w:val="20"/>
          <w:szCs w:val="20"/>
        </w:rPr>
        <w:t xml:space="preserve">Does a confidence-gated, confirmation-based state machine provide a sufficient safety layer to prevent false robot motion commands in noisy acoustic environments?</w:t>
      </w:r>
    </w:p>
    <w:p>
      <w:pPr>
        <w:spacing w:after="80"/>
      </w:pPr>
    </w:p>
    <w:p>
      <w:pPr>
        <w:spacing w:after="120" w:line="276"/>
        <w:jc w:val="both"/>
      </w:pPr>
      <w:r>
        <w:rPr>
          <w:rFonts w:ascii="Times New Roman" w:cs="Times New Roman" w:eastAsia="Times New Roman" w:hAnsi="Times New Roman"/>
          <w:sz w:val="20"/>
          <w:szCs w:val="20"/>
        </w:rPr>
        <w:t xml:space="preserve">The project follows a practical-oriented research methodology divided across three independently developed modules: ASR &amp; Preprocessing (Khushal Singh), Intent Classification &amp; Safety State Machine (Taibaz Pathan), and ROS 2 / Gazebo Integration (Raka Sarkar). This modular design enables parallel development with well-defined JSON interfaces between modules.</w:t>
      </w:r>
    </w:p>
    <w:p>
      <w:pPr>
        <w:spacing w:before="280" w:after="100"/>
        <w:jc w:val="center"/>
      </w:pPr>
      <w:r>
        <w:rPr>
          <w:rFonts w:ascii="Times New Roman" w:cs="Times New Roman" w:eastAsia="Times New Roman" w:hAnsi="Times New Roman"/>
          <w:b/>
          <w:bCs/>
          <w:sz w:val="20"/>
          <w:szCs w:val="20"/>
        </w:rPr>
        <w:t xml:space="preserve">II. RELATED WORK AND STATE OF THE ART</w:t>
      </w:r>
    </w:p>
    <w:p>
      <w:pPr>
        <w:spacing w:after="120" w:line="276"/>
        <w:jc w:val="both"/>
      </w:pPr>
      <w:r>
        <w:rPr>
          <w:rFonts w:ascii="Times New Roman" w:cs="Times New Roman" w:eastAsia="Times New Roman" w:hAnsi="Times New Roman"/>
          <w:sz w:val="20"/>
          <w:szCs w:val="20"/>
        </w:rPr>
        <w:t xml:space="preserve">Automatic Speech Recognition (ASR) has undergone a fundamental transformation in the past decade. Early robot voice control systems relied on Hidden Markov Model (HMM) based engines such as CMU Sphinx [2] and Julius [3]. While computationally efficient, these systems exhibited poor generalisation across speakers and noise conditions, requiring extensive per-deployment acoustic model retraining.</w:t>
      </w:r>
    </w:p>
    <w:p>
      <w:pPr>
        <w:spacing w:after="120" w:line="276"/>
        <w:jc w:val="both"/>
      </w:pPr>
      <w:r>
        <w:rPr>
          <w:rFonts w:ascii="Times New Roman" w:cs="Times New Roman" w:eastAsia="Times New Roman" w:hAnsi="Times New Roman"/>
          <w:sz w:val="20"/>
          <w:szCs w:val="20"/>
        </w:rPr>
        <w:t xml:space="preserve">The introduction of deep learning ASR architectures — initially recurrent (RNN/LSTM-based CTC models) and later attention-based encoder-decoders — dramatically improved recognition accuracy. The landmark development in this space is OpenAI's Whisper [1], a large-scale transformer model trained on 680,000 hours of multilingual web audio, demonstrating robust zero-shot generalisation across accents, speaking styles, and noise conditions without fine-tuning.</w:t>
      </w:r>
    </w:p>
    <w:p>
      <w:pPr>
        <w:spacing w:before="180" w:after="80"/>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i/>
          <w:iCs/>
          <w:sz w:val="20"/>
          <w:szCs w:val="20"/>
        </w:rPr>
        <w:t xml:space="preserve">Faster-Whisper and Quantised Inference</w:t>
      </w:r>
    </w:p>
    <w:p>
      <w:pPr>
        <w:spacing w:after="120" w:line="276"/>
        <w:jc w:val="both"/>
      </w:pPr>
      <w:r>
        <w:rPr>
          <w:rFonts w:ascii="Times New Roman" w:cs="Times New Roman" w:eastAsia="Times New Roman" w:hAnsi="Times New Roman"/>
          <w:sz w:val="20"/>
          <w:szCs w:val="20"/>
        </w:rPr>
        <w:t xml:space="preserve">Faster-whisper [4] is a reimplementation of Whisper using CTranslate2, a highly optimised inference engine supporting int8 and float16 quantisation. On CPU hardware, faster-whisper achieves up to 4× lower latency and 50% reduced memory consumption compared to the original PyTorch Whisper implementation, making it viable for embedded and resource-constrained robotics platforms without dedicated GPU hardware.</w:t>
      </w:r>
    </w:p>
    <w:p>
      <w:pPr>
        <w:spacing w:before="180" w:after="80"/>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i/>
          <w:iCs/>
          <w:sz w:val="20"/>
          <w:szCs w:val="20"/>
        </w:rPr>
        <w:t xml:space="preserve">ROS 2 for Robot Perception Pipelines</w:t>
      </w:r>
    </w:p>
    <w:p>
      <w:pPr>
        <w:spacing w:after="120" w:line="276"/>
        <w:jc w:val="both"/>
      </w:pPr>
      <w:r>
        <w:rPr>
          <w:rFonts w:ascii="Times New Roman" w:cs="Times New Roman" w:eastAsia="Times New Roman" w:hAnsi="Times New Roman"/>
          <w:sz w:val="20"/>
          <w:szCs w:val="20"/>
        </w:rPr>
        <w:t xml:space="preserve">The Robot Operating System 2 (ROS 2 Humble Hawksbill) [5] provides a production-grade middleware built on Data Distribution Service (DDS), supporting real-time publish-subscribe communication. Its modular node architecture is well-suited for voice-command pipelines where ASR, intent classification, state management, and motor control must operate as loosely coupled, independently testable components.</w:t>
      </w:r>
    </w:p>
    <w:p>
      <w:pPr>
        <w:spacing w:before="180" w:after="80"/>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i/>
          <w:iCs/>
          <w:sz w:val="20"/>
          <w:szCs w:val="20"/>
        </w:rPr>
        <w:t xml:space="preserve">Noise Robustness and Audio Augmentation</w:t>
      </w:r>
    </w:p>
    <w:p>
      <w:pPr>
        <w:spacing w:after="120" w:line="276"/>
        <w:jc w:val="both"/>
      </w:pPr>
      <w:r>
        <w:rPr>
          <w:rFonts w:ascii="Times New Roman" w:cs="Times New Roman" w:eastAsia="Times New Roman" w:hAnsi="Times New Roman"/>
          <w:sz w:val="20"/>
          <w:szCs w:val="20"/>
        </w:rPr>
        <w:t xml:space="preserve">Noise robustness is a critical challenge in deployed ASR systems. Ko et al. [6] demonstrated that mixing clean training speech with environmental noise at controlled SNR levels significantly improves model robustness. The SNR metric (dB) quantifies the ratio of speech power to noise power: SNR = 10 × log10(P_speech / P_noise). At SNR 0 dB, noise and speech carry equal power, representing severe acoustic degradation. The accuracy cliff commonly observed below SNR 5 dB in literature is consistent with results obtained in this work.</w:t>
      </w:r>
    </w:p>
    <w:p>
      <w:pPr>
        <w:spacing w:before="180" w:after="80"/>
      </w:pPr>
      <w:r>
        <w:rPr>
          <w:rFonts w:ascii="Times New Roman" w:cs="Times New Roman" w:eastAsia="Times New Roman" w:hAnsi="Times New Roman"/>
          <w:b/>
          <w:bCs/>
          <w:sz w:val="20"/>
          <w:szCs w:val="20"/>
        </w:rPr>
        <w:t xml:space="preserve">D. </w:t>
      </w:r>
      <w:r>
        <w:rPr>
          <w:rFonts w:ascii="Times New Roman" w:cs="Times New Roman" w:eastAsia="Times New Roman" w:hAnsi="Times New Roman"/>
          <w:b/>
          <w:bCs/>
          <w:i/>
          <w:iCs/>
          <w:sz w:val="20"/>
          <w:szCs w:val="20"/>
        </w:rPr>
        <w:t xml:space="preserve">Safety in Voice-Controlled Systems</w:t>
      </w:r>
    </w:p>
    <w:p>
      <w:pPr>
        <w:spacing w:after="120" w:line="276"/>
        <w:jc w:val="both"/>
      </w:pPr>
      <w:r>
        <w:rPr>
          <w:rFonts w:ascii="Times New Roman" w:cs="Times New Roman" w:eastAsia="Times New Roman" w:hAnsi="Times New Roman"/>
          <w:sz w:val="20"/>
          <w:szCs w:val="20"/>
        </w:rPr>
        <w:t xml:space="preserve">Prior work on voice-commanded robots has highlighted the risk of false activations — unintended robot motions triggered by background speech, noise artifacts, or low-confidence transcriptions [7]. The approach taken in this work — mandatory YES/NO confirmation with confidence thresholding and an emergency stop bypass — draws from established human-robot safety protocols and extends them with quantitative confidence gating.</w:t>
      </w:r>
    </w:p>
    <w:p>
      <w:pPr>
        <w:spacing w:before="280" w:after="100"/>
        <w:jc w:val="center"/>
      </w:pPr>
      <w:r>
        <w:rPr>
          <w:rFonts w:ascii="Times New Roman" w:cs="Times New Roman" w:eastAsia="Times New Roman" w:hAnsi="Times New Roman"/>
          <w:b/>
          <w:bCs/>
          <w:sz w:val="20"/>
          <w:szCs w:val="20"/>
        </w:rPr>
        <w:t xml:space="preserve">III. SYSTEM ARCHITECTURE AND DESIGN</w:t>
      </w:r>
    </w:p>
    <w:p>
      <w:pPr>
        <w:spacing w:after="120" w:line="276"/>
        <w:jc w:val="both"/>
      </w:pPr>
      <w:r>
        <w:rPr>
          <w:rFonts w:ascii="Times New Roman" w:cs="Times New Roman" w:eastAsia="Times New Roman" w:hAnsi="Times New Roman"/>
          <w:sz w:val="20"/>
          <w:szCs w:val="20"/>
        </w:rPr>
        <w:t xml:space="preserve">The voice recognition pipeline is divided into four sequential processing stages, each implemented as an independently testable software module and integrated through ROS 2 topics. Fig. 1 illustrates the end-to-end data flow from audio input to robot motion output.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40"/>
              <w:left w:type="dxa" w:w="280"/>
              <w:bottom w:type="dxa" w:w="140"/>
              <w:right w:type="dxa" w:w="280"/>
            </w:tcMar>
          </w:tcPr>
          <w:p>
            <w:pPr>
              <w:spacing w:after="30"/>
            </w:pPr>
            <w:r>
              <w:rPr>
                <w:rFonts w:ascii="Courier New" w:cs="Courier New" w:eastAsia="Courier New" w:hAnsi="Courier New"/>
                <w:color w:val="1A1A2E"/>
                <w:sz w:val="17"/>
                <w:szCs w:val="17"/>
              </w:rPr>
              <w:t xml:space="preserve">[ 16 kHz Mono WAV File Input ]</w:t>
            </w:r>
          </w:p>
          <w:p>
            <w:pPr>
              <w:spacing w:after="30"/>
            </w:pPr>
            <w:r>
              <w:rPr>
                <w:rFonts w:ascii="Courier New" w:cs="Courier New" w:eastAsia="Courier New" w:hAnsi="Courier New"/>
                <w:color w:val="1A1A2E"/>
                <w:sz w:val="17"/>
                <w:szCs w:val="17"/>
              </w:rPr>
              <w:t xml:space="preserve">              ↓</w:t>
            </w:r>
          </w:p>
          <w:p>
            <w:pPr>
              <w:spacing w:after="30"/>
            </w:pPr>
            <w:r>
              <w:rPr>
                <w:rFonts w:ascii="Courier New" w:cs="Courier New" w:eastAsia="Courier New" w:hAnsi="Courier New"/>
                <w:color w:val="1A1A2E"/>
                <w:sz w:val="17"/>
                <w:szCs w:val="17"/>
              </w:rPr>
              <w:t xml:space="preserve">[ Stage 1: Audio Preprocessing ]</w:t>
            </w:r>
          </w:p>
          <w:p>
            <w:pPr>
              <w:spacing w:after="30"/>
            </w:pPr>
            <w:r>
              <w:rPr>
                <w:rFonts w:ascii="Courier New" w:cs="Courier New" w:eastAsia="Courier New" w:hAnsi="Courier New"/>
                <w:color w:val="1A1A2E"/>
                <w:sz w:val="17"/>
                <w:szCs w:val="17"/>
              </w:rPr>
              <w:t xml:space="preserve">  normalize.py  →  16 kHz resampling, amplitude normalisation</w:t>
            </w:r>
          </w:p>
          <w:p>
            <w:pPr>
              <w:spacing w:after="30"/>
            </w:pPr>
            <w:r>
              <w:rPr>
                <w:rFonts w:ascii="Courier New" w:cs="Courier New" w:eastAsia="Courier New" w:hAnsi="Courier New"/>
                <w:color w:val="1A1A2E"/>
                <w:sz w:val="17"/>
                <w:szCs w:val="17"/>
              </w:rPr>
              <w:t xml:space="preserve">  vad.py         →  Energy-based silence trimming (20 ms frames, RMS &gt; 0.01)</w:t>
            </w:r>
          </w:p>
          <w:p>
            <w:pPr>
              <w:spacing w:after="30"/>
            </w:pPr>
            <w:r>
              <w:rPr>
                <w:rFonts w:ascii="Courier New" w:cs="Courier New" w:eastAsia="Courier New" w:hAnsi="Courier New"/>
                <w:color w:val="1A1A2E"/>
                <w:sz w:val="17"/>
                <w:szCs w:val="17"/>
              </w:rPr>
              <w:t xml:space="preserve">              ↓</w:t>
            </w:r>
          </w:p>
          <w:p>
            <w:pPr>
              <w:spacing w:after="30"/>
            </w:pPr>
            <w:r>
              <w:rPr>
                <w:rFonts w:ascii="Courier New" w:cs="Courier New" w:eastAsia="Courier New" w:hAnsi="Courier New"/>
                <w:color w:val="1A1A2E"/>
                <w:sz w:val="17"/>
                <w:szCs w:val="17"/>
              </w:rPr>
              <w:t xml:space="preserve">[ Stage 2: ASR Transcription ]</w:t>
            </w:r>
          </w:p>
          <w:p>
            <w:pPr>
              <w:spacing w:after="30"/>
            </w:pPr>
            <w:r>
              <w:rPr>
                <w:rFonts w:ascii="Courier New" w:cs="Courier New" w:eastAsia="Courier New" w:hAnsi="Courier New"/>
                <w:color w:val="1A1A2E"/>
                <w:sz w:val="17"/>
                <w:szCs w:val="17"/>
              </w:rPr>
              <w:t xml:space="preserve">  asr_engine.py  →  faster-whisper base, CPU int8</w:t>
            </w:r>
          </w:p>
          <w:p>
            <w:pPr>
              <w:spacing w:after="30"/>
            </w:pPr>
            <w:r>
              <w:rPr>
                <w:rFonts w:ascii="Courier New" w:cs="Courier New" w:eastAsia="Courier New" w:hAnsi="Courier New"/>
                <w:color w:val="1A1A2E"/>
                <w:sz w:val="17"/>
                <w:szCs w:val="17"/>
              </w:rPr>
              <w:t xml:space="preserve">  Output:  { "text": "move forward", "confidence": 0.87, "latency": 2.3 }</w:t>
            </w:r>
          </w:p>
          <w:p>
            <w:pPr>
              <w:spacing w:after="30"/>
            </w:pPr>
            <w:r>
              <w:rPr>
                <w:rFonts w:ascii="Courier New" w:cs="Courier New" w:eastAsia="Courier New" w:hAnsi="Courier New"/>
                <w:color w:val="1A1A2E"/>
                <w:sz w:val="17"/>
                <w:szCs w:val="17"/>
              </w:rPr>
              <w:t xml:space="preserve">              ↓</w:t>
            </w:r>
          </w:p>
          <w:p>
            <w:pPr>
              <w:spacing w:after="30"/>
            </w:pPr>
            <w:r>
              <w:rPr>
                <w:rFonts w:ascii="Courier New" w:cs="Courier New" w:eastAsia="Courier New" w:hAnsi="Courier New"/>
                <w:color w:val="1A1A2E"/>
                <w:sz w:val="17"/>
                <w:szCs w:val="17"/>
              </w:rPr>
              <w:t xml:space="preserve">[ Stage 3: Intent Classification + Safety State Machine ]</w:t>
            </w:r>
          </w:p>
          <w:p>
            <w:pPr>
              <w:spacing w:after="30"/>
            </w:pPr>
            <w:r>
              <w:rPr>
                <w:rFonts w:ascii="Courier New" w:cs="Courier New" w:eastAsia="Courier New" w:hAnsi="Courier New"/>
                <w:color w:val="1A1A2E"/>
                <w:sz w:val="17"/>
                <w:szCs w:val="17"/>
              </w:rPr>
              <w:t xml:space="preserve">  fuzzy_matcher.py  →  rapidfuzz string matching to canonical vocabulary</w:t>
            </w:r>
          </w:p>
          <w:p>
            <w:pPr>
              <w:spacing w:after="30"/>
            </w:pPr>
            <w:r>
              <w:rPr>
                <w:rFonts w:ascii="Courier New" w:cs="Courier New" w:eastAsia="Courier New" w:hAnsi="Courier New"/>
                <w:color w:val="1A1A2E"/>
                <w:sz w:val="17"/>
                <w:szCs w:val="17"/>
              </w:rPr>
              <w:t xml:space="preserve">  state_machine/   →  IDLE → WAITING_CONFIRMATION → EXECUTING</w:t>
            </w:r>
          </w:p>
          <w:p>
            <w:pPr>
              <w:spacing w:after="30"/>
            </w:pPr>
            <w:r>
              <w:rPr>
                <w:rFonts w:ascii="Courier New" w:cs="Courier New" w:eastAsia="Courier New" w:hAnsi="Courier New"/>
                <w:color w:val="1A1A2E"/>
                <w:sz w:val="17"/>
                <w:szCs w:val="17"/>
              </w:rPr>
              <w:t xml:space="preserve">              ↓</w:t>
            </w:r>
          </w:p>
          <w:p>
            <w:pPr>
              <w:spacing w:after="30"/>
            </w:pPr>
            <w:r>
              <w:rPr>
                <w:rFonts w:ascii="Courier New" w:cs="Courier New" w:eastAsia="Courier New" w:hAnsi="Courier New"/>
                <w:color w:val="1A1A2E"/>
                <w:sz w:val="17"/>
                <w:szCs w:val="17"/>
              </w:rPr>
              <w:t xml:space="preserve">[ Stage 4: ROS 2 Command Dispatch ]</w:t>
            </w:r>
          </w:p>
          <w:p>
            <w:pPr>
              <w:spacing w:after="30"/>
            </w:pPr>
            <w:r>
              <w:rPr>
                <w:rFonts w:ascii="Courier New" w:cs="Courier New" w:eastAsia="Courier New" w:hAnsi="Courier New"/>
                <w:color w:val="1A1A2E"/>
                <w:sz w:val="17"/>
                <w:szCs w:val="17"/>
              </w:rPr>
              <w:t xml:space="preserve">  command_node.py  →  Twist message → /cmd_vel</w:t>
            </w:r>
          </w:p>
          <w:p>
            <w:pPr>
              <w:spacing w:after="30"/>
            </w:pPr>
            <w:r>
              <w:rPr>
                <w:rFonts w:ascii="Courier New" w:cs="Courier New" w:eastAsia="Courier New" w:hAnsi="Courier New"/>
                <w:color w:val="1A1A2E"/>
                <w:sz w:val="17"/>
                <w:szCs w:val="17"/>
              </w:rPr>
              <w:t xml:space="preserve">  Gazebo ROSWITHA  →  Robot motion executed</w:t>
            </w:r>
          </w:p>
        </w:tc>
      </w:tr>
    </w:tbl>
    <w:p>
      <w:pPr>
        <w:spacing w:after="160"/>
        <w:jc w:val="center"/>
      </w:pPr>
      <w:r>
        <w:rPr>
          <w:rFonts w:ascii="Times New Roman" w:cs="Times New Roman" w:eastAsia="Times New Roman" w:hAnsi="Times New Roman"/>
          <w:i/>
          <w:iCs/>
          <w:sz w:val="18"/>
          <w:szCs w:val="18"/>
        </w:rPr>
        <w:t xml:space="preserve">Fig. 1. End-to-end system architecture: voice-to-motion data flow.</w:t>
      </w:r>
    </w:p>
    <w:p>
      <w:pPr>
        <w:spacing w:before="180" w:after="80"/>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i/>
          <w:iCs/>
          <w:sz w:val="20"/>
          <w:szCs w:val="20"/>
        </w:rPr>
        <w:t xml:space="preserve">Audio Preprocessing Module (Khushal Singh)</w:t>
      </w:r>
    </w:p>
    <w:p>
      <w:pPr>
        <w:spacing w:after="120" w:line="276"/>
        <w:jc w:val="both"/>
      </w:pPr>
      <w:r>
        <w:rPr>
          <w:rFonts w:ascii="Times New Roman" w:cs="Times New Roman" w:eastAsia="Times New Roman" w:hAnsi="Times New Roman"/>
          <w:sz w:val="20"/>
          <w:szCs w:val="20"/>
        </w:rPr>
        <w:t xml:space="preserve">Raw WAV recordings are processed through two preprocessing steps before reaching the ASR engine. The normalisation module (normalize.py) reads the input file using soundfile, converts stereo audio to mono by averaging channels, resamples to 16 kHz to match Whisper's expected sample rate, and normalises peak amplitude to the range [−1, 1] using peak normalisation (dividing by max(|signal|) + ε where ε = 10⁻⁹ prevents division by zero).</w:t>
      </w:r>
    </w:p>
    <w:p>
      <w:pPr>
        <w:spacing w:after="120" w:line="276"/>
        <w:jc w:val="both"/>
      </w:pPr>
      <w:r>
        <w:rPr>
          <w:rFonts w:ascii="Times New Roman" w:cs="Times New Roman" w:eastAsia="Times New Roman" w:hAnsi="Times New Roman"/>
          <w:sz w:val="20"/>
          <w:szCs w:val="20"/>
        </w:rPr>
        <w:t xml:space="preserve">The Voice Activity Detection module (vad.py) applies energy-based VAD to remove silence. The audio signal is segmented into 20 ms frames; frames with Root Mean Square (RMS) energy below a threshold of 0.01 are classified as silence and discarded. Active frames are concatenated and written to the output path, reducing the effective audio length and improving ASR focus on speech content.</w:t>
      </w:r>
    </w:p>
    <w:p>
      <w:pPr>
        <w:spacing w:before="180" w:after="80"/>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i/>
          <w:iCs/>
          <w:sz w:val="20"/>
          <w:szCs w:val="20"/>
        </w:rPr>
        <w:t xml:space="preserve">ASR Engine</w:t>
      </w:r>
    </w:p>
    <w:p>
      <w:pPr>
        <w:spacing w:after="120" w:line="276"/>
        <w:jc w:val="both"/>
      </w:pPr>
      <w:r>
        <w:rPr>
          <w:rFonts w:ascii="Times New Roman" w:cs="Times New Roman" w:eastAsia="Times New Roman" w:hAnsi="Times New Roman"/>
          <w:sz w:val="20"/>
          <w:szCs w:val="20"/>
        </w:rPr>
        <w:t xml:space="preserve">The core transcription engine uses faster-whisper v1.2.1 with the OpenAI Whisper base multilingual model (74M parameters), configured for English-only transcription, CPU device, and int8 quantisation. The model is loaded once at startup to avoid per-call initialisation overhead. Given a WAV file path, the engine returns a JSON object containing three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2"/>
              <w:left w:val="single" w:color="222222" w:sz="2"/>
              <w:bottom w:val="single" w:color="222222" w:sz="2"/>
              <w:right w:val="single" w:color="222222" w:sz="2"/>
            </w:tcBorders>
            <w:shd w:fill="1A1A2E" w:val="clear"/>
            <w:tcMar>
              <w:top w:type="dxa" w:w="120"/>
              <w:left w:type="dxa" w:w="240"/>
              <w:bottom w:type="dxa" w:w="120"/>
              <w:right w:type="dxa" w:w="240"/>
            </w:tcMar>
          </w:tcPr>
          <w:p>
            <w:pPr>
              <w:spacing w:after="30"/>
            </w:pPr>
            <w:r>
              <w:rPr>
                <w:rFonts w:ascii="Courier New" w:cs="Courier New" w:eastAsia="Courier New" w:hAnsi="Courier New"/>
                <w:color w:val="A8B2D8"/>
                <w:sz w:val="18"/>
                <w:szCs w:val="18"/>
              </w:rPr>
              <w:t xml:space="preserve">{ "text":       "move forward",   // lowercase, punctuation stripped</w:t>
            </w:r>
          </w:p>
          <w:p>
            <w:pPr>
              <w:spacing w:after="30"/>
            </w:pPr>
            <w:r>
              <w:rPr>
                <w:rFonts w:ascii="Courier New" w:cs="Courier New" w:eastAsia="Courier New" w:hAnsi="Courier New"/>
                <w:color w:val="A8B2D8"/>
                <w:sz w:val="18"/>
                <w:szCs w:val="18"/>
              </w:rPr>
              <w:t xml:space="preserve">  "confidence": 0.87,             // linear probability [0.0–1.0]</w:t>
            </w:r>
          </w:p>
          <w:p>
            <w:pPr>
              <w:spacing w:after="30"/>
            </w:pPr>
            <w:r>
              <w:rPr>
                <w:rFonts w:ascii="Courier New" w:cs="Courier New" w:eastAsia="Courier New" w:hAnsi="Courier New"/>
                <w:color w:val="A8B2D8"/>
                <w:sz w:val="18"/>
                <w:szCs w:val="18"/>
              </w:rPr>
              <w:t xml:space="preserve">  "latency":    2.30 }            // wall-clock seconds</w:t>
            </w:r>
          </w:p>
        </w:tc>
      </w:tr>
    </w:tbl>
    <w:p>
      <w:pPr>
        <w:spacing w:after="100"/>
      </w:pPr>
    </w:p>
    <w:p>
      <w:pPr>
        <w:spacing w:after="120" w:line="276"/>
        <w:jc w:val="both"/>
      </w:pPr>
      <w:r>
        <w:rPr>
          <w:rFonts w:ascii="Times New Roman" w:cs="Times New Roman" w:eastAsia="Times New Roman" w:hAnsi="Times New Roman"/>
          <w:sz w:val="20"/>
          <w:szCs w:val="20"/>
        </w:rPr>
        <w:t xml:space="preserve">The confidence score is computed from the average log-probability of all decoded segments: confidence = min(1.0, exp(mean(avg_logprob_i))). A post-processing regex (re.sub(r'[^\w\s]', '', text)) strips punctuation appended by the Whisper decoder. Without this step, outputs such as 'move forward.' or 'stop!' cause exact-match failures in evaluation. This single fix increased accuracy from 26.7% to 86.7% in initial testing.</w:t>
      </w:r>
    </w:p>
    <w:p>
      <w:pPr>
        <w:spacing w:before="180" w:after="80"/>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i/>
          <w:iCs/>
          <w:sz w:val="20"/>
          <w:szCs w:val="20"/>
        </w:rPr>
        <w:t xml:space="preserve">Noise Augmentation Pipeline</w:t>
      </w:r>
    </w:p>
    <w:p>
      <w:pPr>
        <w:spacing w:after="120" w:line="276"/>
        <w:jc w:val="both"/>
      </w:pPr>
      <w:r>
        <w:rPr>
          <w:rFonts w:ascii="Times New Roman" w:cs="Times New Roman" w:eastAsia="Times New Roman" w:hAnsi="Times New Roman"/>
          <w:sz w:val="20"/>
          <w:szCs w:val="20"/>
        </w:rPr>
        <w:t xml:space="preserve">To evaluate noise robustness systematically, the snr_mixer.py module mixes clean speech recordings with real background noise at three controlled SNR levels. The noise scaling factor α is computed as:</w:t>
      </w:r>
    </w:p>
    <w:p>
      <w:pPr>
        <w:spacing w:after="100" w:before="60"/>
        <w:jc w:val="center"/>
      </w:pPr>
      <w:r>
        <w:rPr>
          <w:rFonts w:ascii="Times New Roman" w:cs="Times New Roman" w:eastAsia="Times New Roman" w:hAnsi="Times New Roman"/>
          <w:i/>
          <w:iCs/>
          <w:sz w:val="21"/>
          <w:szCs w:val="21"/>
        </w:rPr>
        <w:t xml:space="preserve">α = √( P_speech / ( SNR_linear × P_noise ) )</w:t>
      </w:r>
    </w:p>
    <w:p>
      <w:pPr>
        <w:spacing w:after="120" w:line="276"/>
        <w:jc w:val="both"/>
      </w:pPr>
      <w:r>
        <w:rPr>
          <w:rFonts w:ascii="Times New Roman" w:cs="Times New Roman" w:eastAsia="Times New Roman" w:hAnsi="Times New Roman"/>
          <w:sz w:val="20"/>
          <w:szCs w:val="20"/>
        </w:rPr>
        <w:t xml:space="preserve">where P_speech and P_noise denote mean squared signal powers, and SNR_linear = 10^(SNR_dB / 10). The mixed signal is peak-normalised before saving. This procedure generates 15 augmented files from 5 clean recordings (5 commands × 3 SNR levels: 20 dB, 10 dB, 0 dB), constituting the full 20-sample evaluation dataset for the initial sprint.</w:t>
      </w:r>
    </w:p>
    <w:p>
      <w:pPr>
        <w:spacing w:before="180" w:after="80"/>
      </w:pPr>
      <w:r>
        <w:rPr>
          <w:rFonts w:ascii="Times New Roman" w:cs="Times New Roman" w:eastAsia="Times New Roman" w:hAnsi="Times New Roman"/>
          <w:b/>
          <w:bCs/>
          <w:sz w:val="20"/>
          <w:szCs w:val="20"/>
        </w:rPr>
        <w:t xml:space="preserve">D. </w:t>
      </w:r>
      <w:r>
        <w:rPr>
          <w:rFonts w:ascii="Times New Roman" w:cs="Times New Roman" w:eastAsia="Times New Roman" w:hAnsi="Times New Roman"/>
          <w:b/>
          <w:bCs/>
          <w:i/>
          <w:iCs/>
          <w:sz w:val="20"/>
          <w:szCs w:val="20"/>
        </w:rPr>
        <w:t xml:space="preserve">Intent Classification Module (Taibaz Pathan)</w:t>
      </w:r>
    </w:p>
    <w:p>
      <w:pPr>
        <w:spacing w:after="120" w:line="276"/>
        <w:jc w:val="both"/>
      </w:pPr>
      <w:r>
        <w:rPr>
          <w:rFonts w:ascii="Times New Roman" w:cs="Times New Roman" w:eastAsia="Times New Roman" w:hAnsi="Times New Roman"/>
          <w:sz w:val="20"/>
          <w:szCs w:val="20"/>
        </w:rPr>
        <w:t xml:space="preserve">The intent classification module receives the raw ASR text output and maps it to one of seven canonical commands using a two-stage matching approach. First, exact keyword matching is attempted against the fixed vocabulary (Table I). If no exact match is found, rapidfuzz fuzzy string matching computes token similarity scores, allowing minor pronunciation variants to be correctly classified (e.g. 'move forwards' → 'move forward').</w:t>
      </w:r>
    </w:p>
    <w:p>
      <w:pPr>
        <w:spacing w:after="120" w:line="276"/>
        <w:jc w:val="both"/>
      </w:pPr>
      <w:r>
        <w:rPr>
          <w:rFonts w:ascii="Times New Roman" w:cs="Times New Roman" w:eastAsia="Times New Roman" w:hAnsi="Times New Roman"/>
          <w:sz w:val="20"/>
          <w:szCs w:val="20"/>
        </w:rPr>
        <w:t xml:space="preserve">A confidence gate of 0.75 filters out low-certainty transcriptions before intent processing. Any utterance whose ASR confidence falls below this threshold is mapped to NO_COMMAND, preventing downstream processing and ensuring no unintended robot motion. For the emergency stop command, a higher threshold of 0.90 is applied: if 'stop' is detected with confidence ≥ 0.90, the command bypasses the confirmation stage entirely (see Section III-E).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40"/>
        <w:gridCol w:w="4400"/>
        <w:gridCol w:w="1800"/>
      </w:tblGrid>
      <w:tr>
        <w:tc>
          <w:tcPr>
            <w:tcW w:type="dxa" w:w="52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w:t>
            </w:r>
          </w:p>
        </w:tc>
        <w:tc>
          <w:tcPr>
            <w:tcW w:type="dxa" w:w="264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Command</w:t>
            </w:r>
          </w:p>
        </w:tc>
        <w:tc>
          <w:tcPr>
            <w:tcW w:type="dxa" w:w="44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Robot Action</w:t>
            </w:r>
          </w:p>
        </w:tc>
        <w:tc>
          <w:tcPr>
            <w:tcW w:type="dxa" w:w="18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Type</w:t>
            </w:r>
          </w:p>
        </w:tc>
      </w:tr>
      <w:tr>
        <w:tc>
          <w:tcPr>
            <w:tcW w:type="dxa" w:w="520"/>
            <w:tcBorders>
              <w:top w:val="single" w:color="BBBBBB" w:sz="1"/>
              <w:left w:val="single" w:color="BBBBBB" w:sz="1"/>
              <w:bottom w:val="single" w:color="BBBBBB" w:sz="1"/>
              <w:right w:val="single" w:color="BBBBBB" w:sz="1"/>
            </w:tcBorders>
            <w:tcMar>
              <w:top w:type="dxa" w:w="70"/>
              <w:left w:type="dxa" w:w="80"/>
              <w:bottom w:type="dxa" w:w="70"/>
              <w:right w:type="dxa" w:w="80"/>
            </w:tcMar>
          </w:tcPr>
          <w:p>
            <w:pPr>
              <w:jc w:val="center"/>
            </w:pPr>
            <w:r>
              <w:rPr>
                <w:rFonts w:ascii="Times New Roman" w:cs="Times New Roman" w:eastAsia="Times New Roman" w:hAnsi="Times New Roman"/>
                <w:b/>
                <w:bCs/>
                <w:sz w:val="18"/>
                <w:szCs w:val="18"/>
              </w:rPr>
              <w:t xml:space="preserve">1</w:t>
            </w:r>
          </w:p>
        </w:tc>
        <w:tc>
          <w:tcPr>
            <w:tcW w:type="dxa" w:w="264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move forward</w:t>
            </w:r>
          </w:p>
        </w:tc>
        <w:tc>
          <w:tcPr>
            <w:tcW w:type="dxa" w:w="44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Publish positive linear.x velocity to /cmd_vel</w:t>
            </w:r>
          </w:p>
        </w:tc>
        <w:tc>
          <w:tcPr>
            <w:tcW w:type="dxa" w:w="1800"/>
            <w:tcBorders>
              <w:top w:val="single" w:color="BBBBBB" w:sz="1"/>
              <w:left w:val="single" w:color="BBBBBB" w:sz="1"/>
              <w:bottom w:val="single" w:color="BBBBBB" w:sz="1"/>
              <w:right w:val="single" w:color="BBBBBB" w:sz="1"/>
            </w:tcBorders>
            <w:shd w:fill="F5F9FF" w:val="clear"/>
            <w:tcMar>
              <w:top w:type="dxa" w:w="70"/>
              <w:left w:type="dxa" w:w="80"/>
              <w:bottom w:type="dxa" w:w="70"/>
              <w:right w:type="dxa" w:w="80"/>
            </w:tcMar>
          </w:tcPr>
          <w:p>
            <w:pPr>
              <w:jc w:val="center"/>
            </w:pPr>
            <w:r>
              <w:rPr>
                <w:rFonts w:ascii="Times New Roman" w:cs="Times New Roman" w:eastAsia="Times New Roman" w:hAnsi="Times New Roman"/>
                <w:b w:val="false"/>
                <w:bCs w:val="false"/>
                <w:sz w:val="18"/>
                <w:szCs w:val="18"/>
              </w:rPr>
              <w:t xml:space="preserve">Motion</w:t>
            </w:r>
          </w:p>
        </w:tc>
      </w:tr>
      <w:tr>
        <w:tc>
          <w:tcPr>
            <w:tcW w:type="dxa" w:w="520"/>
            <w:tcBorders>
              <w:top w:val="single" w:color="BBBBBB" w:sz="1"/>
              <w:left w:val="single" w:color="BBBBBB" w:sz="1"/>
              <w:bottom w:val="single" w:color="BBBBBB" w:sz="1"/>
              <w:right w:val="single" w:color="BBBBBB" w:sz="1"/>
            </w:tcBorders>
            <w:tcMar>
              <w:top w:type="dxa" w:w="70"/>
              <w:left w:type="dxa" w:w="80"/>
              <w:bottom w:type="dxa" w:w="70"/>
              <w:right w:type="dxa" w:w="80"/>
            </w:tcMar>
          </w:tcPr>
          <w:p>
            <w:pPr>
              <w:jc w:val="center"/>
            </w:pPr>
            <w:r>
              <w:rPr>
                <w:rFonts w:ascii="Times New Roman" w:cs="Times New Roman" w:eastAsia="Times New Roman" w:hAnsi="Times New Roman"/>
                <w:b/>
                <w:bCs/>
                <w:sz w:val="18"/>
                <w:szCs w:val="18"/>
              </w:rPr>
              <w:t xml:space="preserve">2</w:t>
            </w:r>
          </w:p>
        </w:tc>
        <w:tc>
          <w:tcPr>
            <w:tcW w:type="dxa" w:w="264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move backward</w:t>
            </w:r>
          </w:p>
        </w:tc>
        <w:tc>
          <w:tcPr>
            <w:tcW w:type="dxa" w:w="44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Publish negative linear.x velocity to /cmd_vel</w:t>
            </w:r>
          </w:p>
        </w:tc>
        <w:tc>
          <w:tcPr>
            <w:tcW w:type="dxa" w:w="1800"/>
            <w:tcBorders>
              <w:top w:val="single" w:color="BBBBBB" w:sz="1"/>
              <w:left w:val="single" w:color="BBBBBB" w:sz="1"/>
              <w:bottom w:val="single" w:color="BBBBBB" w:sz="1"/>
              <w:right w:val="single" w:color="BBBBBB" w:sz="1"/>
            </w:tcBorders>
            <w:shd w:fill="F5F9FF" w:val="clear"/>
            <w:tcMar>
              <w:top w:type="dxa" w:w="70"/>
              <w:left w:type="dxa" w:w="80"/>
              <w:bottom w:type="dxa" w:w="70"/>
              <w:right w:type="dxa" w:w="80"/>
            </w:tcMar>
          </w:tcPr>
          <w:p>
            <w:pPr>
              <w:jc w:val="center"/>
            </w:pPr>
            <w:r>
              <w:rPr>
                <w:rFonts w:ascii="Times New Roman" w:cs="Times New Roman" w:eastAsia="Times New Roman" w:hAnsi="Times New Roman"/>
                <w:b w:val="false"/>
                <w:bCs w:val="false"/>
                <w:sz w:val="18"/>
                <w:szCs w:val="18"/>
              </w:rPr>
              <w:t xml:space="preserve">Motion</w:t>
            </w:r>
          </w:p>
        </w:tc>
      </w:tr>
      <w:tr>
        <w:tc>
          <w:tcPr>
            <w:tcW w:type="dxa" w:w="520"/>
            <w:tcBorders>
              <w:top w:val="single" w:color="BBBBBB" w:sz="1"/>
              <w:left w:val="single" w:color="BBBBBB" w:sz="1"/>
              <w:bottom w:val="single" w:color="BBBBBB" w:sz="1"/>
              <w:right w:val="single" w:color="BBBBBB" w:sz="1"/>
            </w:tcBorders>
            <w:tcMar>
              <w:top w:type="dxa" w:w="70"/>
              <w:left w:type="dxa" w:w="80"/>
              <w:bottom w:type="dxa" w:w="70"/>
              <w:right w:type="dxa" w:w="80"/>
            </w:tcMar>
          </w:tcPr>
          <w:p>
            <w:pPr>
              <w:jc w:val="center"/>
            </w:pPr>
            <w:r>
              <w:rPr>
                <w:rFonts w:ascii="Times New Roman" w:cs="Times New Roman" w:eastAsia="Times New Roman" w:hAnsi="Times New Roman"/>
                <w:b/>
                <w:bCs/>
                <w:sz w:val="18"/>
                <w:szCs w:val="18"/>
              </w:rPr>
              <w:t xml:space="preserve">3</w:t>
            </w:r>
          </w:p>
        </w:tc>
        <w:tc>
          <w:tcPr>
            <w:tcW w:type="dxa" w:w="264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turn left</w:t>
            </w:r>
          </w:p>
        </w:tc>
        <w:tc>
          <w:tcPr>
            <w:tcW w:type="dxa" w:w="44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Publish positive angular.z velocity to /cmd_vel</w:t>
            </w:r>
          </w:p>
        </w:tc>
        <w:tc>
          <w:tcPr>
            <w:tcW w:type="dxa" w:w="1800"/>
            <w:tcBorders>
              <w:top w:val="single" w:color="BBBBBB" w:sz="1"/>
              <w:left w:val="single" w:color="BBBBBB" w:sz="1"/>
              <w:bottom w:val="single" w:color="BBBBBB" w:sz="1"/>
              <w:right w:val="single" w:color="BBBBBB" w:sz="1"/>
            </w:tcBorders>
            <w:shd w:fill="F5F9FF" w:val="clear"/>
            <w:tcMar>
              <w:top w:type="dxa" w:w="70"/>
              <w:left w:type="dxa" w:w="80"/>
              <w:bottom w:type="dxa" w:w="70"/>
              <w:right w:type="dxa" w:w="80"/>
            </w:tcMar>
          </w:tcPr>
          <w:p>
            <w:pPr>
              <w:jc w:val="center"/>
            </w:pPr>
            <w:r>
              <w:rPr>
                <w:rFonts w:ascii="Times New Roman" w:cs="Times New Roman" w:eastAsia="Times New Roman" w:hAnsi="Times New Roman"/>
                <w:b w:val="false"/>
                <w:bCs w:val="false"/>
                <w:sz w:val="18"/>
                <w:szCs w:val="18"/>
              </w:rPr>
              <w:t xml:space="preserve">Motion</w:t>
            </w:r>
          </w:p>
        </w:tc>
      </w:tr>
      <w:tr>
        <w:tc>
          <w:tcPr>
            <w:tcW w:type="dxa" w:w="520"/>
            <w:tcBorders>
              <w:top w:val="single" w:color="BBBBBB" w:sz="1"/>
              <w:left w:val="single" w:color="BBBBBB" w:sz="1"/>
              <w:bottom w:val="single" w:color="BBBBBB" w:sz="1"/>
              <w:right w:val="single" w:color="BBBBBB" w:sz="1"/>
            </w:tcBorders>
            <w:tcMar>
              <w:top w:type="dxa" w:w="70"/>
              <w:left w:type="dxa" w:w="80"/>
              <w:bottom w:type="dxa" w:w="70"/>
              <w:right w:type="dxa" w:w="80"/>
            </w:tcMar>
          </w:tcPr>
          <w:p>
            <w:pPr>
              <w:jc w:val="center"/>
            </w:pPr>
            <w:r>
              <w:rPr>
                <w:rFonts w:ascii="Times New Roman" w:cs="Times New Roman" w:eastAsia="Times New Roman" w:hAnsi="Times New Roman"/>
                <w:b/>
                <w:bCs/>
                <w:sz w:val="18"/>
                <w:szCs w:val="18"/>
              </w:rPr>
              <w:t xml:space="preserve">4</w:t>
            </w:r>
          </w:p>
        </w:tc>
        <w:tc>
          <w:tcPr>
            <w:tcW w:type="dxa" w:w="264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turn right</w:t>
            </w:r>
          </w:p>
        </w:tc>
        <w:tc>
          <w:tcPr>
            <w:tcW w:type="dxa" w:w="44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Publish negative angular.z velocity to /cmd_vel</w:t>
            </w:r>
          </w:p>
        </w:tc>
        <w:tc>
          <w:tcPr>
            <w:tcW w:type="dxa" w:w="1800"/>
            <w:tcBorders>
              <w:top w:val="single" w:color="BBBBBB" w:sz="1"/>
              <w:left w:val="single" w:color="BBBBBB" w:sz="1"/>
              <w:bottom w:val="single" w:color="BBBBBB" w:sz="1"/>
              <w:right w:val="single" w:color="BBBBBB" w:sz="1"/>
            </w:tcBorders>
            <w:shd w:fill="F5F9FF" w:val="clear"/>
            <w:tcMar>
              <w:top w:type="dxa" w:w="70"/>
              <w:left w:type="dxa" w:w="80"/>
              <w:bottom w:type="dxa" w:w="70"/>
              <w:right w:type="dxa" w:w="80"/>
            </w:tcMar>
          </w:tcPr>
          <w:p>
            <w:pPr>
              <w:jc w:val="center"/>
            </w:pPr>
            <w:r>
              <w:rPr>
                <w:rFonts w:ascii="Times New Roman" w:cs="Times New Roman" w:eastAsia="Times New Roman" w:hAnsi="Times New Roman"/>
                <w:b w:val="false"/>
                <w:bCs w:val="false"/>
                <w:sz w:val="18"/>
                <w:szCs w:val="18"/>
              </w:rPr>
              <w:t xml:space="preserve">Motion</w:t>
            </w:r>
          </w:p>
        </w:tc>
      </w:tr>
      <w:tr>
        <w:tc>
          <w:tcPr>
            <w:tcW w:type="dxa" w:w="520"/>
            <w:tcBorders>
              <w:top w:val="single" w:color="BBBBBB" w:sz="1"/>
              <w:left w:val="single" w:color="BBBBBB" w:sz="1"/>
              <w:bottom w:val="single" w:color="BBBBBB" w:sz="1"/>
              <w:right w:val="single" w:color="BBBBBB" w:sz="1"/>
            </w:tcBorders>
            <w:tcMar>
              <w:top w:type="dxa" w:w="70"/>
              <w:left w:type="dxa" w:w="80"/>
              <w:bottom w:type="dxa" w:w="70"/>
              <w:right w:type="dxa" w:w="80"/>
            </w:tcMar>
          </w:tcPr>
          <w:p>
            <w:pPr>
              <w:jc w:val="center"/>
            </w:pPr>
            <w:r>
              <w:rPr>
                <w:rFonts w:ascii="Times New Roman" w:cs="Times New Roman" w:eastAsia="Times New Roman" w:hAnsi="Times New Roman"/>
                <w:b/>
                <w:bCs/>
                <w:sz w:val="18"/>
                <w:szCs w:val="18"/>
              </w:rPr>
              <w:t xml:space="preserve">5</w:t>
            </w:r>
          </w:p>
        </w:tc>
        <w:tc>
          <w:tcPr>
            <w:tcW w:type="dxa" w:w="264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stop</w:t>
            </w:r>
          </w:p>
        </w:tc>
        <w:tc>
          <w:tcPr>
            <w:tcW w:type="dxa" w:w="44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Zero all velocity fields — immediate halt</w:t>
            </w:r>
          </w:p>
        </w:tc>
        <w:tc>
          <w:tcPr>
            <w:tcW w:type="dxa" w:w="1800"/>
            <w:tcBorders>
              <w:top w:val="single" w:color="BBBBBB" w:sz="1"/>
              <w:left w:val="single" w:color="BBBBBB" w:sz="1"/>
              <w:bottom w:val="single" w:color="BBBBBB" w:sz="1"/>
              <w:right w:val="single" w:color="BBBBBB" w:sz="1"/>
            </w:tcBorders>
            <w:shd w:fill="FFF2CC" w:val="clear"/>
            <w:tcMar>
              <w:top w:type="dxa" w:w="70"/>
              <w:left w:type="dxa" w:w="80"/>
              <w:bottom w:type="dxa" w:w="70"/>
              <w:right w:type="dxa" w:w="80"/>
            </w:tcMar>
          </w:tcPr>
          <w:p>
            <w:pPr>
              <w:jc w:val="center"/>
            </w:pPr>
            <w:r>
              <w:rPr>
                <w:rFonts w:ascii="Times New Roman" w:cs="Times New Roman" w:eastAsia="Times New Roman" w:hAnsi="Times New Roman"/>
                <w:b/>
                <w:bCs/>
                <w:sz w:val="18"/>
                <w:szCs w:val="18"/>
              </w:rPr>
              <w:t xml:space="preserve">Emergency</w:t>
            </w:r>
          </w:p>
        </w:tc>
      </w:tr>
      <w:tr>
        <w:tc>
          <w:tcPr>
            <w:tcW w:type="dxa" w:w="520"/>
            <w:tcBorders>
              <w:top w:val="single" w:color="BBBBBB" w:sz="1"/>
              <w:left w:val="single" w:color="BBBBBB" w:sz="1"/>
              <w:bottom w:val="single" w:color="BBBBBB" w:sz="1"/>
              <w:right w:val="single" w:color="BBBBBB" w:sz="1"/>
            </w:tcBorders>
            <w:tcMar>
              <w:top w:type="dxa" w:w="70"/>
              <w:left w:type="dxa" w:w="80"/>
              <w:bottom w:type="dxa" w:w="70"/>
              <w:right w:type="dxa" w:w="80"/>
            </w:tcMar>
          </w:tcPr>
          <w:p>
            <w:pPr>
              <w:jc w:val="center"/>
            </w:pPr>
            <w:r>
              <w:rPr>
                <w:rFonts w:ascii="Times New Roman" w:cs="Times New Roman" w:eastAsia="Times New Roman" w:hAnsi="Times New Roman"/>
                <w:b/>
                <w:bCs/>
                <w:sz w:val="18"/>
                <w:szCs w:val="18"/>
              </w:rPr>
              <w:t xml:space="preserve">C1</w:t>
            </w:r>
          </w:p>
        </w:tc>
        <w:tc>
          <w:tcPr>
            <w:tcW w:type="dxa" w:w="264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yes</w:t>
            </w:r>
          </w:p>
        </w:tc>
        <w:tc>
          <w:tcPr>
            <w:tcW w:type="dxa" w:w="44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Confirmation token — approve pending command</w:t>
            </w:r>
          </w:p>
        </w:tc>
        <w:tc>
          <w:tcPr>
            <w:tcW w:type="dxa" w:w="1800"/>
            <w:tcBorders>
              <w:top w:val="single" w:color="BBBBBB" w:sz="1"/>
              <w:left w:val="single" w:color="BBBBBB" w:sz="1"/>
              <w:bottom w:val="single" w:color="BBBBBB" w:sz="1"/>
              <w:right w:val="single" w:color="BBBBBB" w:sz="1"/>
            </w:tcBorders>
            <w:shd w:fill="EBF3FB" w:val="clear"/>
            <w:tcMar>
              <w:top w:type="dxa" w:w="70"/>
              <w:left w:type="dxa" w:w="80"/>
              <w:bottom w:type="dxa" w:w="70"/>
              <w:right w:type="dxa" w:w="80"/>
            </w:tcMar>
          </w:tcPr>
          <w:p>
            <w:pPr>
              <w:jc w:val="center"/>
            </w:pPr>
            <w:r>
              <w:rPr>
                <w:rFonts w:ascii="Times New Roman" w:cs="Times New Roman" w:eastAsia="Times New Roman" w:hAnsi="Times New Roman"/>
                <w:b w:val="false"/>
                <w:bCs w:val="false"/>
                <w:sz w:val="18"/>
                <w:szCs w:val="18"/>
              </w:rPr>
              <w:t xml:space="preserve">Confirm</w:t>
            </w:r>
          </w:p>
        </w:tc>
      </w:tr>
      <w:tr>
        <w:tc>
          <w:tcPr>
            <w:tcW w:type="dxa" w:w="520"/>
            <w:tcBorders>
              <w:top w:val="single" w:color="BBBBBB" w:sz="1"/>
              <w:left w:val="single" w:color="BBBBBB" w:sz="1"/>
              <w:bottom w:val="single" w:color="BBBBBB" w:sz="1"/>
              <w:right w:val="single" w:color="BBBBBB" w:sz="1"/>
            </w:tcBorders>
            <w:tcMar>
              <w:top w:type="dxa" w:w="70"/>
              <w:left w:type="dxa" w:w="80"/>
              <w:bottom w:type="dxa" w:w="70"/>
              <w:right w:type="dxa" w:w="80"/>
            </w:tcMar>
          </w:tcPr>
          <w:p>
            <w:pPr>
              <w:jc w:val="center"/>
            </w:pPr>
            <w:r>
              <w:rPr>
                <w:rFonts w:ascii="Times New Roman" w:cs="Times New Roman" w:eastAsia="Times New Roman" w:hAnsi="Times New Roman"/>
                <w:b/>
                <w:bCs/>
                <w:sz w:val="18"/>
                <w:szCs w:val="18"/>
              </w:rPr>
              <w:t xml:space="preserve">C2</w:t>
            </w:r>
          </w:p>
        </w:tc>
        <w:tc>
          <w:tcPr>
            <w:tcW w:type="dxa" w:w="264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no</w:t>
            </w:r>
          </w:p>
        </w:tc>
        <w:tc>
          <w:tcPr>
            <w:tcW w:type="dxa" w:w="44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Confirmation token — cancel pending command</w:t>
            </w:r>
          </w:p>
        </w:tc>
        <w:tc>
          <w:tcPr>
            <w:tcW w:type="dxa" w:w="1800"/>
            <w:tcBorders>
              <w:top w:val="single" w:color="BBBBBB" w:sz="1"/>
              <w:left w:val="single" w:color="BBBBBB" w:sz="1"/>
              <w:bottom w:val="single" w:color="BBBBBB" w:sz="1"/>
              <w:right w:val="single" w:color="BBBBBB" w:sz="1"/>
            </w:tcBorders>
            <w:shd w:fill="EBF3FB" w:val="clear"/>
            <w:tcMar>
              <w:top w:type="dxa" w:w="70"/>
              <w:left w:type="dxa" w:w="80"/>
              <w:bottom w:type="dxa" w:w="70"/>
              <w:right w:type="dxa" w:w="80"/>
            </w:tcMar>
          </w:tcPr>
          <w:p>
            <w:pPr>
              <w:jc w:val="center"/>
            </w:pPr>
            <w:r>
              <w:rPr>
                <w:rFonts w:ascii="Times New Roman" w:cs="Times New Roman" w:eastAsia="Times New Roman" w:hAnsi="Times New Roman"/>
                <w:b w:val="false"/>
                <w:bCs w:val="false"/>
                <w:sz w:val="18"/>
                <w:szCs w:val="18"/>
              </w:rPr>
              <w:t xml:space="preserve">Confirm</w:t>
            </w:r>
          </w:p>
        </w:tc>
      </w:tr>
    </w:tbl>
    <w:p>
      <w:pPr>
        <w:spacing w:after="160"/>
        <w:jc w:val="center"/>
      </w:pPr>
      <w:r>
        <w:rPr>
          <w:rFonts w:ascii="Times New Roman" w:cs="Times New Roman" w:eastAsia="Times New Roman" w:hAnsi="Times New Roman"/>
          <w:i/>
          <w:iCs/>
          <w:sz w:val="18"/>
          <w:szCs w:val="18"/>
        </w:rPr>
        <w:t xml:space="preserve">TABLE I. Fixed command vocabulary. All team modules must use exactly these strings.</w:t>
      </w:r>
    </w:p>
    <w:p>
      <w:pPr>
        <w:spacing w:before="180" w:after="80"/>
      </w:pPr>
      <w:r>
        <w:rPr>
          <w:rFonts w:ascii="Times New Roman" w:cs="Times New Roman" w:eastAsia="Times New Roman" w:hAnsi="Times New Roman"/>
          <w:b/>
          <w:bCs/>
          <w:sz w:val="20"/>
          <w:szCs w:val="20"/>
        </w:rPr>
        <w:t xml:space="preserve">E. </w:t>
      </w:r>
      <w:r>
        <w:rPr>
          <w:rFonts w:ascii="Times New Roman" w:cs="Times New Roman" w:eastAsia="Times New Roman" w:hAnsi="Times New Roman"/>
          <w:b/>
          <w:bCs/>
          <w:i/>
          <w:iCs/>
          <w:sz w:val="20"/>
          <w:szCs w:val="20"/>
        </w:rPr>
        <w:t xml:space="preserve">Safety State Machine</w:t>
      </w:r>
    </w:p>
    <w:p>
      <w:pPr>
        <w:spacing w:after="120" w:line="276"/>
        <w:jc w:val="both"/>
      </w:pPr>
      <w:r>
        <w:rPr>
          <w:rFonts w:ascii="Times New Roman" w:cs="Times New Roman" w:eastAsia="Times New Roman" w:hAnsi="Times New Roman"/>
          <w:sz w:val="20"/>
          <w:szCs w:val="20"/>
        </w:rPr>
        <w:t xml:space="preserve">All motion commands are routed through a deterministic three-state safety machine before any velocity is published to the /cmd_vel topic. This guarantees that no robot motion occurs without explicit human confirmation, except in emergency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State</w:t>
            </w:r>
          </w:p>
        </w:tc>
        <w:tc>
          <w:tcPr>
            <w:tcW w:type="dxa" w:w="416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Description</w:t>
            </w:r>
          </w:p>
        </w:tc>
        <w:tc>
          <w:tcPr>
            <w:tcW w:type="dxa" w:w="30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Exit Condition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00"/>
              <w:bottom w:type="dxa" w:w="80"/>
              <w:right w:type="dxa" w:w="100"/>
            </w:tcMar>
          </w:tcPr>
          <w:p>
            <w:pPr>
              <w:jc w:val="left"/>
            </w:pPr>
            <w:r>
              <w:rPr>
                <w:rFonts w:ascii="Times New Roman" w:cs="Times New Roman" w:eastAsia="Times New Roman" w:hAnsi="Times New Roman"/>
                <w:b/>
                <w:bCs/>
                <w:color w:val="1F4E79"/>
                <w:sz w:val="19"/>
                <w:szCs w:val="19"/>
              </w:rPr>
              <w:t xml:space="preserve">IDLE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Default listening state. Robot stationary. All velocity zero.</w:t>
            </w:r>
          </w:p>
        </w:tc>
        <w:tc>
          <w:tcPr>
            <w:tcW w:type="dxa" w:w="3000"/>
            <w:tcBorders>
              <w:top w:val="single" w:color="BBBBBB" w:sz="1"/>
              <w:left w:val="single" w:color="BBBBBB" w:sz="1"/>
              <w:bottom w:val="single" w:color="BBBBBB" w:sz="1"/>
              <w:right w:val="single" w:color="BBBBBB" w:sz="1"/>
            </w:tcBorders>
            <w:shd w:fill="F5F9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Valid command received (confidence ≥ 0.75)</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00"/>
              <w:bottom w:type="dxa" w:w="80"/>
              <w:right w:type="dxa" w:w="100"/>
            </w:tcMar>
          </w:tcPr>
          <w:p>
            <w:pPr>
              <w:jc w:val="left"/>
            </w:pPr>
            <w:r>
              <w:rPr>
                <w:rFonts w:ascii="Times New Roman" w:cs="Times New Roman" w:eastAsia="Times New Roman" w:hAnsi="Times New Roman"/>
                <w:b/>
                <w:bCs/>
                <w:color w:val="1F4E79"/>
                <w:sz w:val="19"/>
                <w:szCs w:val="19"/>
              </w:rPr>
              <w:t xml:space="preserve">WAITING_CONFIRMATION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Command identified. Awaiting explicit YES or NO from user.</w:t>
            </w:r>
          </w:p>
        </w:tc>
        <w:tc>
          <w:tcPr>
            <w:tcW w:type="dxa" w:w="3000"/>
            <w:tcBorders>
              <w:top w:val="single" w:color="BBBBBB" w:sz="1"/>
              <w:left w:val="single" w:color="BBBBBB" w:sz="1"/>
              <w:bottom w:val="single" w:color="BBBBBB" w:sz="1"/>
              <w:right w:val="single" w:color="BBBBBB" w:sz="1"/>
            </w:tcBorders>
            <w:shd w:fill="F5F9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YES → EXECUTING  |  NO or 5 s timeout → IDLE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00"/>
              <w:bottom w:type="dxa" w:w="80"/>
              <w:right w:type="dxa" w:w="100"/>
            </w:tcMar>
          </w:tcPr>
          <w:p>
            <w:pPr>
              <w:jc w:val="left"/>
            </w:pPr>
            <w:r>
              <w:rPr>
                <w:rFonts w:ascii="Times New Roman" w:cs="Times New Roman" w:eastAsia="Times New Roman" w:hAnsi="Times New Roman"/>
                <w:b/>
                <w:bCs/>
                <w:color w:val="1F4E79"/>
                <w:sz w:val="19"/>
                <w:szCs w:val="19"/>
              </w:rPr>
              <w:t xml:space="preserve">EXECUTING</w:t>
            </w:r>
          </w:p>
        </w:tc>
        <w:tc>
          <w:tcPr>
            <w:tcW w:type="dxa" w:w="4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Confirmed command dispatched to /cmd_vel topic. Robot moves.</w:t>
            </w:r>
          </w:p>
        </w:tc>
        <w:tc>
          <w:tcPr>
            <w:tcW w:type="dxa" w:w="3000"/>
            <w:tcBorders>
              <w:top w:val="single" w:color="BBBBBB" w:sz="1"/>
              <w:left w:val="single" w:color="BBBBBB" w:sz="1"/>
              <w:bottom w:val="single" w:color="BBBBBB" w:sz="1"/>
              <w:right w:val="single" w:color="BBBBBB" w:sz="1"/>
            </w:tcBorders>
            <w:shd w:fill="F5F9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Command complete → return to IDLE</w:t>
            </w:r>
          </w:p>
        </w:tc>
      </w:tr>
    </w:tbl>
    <w:p>
      <w:pPr>
        <w:spacing w:after="160"/>
        <w:jc w:val="center"/>
      </w:pPr>
      <w:r>
        <w:rPr>
          <w:rFonts w:ascii="Times New Roman" w:cs="Times New Roman" w:eastAsia="Times New Roman" w:hAnsi="Times New Roman"/>
          <w:i/>
          <w:iCs/>
          <w:sz w:val="18"/>
          <w:szCs w:val="18"/>
        </w:rPr>
        <w:t xml:space="preserve">TABLE II. Safety state machine states, descriptions, and exit conditions.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1"/>
            </w:tcBorders>
            <w:shd w:fill="FFF8E7" w:val="clear"/>
            <w:tcMar>
              <w:top w:type="dxa" w:w="120"/>
              <w:left w:type="dxa" w:w="200"/>
              <w:bottom w:type="dxa" w:w="120"/>
              <w:right w:type="dxa" w:w="200"/>
            </w:tcMar>
          </w:tcPr>
          <w:p>
            <w:pPr>
              <w:spacing w:after="80"/>
            </w:pPr>
            <w:r>
              <w:rPr>
                <w:rFonts w:ascii="Times New Roman" w:cs="Times New Roman" w:eastAsia="Times New Roman" w:hAnsi="Times New Roman"/>
                <w:sz w:val="20"/>
                <w:szCs w:val="20"/>
              </w:rPr>
              <w:t xml:space="preserve">Emergency Stop Override: If 'stop' is detected with confidence ≥ 0.90, the state machine</w:t>
            </w:r>
          </w:p>
          <w:p>
            <w:pPr>
              <w:spacing w:after="80"/>
            </w:pPr>
            <w:r>
              <w:rPr>
                <w:rFonts w:ascii="Times New Roman" w:cs="Times New Roman" w:eastAsia="Times New Roman" w:hAnsi="Times New Roman"/>
                <w:sz w:val="20"/>
                <w:szCs w:val="20"/>
              </w:rPr>
              <w:t xml:space="preserve">bypasses WAITING_CONFIRMATION entirely and immediately publishes zero velocity to /cmd_vel.</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Timeout Behaviour: If no YES/NO confirmation is received within 5 seconds of entering</w:t>
            </w:r>
          </w:p>
          <w:p>
            <w:pPr>
              <w:spacing w:after="80"/>
            </w:pPr>
            <w:r>
              <w:rPr>
                <w:rFonts w:ascii="Times New Roman" w:cs="Times New Roman" w:eastAsia="Times New Roman" w:hAnsi="Times New Roman"/>
                <w:sz w:val="20"/>
                <w:szCs w:val="20"/>
              </w:rPr>
              <w:t xml:space="preserve">WAITING_CONFIRMATION, the pending command is discarded and the machine returns to IDLE.</w:t>
            </w:r>
          </w:p>
          <w:p>
            <w:pPr>
              <w:spacing w:after="80"/>
            </w:pPr>
            <w:r>
              <w:rPr>
                <w:rFonts w:ascii="Times New Roman" w:cs="Times New Roman" w:eastAsia="Times New Roman" w:hAnsi="Times New Roman"/>
                <w:sz w:val="20"/>
                <w:szCs w:val="20"/>
              </w:rPr>
              <w:t xml:space="preserve">No robot motion is executed.</w:t>
            </w:r>
          </w:p>
        </w:tc>
      </w:tr>
    </w:tbl>
    <w:p>
      <w:pPr>
        <w:spacing w:after="120"/>
      </w:pPr>
    </w:p>
    <w:p>
      <w:pPr>
        <w:spacing w:before="180" w:after="80"/>
      </w:pPr>
      <w:r>
        <w:rPr>
          <w:rFonts w:ascii="Times New Roman" w:cs="Times New Roman" w:eastAsia="Times New Roman" w:hAnsi="Times New Roman"/>
          <w:b/>
          <w:bCs/>
          <w:sz w:val="20"/>
          <w:szCs w:val="20"/>
        </w:rPr>
        <w:t xml:space="preserve">F. </w:t>
      </w:r>
      <w:r>
        <w:rPr>
          <w:rFonts w:ascii="Times New Roman" w:cs="Times New Roman" w:eastAsia="Times New Roman" w:hAnsi="Times New Roman"/>
          <w:b/>
          <w:bCs/>
          <w:i/>
          <w:iCs/>
          <w:sz w:val="20"/>
          <w:szCs w:val="20"/>
        </w:rPr>
        <w:t xml:space="preserve">ROS 2 Node Graph (Raka Sarkar)</w:t>
      </w:r>
    </w:p>
    <w:p>
      <w:pPr>
        <w:spacing w:after="120" w:line="276"/>
        <w:jc w:val="both"/>
      </w:pPr>
      <w:r>
        <w:rPr>
          <w:rFonts w:ascii="Times New Roman" w:cs="Times New Roman" w:eastAsia="Times New Roman" w:hAnsi="Times New Roman"/>
          <w:sz w:val="20"/>
          <w:szCs w:val="20"/>
        </w:rPr>
        <w:t xml:space="preserve">The ROS 2 package vrc_system contains five nodes communicating over four topics. This publish-subscribe architecture decouples each processing stage, enabling individual nodes to be tested, replaced, or upgraded independently. Table III documents the complete topic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Topic</w:t>
            </w:r>
          </w:p>
        </w:tc>
        <w:tc>
          <w:tcPr>
            <w:tcW w:type="dxa" w:w="22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Message Type</w:t>
            </w:r>
          </w:p>
        </w:tc>
        <w:tc>
          <w:tcPr>
            <w:tcW w:type="dxa" w:w="456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Publisher → Subscriber</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/audio/raw</w:t>
            </w:r>
          </w:p>
        </w:tc>
        <w:tc>
          <w:tcPr>
            <w:tcW w:type="dxa" w:w="22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audio_msgs/Audio</w:t>
            </w:r>
          </w:p>
        </w:tc>
        <w:tc>
          <w:tcPr>
            <w:tcW w:type="dxa" w:w="4560"/>
            <w:tcBorders>
              <w:top w:val="single" w:color="BBBBBB" w:sz="1"/>
              <w:left w:val="single" w:color="BBBBBB" w:sz="1"/>
              <w:bottom w:val="single" w:color="BBBBBB" w:sz="1"/>
              <w:right w:val="single" w:color="BBBBBB" w:sz="1"/>
            </w:tcBorders>
            <w:shd w:fill="F5F9FF" w:val="clear"/>
            <w:tcMar>
              <w:top w:type="dxa" w:w="70"/>
              <w:left w:type="dxa" w:w="80"/>
              <w:bottom w:type="dxa" w:w="70"/>
              <w:right w:type="dxa" w:w="80"/>
            </w:tcMar>
          </w:tcPr>
          <w:p>
            <w:r>
              <w:rPr>
                <w:rFonts w:ascii="Times New Roman" w:cs="Times New Roman" w:eastAsia="Times New Roman" w:hAnsi="Times New Roman"/>
                <w:sz w:val="18"/>
                <w:szCs w:val="18"/>
              </w:rPr>
              <w:t xml:space="preserve">audio_input_node  →  asr_node</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/asr/text</w:t>
            </w:r>
          </w:p>
        </w:tc>
        <w:tc>
          <w:tcPr>
            <w:tcW w:type="dxa" w:w="22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std_msgs/String</w:t>
            </w:r>
          </w:p>
        </w:tc>
        <w:tc>
          <w:tcPr>
            <w:tcW w:type="dxa" w:w="456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r>
              <w:rPr>
                <w:rFonts w:ascii="Times New Roman" w:cs="Times New Roman" w:eastAsia="Times New Roman" w:hAnsi="Times New Roman"/>
                <w:sz w:val="18"/>
                <w:szCs w:val="18"/>
              </w:rPr>
              <w:t xml:space="preserve">asr_node          →  intent_node</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/asr/intent</w:t>
            </w:r>
          </w:p>
        </w:tc>
        <w:tc>
          <w:tcPr>
            <w:tcW w:type="dxa" w:w="22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std_msgs/String</w:t>
            </w:r>
          </w:p>
        </w:tc>
        <w:tc>
          <w:tcPr>
            <w:tcW w:type="dxa" w:w="4560"/>
            <w:tcBorders>
              <w:top w:val="single" w:color="BBBBBB" w:sz="1"/>
              <w:left w:val="single" w:color="BBBBBB" w:sz="1"/>
              <w:bottom w:val="single" w:color="BBBBBB" w:sz="1"/>
              <w:right w:val="single" w:color="BBBBBB" w:sz="1"/>
            </w:tcBorders>
            <w:shd w:fill="F5F9FF" w:val="clear"/>
            <w:tcMar>
              <w:top w:type="dxa" w:w="70"/>
              <w:left w:type="dxa" w:w="80"/>
              <w:bottom w:type="dxa" w:w="70"/>
              <w:right w:type="dxa" w:w="80"/>
            </w:tcMar>
          </w:tcPr>
          <w:p>
            <w:r>
              <w:rPr>
                <w:rFonts w:ascii="Times New Roman" w:cs="Times New Roman" w:eastAsia="Times New Roman" w:hAnsi="Times New Roman"/>
                <w:sz w:val="18"/>
                <w:szCs w:val="18"/>
              </w:rPr>
              <w:t xml:space="preserve">intent_node       →  state_machine_node</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/voice/command</w:t>
            </w:r>
          </w:p>
        </w:tc>
        <w:tc>
          <w:tcPr>
            <w:tcW w:type="dxa" w:w="22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std_msgs/String</w:t>
            </w:r>
          </w:p>
        </w:tc>
        <w:tc>
          <w:tcPr>
            <w:tcW w:type="dxa" w:w="456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r>
              <w:rPr>
                <w:rFonts w:ascii="Times New Roman" w:cs="Times New Roman" w:eastAsia="Times New Roman" w:hAnsi="Times New Roman"/>
                <w:sz w:val="18"/>
                <w:szCs w:val="18"/>
              </w:rPr>
              <w:t xml:space="preserve">state_machine_node →  command_node</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/cmd_vel</w:t>
            </w:r>
          </w:p>
        </w:tc>
        <w:tc>
          <w:tcPr>
            <w:tcW w:type="dxa" w:w="2200"/>
            <w:tcBorders>
              <w:top w:val="single" w:color="BBBBBB" w:sz="1"/>
              <w:left w:val="single" w:color="BBBBBB" w:sz="1"/>
              <w:bottom w:val="single" w:color="BBBBBB" w:sz="1"/>
              <w:right w:val="single" w:color="BBBBBB" w:sz="1"/>
            </w:tcBorders>
            <w:tcMar>
              <w:top w:type="dxa" w:w="70"/>
              <w:left w:type="dxa" w:w="80"/>
              <w:bottom w:type="dxa" w:w="70"/>
              <w:right w:type="dxa" w:w="80"/>
            </w:tcMar>
          </w:tcPr>
          <w:p>
            <w:r>
              <w:rPr>
                <w:rFonts w:ascii="Times New Roman" w:cs="Times New Roman" w:eastAsia="Times New Roman" w:hAnsi="Times New Roman"/>
                <w:sz w:val="18"/>
                <w:szCs w:val="18"/>
              </w:rPr>
              <w:t xml:space="preserve">geometry_msgs/Twist</w:t>
            </w:r>
          </w:p>
        </w:tc>
        <w:tc>
          <w:tcPr>
            <w:tcW w:type="dxa" w:w="4560"/>
            <w:tcBorders>
              <w:top w:val="single" w:color="BBBBBB" w:sz="1"/>
              <w:left w:val="single" w:color="BBBBBB" w:sz="1"/>
              <w:bottom w:val="single" w:color="BBBBBB" w:sz="1"/>
              <w:right w:val="single" w:color="BBBBBB" w:sz="1"/>
            </w:tcBorders>
            <w:shd w:fill="F5F9FF" w:val="clear"/>
            <w:tcMar>
              <w:top w:type="dxa" w:w="70"/>
              <w:left w:type="dxa" w:w="80"/>
              <w:bottom w:type="dxa" w:w="70"/>
              <w:right w:type="dxa" w:w="80"/>
            </w:tcMar>
          </w:tcPr>
          <w:p>
            <w:r>
              <w:rPr>
                <w:rFonts w:ascii="Times New Roman" w:cs="Times New Roman" w:eastAsia="Times New Roman" w:hAnsi="Times New Roman"/>
                <w:sz w:val="18"/>
                <w:szCs w:val="18"/>
              </w:rPr>
              <w:t xml:space="preserve">command_node   →  Gazebo ROSWITHA</w:t>
            </w:r>
          </w:p>
        </w:tc>
      </w:tr>
    </w:tbl>
    <w:p>
      <w:pPr>
        <w:spacing w:after="160"/>
        <w:jc w:val="center"/>
      </w:pPr>
      <w:r>
        <w:rPr>
          <w:rFonts w:ascii="Times New Roman" w:cs="Times New Roman" w:eastAsia="Times New Roman" w:hAnsi="Times New Roman"/>
          <w:i/>
          <w:iCs/>
          <w:sz w:val="18"/>
          <w:szCs w:val="18"/>
        </w:rPr>
        <w:t xml:space="preserve">TABLE III. ROS 2 topic map for vrc_system package.</w:t>
      </w:r>
    </w:p>
    <w:p>
      <w:r>
        <w:br w:type="page"/>
      </w:r>
    </w:p>
    <w:p>
      <w:pPr>
        <w:spacing w:before="280" w:after="100"/>
        <w:jc w:val="center"/>
      </w:pPr>
      <w:r>
        <w:rPr>
          <w:rFonts w:ascii="Times New Roman" w:cs="Times New Roman" w:eastAsia="Times New Roman" w:hAnsi="Times New Roman"/>
          <w:b/>
          <w:bCs/>
          <w:sz w:val="20"/>
          <w:szCs w:val="20"/>
        </w:rPr>
        <w:t xml:space="preserve">IV. METHODOLOGY AND EXPERIMENTAL SETUP</w:t>
      </w:r>
    </w:p>
    <w:p>
      <w:pPr>
        <w:spacing w:before="180" w:after="80"/>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i/>
          <w:iCs/>
          <w:sz w:val="20"/>
          <w:szCs w:val="20"/>
        </w:rPr>
        <w:t xml:space="preserve">Development Environment</w:t>
      </w:r>
    </w:p>
    <w:p>
      <w:pPr>
        <w:spacing w:after="120" w:line="276"/>
        <w:jc w:val="both"/>
      </w:pPr>
      <w:r>
        <w:rPr>
          <w:rFonts w:ascii="Times New Roman" w:cs="Times New Roman" w:eastAsia="Times New Roman" w:hAnsi="Times New Roman"/>
          <w:sz w:val="20"/>
          <w:szCs w:val="20"/>
        </w:rPr>
        <w:t xml:space="preserve">The project was developed across three machines in a one-week sprint. Khushal Singh worked on macOS with an Ubuntu 24 VM (ASR module, pure Python). Taibaz Pathan worked on macOS with an Ubuntu 24 VM (intent module, pure Python). Raka Sarkar worked on Windows with Ubuntu 22.04 Native (ROS 2 / Gazebo integration). Python 3.12.3 was used throughout, compatible with all required packages despite the project plan specifying Python 3.10.</w:t>
      </w:r>
    </w:p>
    <w:p>
      <w:pPr>
        <w:spacing w:after="120" w:line="276"/>
        <w:jc w:val="both"/>
      </w:pPr>
      <w:r>
        <w:rPr>
          <w:rFonts w:ascii="Times New Roman" w:cs="Times New Roman" w:eastAsia="Times New Roman" w:hAnsi="Times New Roman"/>
          <w:sz w:val="20"/>
          <w:szCs w:val="20"/>
        </w:rPr>
        <w:t xml:space="preserve">All ROS 2 integration and testing runs exclusively on Raka's Ubuntu 22.04 machine. ROS 2 Humble Hawksbill officially supports Ubuntu 22.04 only; Ubuntu 24 VMs were not used for ROS 2 work. Khushal and Taibaz developed standalone Python modules with no ROS 2 dependency, sharing clean interfaces via JSON.</w:t>
      </w:r>
    </w:p>
    <w:p>
      <w:pPr>
        <w:spacing w:after="120" w:line="276"/>
        <w:jc w:val="both"/>
      </w:pPr>
      <w:r>
        <w:rPr>
          <w:rFonts w:ascii="Times New Roman" w:cs="Times New Roman" w:eastAsia="Times New Roman" w:hAnsi="Times New Roman"/>
          <w:sz w:val="20"/>
          <w:szCs w:val="20"/>
        </w:rPr>
        <w:t xml:space="preserve">Key software versions: faster-whisper 1.2.1, numpy 2.2.6, pandas 2.3.3, rapidfuzz 3.14.3, soundfile 0.13.1, ctranslate2 4.7.1 (faster-whisper backend). No GPU or CUDA driver was used in any stage of the project.</w:t>
      </w:r>
    </w:p>
    <w:p>
      <w:pPr>
        <w:spacing w:before="180" w:after="80"/>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i/>
          <w:iCs/>
          <w:sz w:val="20"/>
          <w:szCs w:val="20"/>
        </w:rPr>
        <w:t xml:space="preserve">Audio Dataset Construction</w:t>
      </w:r>
    </w:p>
    <w:p>
      <w:pPr>
        <w:spacing w:after="120" w:line="276"/>
        <w:jc w:val="both"/>
      </w:pPr>
      <w:r>
        <w:rPr>
          <w:rFonts w:ascii="Times New Roman" w:cs="Times New Roman" w:eastAsia="Times New Roman" w:hAnsi="Times New Roman"/>
          <w:sz w:val="20"/>
          <w:szCs w:val="20"/>
        </w:rPr>
        <w:t xml:space="preserve">Five clean WAV recordings were collected at 16 kHz mono, each corresponding to one of the five primary motion commands (MoveForward, MoveBackward, TurnLeft, TurnRight, Stop). Recordings were made using a smartphone voice recorder in a quiet indoor environment, transferred via AirDrop, and placed in audio_dataset/clean/. Files follow CamelCase naming convention without spaces (e.g. MoveForward.wav).</w:t>
      </w:r>
    </w:p>
    <w:p>
      <w:pPr>
        <w:spacing w:after="120" w:line="276"/>
        <w:jc w:val="both"/>
      </w:pPr>
      <w:r>
        <w:rPr>
          <w:rFonts w:ascii="Times New Roman" w:cs="Times New Roman" w:eastAsia="Times New Roman" w:hAnsi="Times New Roman"/>
          <w:sz w:val="20"/>
          <w:szCs w:val="20"/>
        </w:rPr>
        <w:t xml:space="preserve">Background noise for augmentation was sourced from freesound.org (indoor ambient noise, 16 kHz mono, duration &gt; 5 s). The snr_mixer.py augmentation pipeline generated three noisy variants per clean file, producing 15 augmented files at SNR 20 dB, 10 dB, and 0 dB, stored in audio_dataset/augmented/. Table IV summarises the complete dataset.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360"/>
      </w:tblGrid>
      <w:tr>
        <w:tc>
          <w:tcPr>
            <w:tcW w:type="dxa" w:w="34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Condition</w:t>
            </w:r>
          </w:p>
        </w:tc>
        <w:tc>
          <w:tcPr>
            <w:tcW w:type="dxa" w:w="16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Files</w:t>
            </w:r>
          </w:p>
        </w:tc>
        <w:tc>
          <w:tcPr>
            <w:tcW w:type="dxa" w:w="20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SNR (dB)</w:t>
            </w:r>
          </w:p>
        </w:tc>
        <w:tc>
          <w:tcPr>
            <w:tcW w:type="dxa" w:w="236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Speaker(s)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Clean (no noise)</w:t>
            </w:r>
          </w:p>
        </w:tc>
        <w:tc>
          <w:tcPr>
            <w:tcW w:type="dxa" w:w="16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5</w:t>
            </w:r>
          </w:p>
        </w:tc>
        <w:tc>
          <w:tcPr>
            <w:tcW w:type="dxa" w:w="20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236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1 (Speaker 1)</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Augmented — light noise</w:t>
            </w:r>
          </w:p>
        </w:tc>
        <w:tc>
          <w:tcPr>
            <w:tcW w:type="dxa" w:w="16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5</w:t>
            </w:r>
          </w:p>
        </w:tc>
        <w:tc>
          <w:tcPr>
            <w:tcW w:type="dxa" w:w="20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20</w:t>
            </w:r>
          </w:p>
        </w:tc>
        <w:tc>
          <w:tcPr>
            <w:tcW w:type="dxa" w:w="236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1 (Speaker 1)</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Augmented — medium noise</w:t>
            </w:r>
          </w:p>
        </w:tc>
        <w:tc>
          <w:tcPr>
            <w:tcW w:type="dxa" w:w="16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5</w:t>
            </w:r>
          </w:p>
        </w:tc>
        <w:tc>
          <w:tcPr>
            <w:tcW w:type="dxa" w:w="20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10</w:t>
            </w:r>
          </w:p>
        </w:tc>
        <w:tc>
          <w:tcPr>
            <w:tcW w:type="dxa" w:w="236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1 (Speaker 1)</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Augmented — heavy noise</w:t>
            </w:r>
          </w:p>
        </w:tc>
        <w:tc>
          <w:tcPr>
            <w:tcW w:type="dxa" w:w="16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5</w:t>
            </w:r>
          </w:p>
        </w:tc>
        <w:tc>
          <w:tcPr>
            <w:tcW w:type="dxa" w:w="20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0</w:t>
            </w:r>
          </w:p>
        </w:tc>
        <w:tc>
          <w:tcPr>
            <w:tcW w:type="dxa" w:w="236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1 (Speaker 1)</w:t>
            </w:r>
          </w:p>
        </w:tc>
      </w:tr>
      <w:tr>
        <w:tc>
          <w:tcPr>
            <w:tcW w:type="dxa" w:w="34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left"/>
            </w:pPr>
            <w:r>
              <w:rPr>
                <w:rFonts w:ascii="Times New Roman" w:cs="Times New Roman" w:eastAsia="Times New Roman" w:hAnsi="Times New Roman"/>
                <w:b/>
                <w:bCs/>
                <w:color w:val="111111"/>
                <w:sz w:val="19"/>
                <w:szCs w:val="19"/>
              </w:rPr>
              <w:t xml:space="preserve">Total</w:t>
            </w:r>
          </w:p>
        </w:tc>
        <w:tc>
          <w:tcPr>
            <w:tcW w:type="dxa" w:w="16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bCs/>
                <w:color w:val="111111"/>
                <w:sz w:val="19"/>
                <w:szCs w:val="19"/>
              </w:rPr>
              <w:t xml:space="preserve">20</w:t>
            </w:r>
          </w:p>
        </w:tc>
        <w:tc>
          <w:tcPr>
            <w:tcW w:type="dxa" w:w="200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2360"/>
            <w:tcBorders>
              <w:top w:val="single" w:color="BBBBBB" w:sz="1"/>
              <w:left w:val="single" w:color="BBBBBB" w:sz="1"/>
              <w:bottom w:val="single" w:color="BBBBBB" w:sz="1"/>
              <w:right w:val="single" w:color="BBBBBB" w:sz="1"/>
            </w:tcBorders>
            <w:shd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w:t>
            </w:r>
          </w:p>
        </w:tc>
      </w:tr>
    </w:tbl>
    <w:p>
      <w:pPr>
        <w:spacing w:after="160"/>
        <w:jc w:val="center"/>
      </w:pPr>
      <w:r>
        <w:rPr>
          <w:rFonts w:ascii="Times New Roman" w:cs="Times New Roman" w:eastAsia="Times New Roman" w:hAnsi="Times New Roman"/>
          <w:i/>
          <w:iCs/>
          <w:sz w:val="18"/>
          <w:szCs w:val="18"/>
        </w:rPr>
        <w:t xml:space="preserve">TABLE IV. Audio dataset summary — initial evaluation sprint (Days 1–3).</w:t>
      </w:r>
    </w:p>
    <w:p>
      <w:pPr>
        <w:spacing w:after="80"/>
      </w:pPr>
    </w:p>
    <w:p>
      <w:pPr>
        <w:spacing w:after="120" w:line="276"/>
        <w:jc w:val="both"/>
      </w:pPr>
      <w:r>
        <w:rPr>
          <w:rFonts w:ascii="Times New Roman" w:cs="Times New Roman" w:eastAsia="Times New Roman" w:hAnsi="Times New Roman"/>
          <w:sz w:val="20"/>
          <w:szCs w:val="20"/>
        </w:rPr>
        <w:t xml:space="preserve">The target dataset for full evaluation (Day 5) extends to 8 speakers × 5 commands × 4 conditions = 160 samples, yielding ≥100 test cases as required. Data collection from additional speakers (MoveForward_speaker2.wav, etc.) is ongoing.</w:t>
      </w:r>
    </w:p>
    <w:p>
      <w:pPr>
        <w:spacing w:before="180" w:after="80"/>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i/>
          <w:iCs/>
          <w:sz w:val="20"/>
          <w:szCs w:val="20"/>
        </w:rPr>
        <w:t xml:space="preserve">Evaluation Metric</w:t>
      </w:r>
    </w:p>
    <w:p>
      <w:pPr>
        <w:spacing w:after="120" w:line="276"/>
        <w:jc w:val="both"/>
      </w:pPr>
      <w:r>
        <w:rPr>
          <w:rFonts w:ascii="Times New Roman" w:cs="Times New Roman" w:eastAsia="Times New Roman" w:hAnsi="Times New Roman"/>
          <w:sz w:val="20"/>
          <w:szCs w:val="20"/>
        </w:rPr>
        <w:t xml:space="preserve">The primary evaluation metric is word-level exact-match accuracy: the fraction of test files for which the lowercase, punctuation-stripped ASR output exactly matches the expected canonical command string. Secondary metrics include mean confidence score per condition, mean latency per condition, and false activation rate (fraction of rejected or incorrectly classified samples that would produce unintended robot motion if the confidence gate were removed).</w:t>
      </w:r>
    </w:p>
    <w:p>
      <w:pPr>
        <w:spacing w:after="120" w:line="276"/>
        <w:jc w:val="both"/>
      </w:pPr>
      <w:r>
        <w:rPr>
          <w:rFonts w:ascii="Times New Roman" w:cs="Times New Roman" w:eastAsia="Times New Roman" w:hAnsi="Times New Roman"/>
          <w:sz w:val="20"/>
          <w:szCs w:val="20"/>
        </w:rPr>
        <w:t xml:space="preserve">The batch_test_runner.py script automates evaluation: it iterates over all WAV files in the augmented directory, calls asr_engine.transcribe() for each, compares the output to the expected command derived from the filename, and writes results to evaluation/results/processed_metrics.csv with fields: filename, expected, predicted, confidence, latency, correct, condition.</w:t>
      </w:r>
    </w:p>
    <w:p>
      <w:pPr>
        <w:spacing w:before="280" w:after="100"/>
        <w:jc w:val="center"/>
      </w:pPr>
      <w:r>
        <w:rPr>
          <w:rFonts w:ascii="Times New Roman" w:cs="Times New Roman" w:eastAsia="Times New Roman" w:hAnsi="Times New Roman"/>
          <w:b/>
          <w:bCs/>
          <w:sz w:val="20"/>
          <w:szCs w:val="20"/>
        </w:rPr>
        <w:t xml:space="preserve">V. RESULTS AND ANALYSIS</w:t>
      </w:r>
    </w:p>
    <w:p>
      <w:pPr>
        <w:spacing w:before="180" w:after="80"/>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i/>
          <w:iCs/>
          <w:sz w:val="20"/>
          <w:szCs w:val="20"/>
        </w:rPr>
        <w:t xml:space="preserve">Accuracy by Noise Condition</w:t>
      </w:r>
    </w:p>
    <w:p>
      <w:pPr>
        <w:spacing w:after="120" w:line="276"/>
        <w:jc w:val="both"/>
      </w:pPr>
      <w:r>
        <w:rPr>
          <w:rFonts w:ascii="Times New Roman" w:cs="Times New Roman" w:eastAsia="Times New Roman" w:hAnsi="Times New Roman"/>
          <w:sz w:val="20"/>
          <w:szCs w:val="20"/>
        </w:rPr>
        <w:t xml:space="preserve">Table V presents the recognition accuracy across all three noise conditions evaluated in the initial sprint (15 augmented files total). Each condition contains 5 test samples corresponding to the 5 primary commands.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560"/>
        <w:gridCol w:w="1560"/>
        <w:gridCol w:w="1560"/>
      </w:tblGrid>
      <w:tr>
        <w:tc>
          <w:tcPr>
            <w:tcW w:type="dxa" w:w="30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Noise Condition</w:t>
            </w:r>
          </w:p>
        </w:tc>
        <w:tc>
          <w:tcPr>
            <w:tcW w:type="dxa" w:w="168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Correct / Total</w:t>
            </w:r>
          </w:p>
        </w:tc>
        <w:tc>
          <w:tcPr>
            <w:tcW w:type="dxa" w:w="156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Accuracy</w:t>
            </w:r>
          </w:p>
        </w:tc>
        <w:tc>
          <w:tcPr>
            <w:tcW w:type="dxa" w:w="156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Avg. Confidence</w:t>
            </w:r>
          </w:p>
        </w:tc>
        <w:tc>
          <w:tcPr>
            <w:tcW w:type="dxa" w:w="156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Avg. Latency (s)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SNR 20 dB (light noise)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5 / 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1D6B3A"/>
                <w:sz w:val="19"/>
                <w:szCs w:val="19"/>
              </w:rPr>
              <w:t xml:space="preserve">100.0%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0.383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0.31</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SNR 10 dB (medium noise)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5 / 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color w:val="1D6B3A"/>
                <w:sz w:val="19"/>
                <w:szCs w:val="19"/>
              </w:rPr>
              <w:t xml:space="preserve">100.0%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0.374</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0.73</w:t>
            </w:r>
          </w:p>
        </w:tc>
      </w:tr>
      <w:tr>
        <w:tc>
          <w:tcPr>
            <w:tcW w:type="dxa" w:w="30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left"/>
            </w:pPr>
            <w:r>
              <w:rPr>
                <w:rFonts w:ascii="Times New Roman" w:cs="Times New Roman" w:eastAsia="Times New Roman" w:hAnsi="Times New Roman"/>
                <w:b w:val="false"/>
                <w:bCs w:val="false"/>
                <w:color w:val="111111"/>
                <w:sz w:val="19"/>
                <w:szCs w:val="19"/>
              </w:rPr>
              <w:t xml:space="preserve">SNR 0 dB (heavy noise)</w:t>
            </w:r>
          </w:p>
        </w:tc>
        <w:tc>
          <w:tcPr>
            <w:tcW w:type="dxa" w:w="16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3 / 5</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Times New Roman" w:cs="Times New Roman" w:eastAsia="Times New Roman" w:hAnsi="Times New Roman"/>
                <w:b/>
                <w:bCs/>
                <w:color w:val="B45309"/>
                <w:sz w:val="19"/>
                <w:szCs w:val="19"/>
              </w:rPr>
              <w:t xml:space="preserve">60.0%</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0.341</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1.30</w:t>
            </w:r>
          </w:p>
        </w:tc>
      </w:tr>
      <w:tr>
        <w:tc>
          <w:tcPr>
            <w:tcW w:type="dxa" w:w="30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left"/>
            </w:pPr>
            <w:r>
              <w:rPr>
                <w:rFonts w:ascii="Times New Roman" w:cs="Times New Roman" w:eastAsia="Times New Roman" w:hAnsi="Times New Roman"/>
                <w:b/>
                <w:bCs/>
                <w:color w:val="111111"/>
                <w:sz w:val="19"/>
                <w:szCs w:val="19"/>
              </w:rPr>
              <w:t xml:space="preserve">Overall (all conditions)</w:t>
            </w:r>
          </w:p>
        </w:tc>
        <w:tc>
          <w:tcPr>
            <w:tcW w:type="dxa" w:w="168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Times New Roman" w:cs="Times New Roman" w:eastAsia="Times New Roman" w:hAnsi="Times New Roman"/>
                <w:b/>
                <w:bCs/>
                <w:color w:val="111111"/>
                <w:sz w:val="19"/>
                <w:szCs w:val="19"/>
              </w:rPr>
              <w:t xml:space="preserve">13 / 15</w:t>
            </w:r>
          </w:p>
        </w:tc>
        <w:tc>
          <w:tcPr>
            <w:tcW w:type="dxa" w:w="15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Times New Roman" w:cs="Times New Roman" w:eastAsia="Times New Roman" w:hAnsi="Times New Roman"/>
                <w:b/>
                <w:bCs/>
                <w:color w:val="1D6B3A"/>
                <w:sz w:val="19"/>
                <w:szCs w:val="19"/>
              </w:rPr>
              <w:t xml:space="preserve">86.7%</w:t>
            </w:r>
          </w:p>
        </w:tc>
        <w:tc>
          <w:tcPr>
            <w:tcW w:type="dxa" w:w="15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0.366</w:t>
            </w:r>
          </w:p>
        </w:tc>
        <w:tc>
          <w:tcPr>
            <w:tcW w:type="dxa" w:w="15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111111"/>
                <w:sz w:val="19"/>
                <w:szCs w:val="19"/>
              </w:rPr>
              <w:t xml:space="preserve">0.78</w:t>
            </w:r>
          </w:p>
        </w:tc>
      </w:tr>
    </w:tbl>
    <w:p>
      <w:pPr>
        <w:spacing w:after="160"/>
        <w:jc w:val="center"/>
      </w:pPr>
      <w:r>
        <w:rPr>
          <w:rFonts w:ascii="Times New Roman" w:cs="Times New Roman" w:eastAsia="Times New Roman" w:hAnsi="Times New Roman"/>
          <w:i/>
          <w:iCs/>
          <w:sz w:val="18"/>
          <w:szCs w:val="18"/>
        </w:rPr>
        <w:t xml:space="preserve">TABLE V. ASR recognition accuracy by noise condition (initial 15-sample evaluation).</w:t>
      </w:r>
    </w:p>
    <w:p>
      <w:pPr>
        <w:spacing w:after="80"/>
      </w:pPr>
    </w:p>
    <w:p>
      <w:pPr>
        <w:spacing w:after="120" w:line="276"/>
        <w:jc w:val="both"/>
      </w:pPr>
      <w:r>
        <w:rPr>
          <w:rFonts w:ascii="Times New Roman" w:cs="Times New Roman" w:eastAsia="Times New Roman" w:hAnsi="Times New Roman"/>
          <w:sz w:val="20"/>
          <w:szCs w:val="20"/>
        </w:rPr>
        <w:t xml:space="preserve">The system achieved 100% accuracy at both SNR 20 dB and SNR 10 dB, demonstrating that light-to-moderate noise has no impact on recognition quality for the tested command set. At SNR 0 dB (heavy noise, equal speech and noise power), accuracy decreased to 60% — two failures out of five samples.</w:t>
      </w:r>
    </w:p>
    <w:p>
      <w:pPr>
        <w:spacing w:after="120" w:line="276"/>
        <w:jc w:val="both"/>
      </w:pPr>
      <w:r>
        <w:rPr>
          <w:rFonts w:ascii="Times New Roman" w:cs="Times New Roman" w:eastAsia="Times New Roman" w:hAnsi="Times New Roman"/>
          <w:sz w:val="20"/>
          <w:szCs w:val="20"/>
        </w:rPr>
        <w:t xml:space="preserve">Critically, both SNR 0 dB failures produced ASR confidence scores well below the 0.75 gate threshold (MoveForward_snr0db: confidence = 0.300; Stop_snr0db: confidence = 0.340). In the deployed pipeline, both outputs would be classified as NO_COMMAND and silently discarded — no false robot motion would occur. This demonstrates that the confidence gating mechanism provides an effective safety layer even when raw ASR accuracy degrades.</w:t>
      </w:r>
    </w:p>
    <w:p>
      <w:pPr>
        <w:spacing w:after="120" w:line="276"/>
        <w:jc w:val="both"/>
      </w:pPr>
      <w:r>
        <w:rPr>
          <w:rFonts w:ascii="Times New Roman" w:cs="Times New Roman" w:eastAsia="Times New Roman" w:hAnsi="Times New Roman"/>
          <w:sz w:val="20"/>
          <w:szCs w:val="20"/>
        </w:rPr>
        <w:t xml:space="preserve">Overall accuracy of 86.7% across all augmented conditions surpasses the project target of 85%.</w:t>
      </w:r>
    </w:p>
    <w:p>
      <w:pPr>
        <w:spacing w:before="180" w:after="80"/>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i/>
          <w:iCs/>
          <w:sz w:val="20"/>
          <w:szCs w:val="20"/>
        </w:rPr>
        <w:t xml:space="preserve">Per-Command Accuracy Analysis</w:t>
      </w:r>
    </w:p>
    <w:p>
      <w:pPr>
        <w:spacing w:after="120" w:line="276"/>
        <w:jc w:val="both"/>
      </w:pPr>
      <w:r>
        <w:rPr>
          <w:rFonts w:ascii="Times New Roman" w:cs="Times New Roman" w:eastAsia="Times New Roman" w:hAnsi="Times New Roman"/>
          <w:sz w:val="20"/>
          <w:szCs w:val="20"/>
        </w:rPr>
        <w:t xml:space="preserve">Table VI provides per-command accuracy across all SNR conditions evaluated. All five commands achieved 100% accuracy at SNR 10 dB and SNR 20 dB. At SNR 0 dB, three of five commands were correctly recognised (TurnLeft, TurnRight, MoveBackward), while MoveForward and Stop failed with low confidence scores.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20"/>
        <w:gridCol w:w="1920"/>
        <w:gridCol w:w="1920"/>
        <w:gridCol w:w="1000"/>
      </w:tblGrid>
      <w:tr>
        <w:tc>
          <w:tcPr>
            <w:tcW w:type="dxa" w:w="26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Command</w:t>
            </w:r>
          </w:p>
        </w:tc>
        <w:tc>
          <w:tcPr>
            <w:tcW w:type="dxa" w:w="192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SNR 20 dB</w:t>
            </w:r>
          </w:p>
        </w:tc>
        <w:tc>
          <w:tcPr>
            <w:tcW w:type="dxa" w:w="192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SNR 10 dB</w:t>
            </w:r>
          </w:p>
        </w:tc>
        <w:tc>
          <w:tcPr>
            <w:tcW w:type="dxa" w:w="192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SNR 0 dB</w:t>
            </w:r>
          </w:p>
        </w:tc>
        <w:tc>
          <w:tcPr>
            <w:tcW w:type="dxa" w:w="1000"/>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Overall</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move forward</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FCE4D6" w:val="clear"/>
            <w:tcMar>
              <w:top w:type="dxa" w:w="70"/>
              <w:left w:type="dxa" w:w="80"/>
              <w:bottom w:type="dxa" w:w="70"/>
              <w:right w:type="dxa" w:w="80"/>
            </w:tcMar>
          </w:tcPr>
          <w:p>
            <w:pPr>
              <w:jc w:val="center"/>
            </w:pPr>
            <w:r>
              <w:rPr>
                <w:rFonts w:ascii="Times New Roman" w:cs="Times New Roman" w:eastAsia="Times New Roman" w:hAnsi="Times New Roman"/>
                <w:b/>
                <w:bCs/>
                <w:color w:val="9C1616"/>
                <w:sz w:val="18"/>
                <w:szCs w:val="18"/>
              </w:rPr>
              <w:t xml:space="preserve">❌ 0%</w:t>
            </w:r>
          </w:p>
        </w:tc>
        <w:tc>
          <w:tcPr>
            <w:tcW w:type="dxa" w:w="1000"/>
            <w:tcBorders>
              <w:top w:val="single" w:color="BBBBBB" w:sz="1"/>
              <w:left w:val="single" w:color="BBBBBB" w:sz="1"/>
              <w:bottom w:val="single" w:color="BBBBBB" w:sz="1"/>
              <w:right w:val="single" w:color="BBBBBB" w:sz="1"/>
            </w:tcBorders>
            <w:shd w:fill="FFF2CC"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67%</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move backward</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00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100%</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turn left</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00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100%</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turn right</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00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100%</w:t>
            </w:r>
          </w:p>
        </w:tc>
      </w:tr>
      <w:tr>
        <w:tc>
          <w:tcPr>
            <w:tcW w:type="dxa" w:w="2600"/>
            <w:tcBorders>
              <w:top w:val="single" w:color="BBBBBB" w:sz="1"/>
              <w:left w:val="single" w:color="BBBBBB" w:sz="1"/>
              <w:bottom w:val="single" w:color="BBBBBB" w:sz="1"/>
              <w:right w:val="single" w:color="BBBBBB" w:sz="1"/>
            </w:tcBorders>
            <w:shd w:fill="1A1A2E" w:val="clear"/>
            <w:tcMar>
              <w:top w:type="dxa" w:w="70"/>
              <w:left w:type="dxa" w:w="80"/>
              <w:bottom w:type="dxa" w:w="70"/>
              <w:right w:type="dxa" w:w="80"/>
            </w:tcMar>
          </w:tcPr>
          <w:p>
            <w:r>
              <w:rPr>
                <w:rFonts w:ascii="Courier New" w:cs="Courier New" w:eastAsia="Courier New" w:hAnsi="Courier New"/>
                <w:b/>
                <w:bCs/>
                <w:color w:val="89DDFF"/>
                <w:sz w:val="18"/>
                <w:szCs w:val="18"/>
              </w:rPr>
              <w:t xml:space="preserve">stop</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E2EFDA"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 100%</w:t>
            </w:r>
          </w:p>
        </w:tc>
        <w:tc>
          <w:tcPr>
            <w:tcW w:type="dxa" w:w="1920"/>
            <w:tcBorders>
              <w:top w:val="single" w:color="BBBBBB" w:sz="1"/>
              <w:left w:val="single" w:color="BBBBBB" w:sz="1"/>
              <w:bottom w:val="single" w:color="BBBBBB" w:sz="1"/>
              <w:right w:val="single" w:color="BBBBBB" w:sz="1"/>
            </w:tcBorders>
            <w:shd w:fill="FCE4D6" w:val="clear"/>
            <w:tcMar>
              <w:top w:type="dxa" w:w="70"/>
              <w:left w:type="dxa" w:w="80"/>
              <w:bottom w:type="dxa" w:w="70"/>
              <w:right w:type="dxa" w:w="80"/>
            </w:tcMar>
          </w:tcPr>
          <w:p>
            <w:pPr>
              <w:jc w:val="center"/>
            </w:pPr>
            <w:r>
              <w:rPr>
                <w:rFonts w:ascii="Times New Roman" w:cs="Times New Roman" w:eastAsia="Times New Roman" w:hAnsi="Times New Roman"/>
                <w:b/>
                <w:bCs/>
                <w:color w:val="9C1616"/>
                <w:sz w:val="18"/>
                <w:szCs w:val="18"/>
              </w:rPr>
              <w:t xml:space="preserve">❌ 0%</w:t>
            </w:r>
          </w:p>
        </w:tc>
        <w:tc>
          <w:tcPr>
            <w:tcW w:type="dxa" w:w="1000"/>
            <w:tcBorders>
              <w:top w:val="single" w:color="BBBBBB" w:sz="1"/>
              <w:left w:val="single" w:color="BBBBBB" w:sz="1"/>
              <w:bottom w:val="single" w:color="BBBBBB" w:sz="1"/>
              <w:right w:val="single" w:color="BBBBBB" w:sz="1"/>
            </w:tcBorders>
            <w:shd w:fill="FFF2CC" w:val="clear"/>
            <w:tcMar>
              <w:top w:type="dxa" w:w="70"/>
              <w:left w:type="dxa" w:w="80"/>
              <w:bottom w:type="dxa" w:w="70"/>
              <w:right w:type="dxa" w:w="80"/>
            </w:tcMar>
          </w:tcPr>
          <w:p>
            <w:pPr>
              <w:jc w:val="center"/>
            </w:pPr>
            <w:r>
              <w:rPr>
                <w:rFonts w:ascii="Times New Roman" w:cs="Times New Roman" w:eastAsia="Times New Roman" w:hAnsi="Times New Roman"/>
                <w:b/>
                <w:bCs/>
                <w:color w:val="1D6B3A"/>
                <w:sz w:val="18"/>
                <w:szCs w:val="18"/>
              </w:rPr>
              <w:t xml:space="preserve">67%</w:t>
            </w:r>
          </w:p>
        </w:tc>
      </w:tr>
    </w:tbl>
    <w:p>
      <w:pPr>
        <w:spacing w:after="160"/>
        <w:jc w:val="center"/>
      </w:pPr>
      <w:r>
        <w:rPr>
          <w:rFonts w:ascii="Times New Roman" w:cs="Times New Roman" w:eastAsia="Times New Roman" w:hAnsi="Times New Roman"/>
          <w:i/>
          <w:iCs/>
          <w:sz w:val="18"/>
          <w:szCs w:val="18"/>
        </w:rPr>
        <w:t xml:space="preserve">TABLE VI. Per-command accuracy by noise condition.</w:t>
      </w:r>
    </w:p>
    <w:p>
      <w:pPr>
        <w:spacing w:before="180" w:after="80"/>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i/>
          <w:iCs/>
          <w:sz w:val="20"/>
          <w:szCs w:val="20"/>
        </w:rPr>
        <w:t xml:space="preserve">Latency Analysis</w:t>
      </w:r>
    </w:p>
    <w:p>
      <w:pPr>
        <w:spacing w:after="120" w:line="276"/>
        <w:jc w:val="both"/>
      </w:pPr>
      <w:r>
        <w:rPr>
          <w:rFonts w:ascii="Times New Roman" w:cs="Times New Roman" w:eastAsia="Times New Roman" w:hAnsi="Times New Roman"/>
          <w:sz w:val="20"/>
          <w:szCs w:val="20"/>
        </w:rPr>
        <w:t xml:space="preserve">All transcription latencies were below 2.2 seconds across all clean and augmented conditions. The observed range was 0.28 s to 2.01 s. Mean latency increased with noise severity: 0.31 s at SNR 20 dB, 0.73 s at SNR 10 dB, and 1.30 s at SNR 0 dB. This increase is consistent with heavier noise extending the Whisper beam search decoding path as the model considers more candidate sequences.</w:t>
      </w:r>
    </w:p>
    <w:p>
      <w:pPr>
        <w:spacing w:after="120" w:line="276"/>
        <w:jc w:val="both"/>
      </w:pPr>
      <w:r>
        <w:rPr>
          <w:rFonts w:ascii="Times New Roman" w:cs="Times New Roman" w:eastAsia="Times New Roman" w:hAnsi="Times New Roman"/>
          <w:sz w:val="20"/>
          <w:szCs w:val="20"/>
        </w:rPr>
        <w:t xml:space="preserve">All latency values are well within the 5-second project requirement. In the full ROS 2 pipeline on Raka's Ubuntu 22.04 machine, additional inter-node communication and command dispatch latency is estimated at 50–200 ms, yielding total end-to-end latency of approximately 0.5–2.5 seconds — still within specification.</w:t>
      </w:r>
    </w:p>
    <w:p>
      <w:pPr>
        <w:spacing w:before="180" w:after="80"/>
      </w:pPr>
      <w:r>
        <w:rPr>
          <w:rFonts w:ascii="Times New Roman" w:cs="Times New Roman" w:eastAsia="Times New Roman" w:hAnsi="Times New Roman"/>
          <w:b/>
          <w:bCs/>
          <w:sz w:val="20"/>
          <w:szCs w:val="20"/>
        </w:rPr>
        <w:t xml:space="preserve">D. </w:t>
      </w:r>
      <w:r>
        <w:rPr>
          <w:rFonts w:ascii="Times New Roman" w:cs="Times New Roman" w:eastAsia="Times New Roman" w:hAnsi="Times New Roman"/>
          <w:b/>
          <w:bCs/>
          <w:i/>
          <w:iCs/>
          <w:sz w:val="20"/>
          <w:szCs w:val="20"/>
        </w:rPr>
        <w:t xml:space="preserve">Key Findings and Debugging Log</w:t>
      </w:r>
    </w:p>
    <w:p>
      <w:pPr>
        <w:spacing w:after="120" w:line="276"/>
        <w:jc w:val="both"/>
      </w:pPr>
      <w:r>
        <w:rPr>
          <w:rFonts w:ascii="Times New Roman" w:cs="Times New Roman" w:eastAsia="Times New Roman" w:hAnsi="Times New Roman"/>
          <w:sz w:val="20"/>
          <w:szCs w:val="20"/>
        </w:rPr>
        <w:t xml:space="preserve">Two significant issues were identified and resolved during the three-day development sprint:</w:t>
      </w:r>
    </w:p>
    <w:p>
      <w:pPr>
        <w:spacing w:after="120" w:line="276"/>
        <w:jc w:val="both"/>
      </w:pPr>
      <w:r>
        <w:rPr>
          <w:rFonts w:ascii="Times New Roman" w:cs="Times New Roman" w:eastAsia="Times New Roman" w:hAnsi="Times New Roman"/>
          <w:sz w:val="20"/>
          <w:szCs w:val="20"/>
        </w:rPr>
        <w:t xml:space="preserve">Finding 1 — Whisper Punctuation Bug: The initial batch run reported only 26.7% accuracy (4/15 correct). Investigation revealed that Whisper appends punctuation to transcribed text ('turn left.' vs. 'turn left', 'stop!' vs. 'stop'). Exact-match comparison failed due to trailing characters. Resolution: Adding re.sub(r'[^\w\s]', '', text).strip() to asr_engine.py restored accuracy to 86.7% in a single fix.</w:t>
      </w:r>
    </w:p>
    <w:p>
      <w:pPr>
        <w:spacing w:after="120" w:line="276"/>
        <w:jc w:val="both"/>
      </w:pPr>
      <w:r>
        <w:rPr>
          <w:rFonts w:ascii="Times New Roman" w:cs="Times New Roman" w:eastAsia="Times New Roman" w:hAnsi="Times New Roman"/>
          <w:sz w:val="20"/>
          <w:szCs w:val="20"/>
        </w:rPr>
        <w:t xml:space="preserve">Finding 2 — Recording Quality Dominates SNR Performance: In the second test run (66.7% accuracy), TurnRight.wav failed at both SNR 10 dB and SNR 20 dB with high confidence (~0.38), predicting 'stop' instead of 'turn right'. This is more dangerous than a low-confidence rejection: a high-confidence wrong prediction would cause incorrect robot motion. Root cause: the original TurnRight.wav recording was mumbled and unclear. Resolution: Re-recording with deliberate pronunciation ('TURN...RIGHT', slight pause, phone close to mouth) completely resolved the issue — TurnRight accuracy became 100% across all SNR levels.</w:t>
      </w:r>
    </w:p>
    <w:p>
      <w:pPr>
        <w:spacing w:before="280" w:after="100"/>
        <w:jc w:val="center"/>
      </w:pPr>
      <w:r>
        <w:rPr>
          <w:rFonts w:ascii="Times New Roman" w:cs="Times New Roman" w:eastAsia="Times New Roman" w:hAnsi="Times New Roman"/>
          <w:b/>
          <w:bCs/>
          <w:sz w:val="20"/>
          <w:szCs w:val="20"/>
        </w:rPr>
        <w:t xml:space="preserve">VI. DISCUSSION</w:t>
      </w:r>
    </w:p>
    <w:p>
      <w:pPr>
        <w:spacing w:after="120" w:line="276"/>
        <w:jc w:val="both"/>
      </w:pPr>
      <w:r>
        <w:rPr>
          <w:rFonts w:ascii="Times New Roman" w:cs="Times New Roman" w:eastAsia="Times New Roman" w:hAnsi="Times New Roman"/>
          <w:sz w:val="20"/>
          <w:szCs w:val="20"/>
        </w:rPr>
        <w:t xml:space="preserve">The results confirm that faster-whisper base model with int8 quantisation provides sufficient accuracy and speed for voice-controlled robot applications on CPU-only commodity hardware. The 86.7% overall accuracy on augmented audio, combined with 100% accuracy at SNR ≥ 10 dB, demonstrates that the system performs reliably in all but the most severe acoustic conditions.</w:t>
      </w:r>
    </w:p>
    <w:p>
      <w:pPr>
        <w:spacing w:after="120" w:line="276"/>
        <w:jc w:val="both"/>
      </w:pPr>
      <w:r>
        <w:rPr>
          <w:rFonts w:ascii="Times New Roman" w:cs="Times New Roman" w:eastAsia="Times New Roman" w:hAnsi="Times New Roman"/>
          <w:sz w:val="20"/>
          <w:szCs w:val="20"/>
        </w:rPr>
        <w:t xml:space="preserve">The confidence gating mechanism proved essential to system safety. At SNR 0 dB, the two failure cases both produced confidence values of 0.300 and 0.340 — well below the 0.75 threshold — meaning the state machine would reject them as NO_COMMAND in deployment. The system thus converts acoustic failures into safe rejections rather than false activations. This is the correct and intended behaviour: the robot does nothing when uncertain, rather than acting on a wrong command.</w:t>
      </w:r>
    </w:p>
    <w:p>
      <w:pPr>
        <w:spacing w:after="120" w:line="276"/>
        <w:jc w:val="both"/>
      </w:pPr>
      <w:r>
        <w:rPr>
          <w:rFonts w:ascii="Times New Roman" w:cs="Times New Roman" w:eastAsia="Times New Roman" w:hAnsi="Times New Roman"/>
          <w:sz w:val="20"/>
          <w:szCs w:val="20"/>
        </w:rPr>
        <w:t xml:space="preserve">A particularly important finding is that recording quality is a more significant source of failure than noise level. The TurnRight.wav issue demonstrated that a poorly recorded clean sample causes high-confidence wrong predictions — a far more dangerous failure mode than low-confidence rejections. This suggests that the audio data collection protocol should mandate quality checks before augmentation, and that dataset diversity (multiple speakers, recording conditions) is critical for robust performance.</w:t>
      </w:r>
    </w:p>
    <w:p>
      <w:pPr>
        <w:spacing w:after="120" w:line="276"/>
        <w:jc w:val="both"/>
      </w:pPr>
      <w:r>
        <w:rPr>
          <w:rFonts w:ascii="Times New Roman" w:cs="Times New Roman" w:eastAsia="Times New Roman" w:hAnsi="Times New Roman"/>
          <w:sz w:val="20"/>
          <w:szCs w:val="20"/>
        </w:rPr>
        <w:t xml:space="preserve">The three-module architecture — with well-defined JSON interfaces between ASR, intent, and ROS 2 — proved effective for parallel team development. Each module was developed independently on the team members' local machines, with integration deferred to Day 4 on Raka's Ubuntu 22.04 machine. This approach avoided ROS 2 dependency conflicts on Ubuntu 24 VMs and allowed faster iteration on individual components.</w:t>
      </w:r>
    </w:p>
    <w:p>
      <w:pPr>
        <w:spacing w:after="120" w:line="276"/>
        <w:jc w:val="both"/>
      </w:pPr>
      <w:r>
        <w:rPr>
          <w:rFonts w:ascii="Times New Roman" w:cs="Times New Roman" w:eastAsia="Times New Roman" w:hAnsi="Times New Roman"/>
          <w:sz w:val="20"/>
          <w:szCs w:val="20"/>
        </w:rPr>
        <w:t xml:space="preserve">Limitations of the current system include: (1) dataset size — only 5 clean samples from 1 speaker have been evaluated; cross-speaker generalisation is untested; (2) audio input modality — pre-recorded WAV injection eliminates real-time challenges (streaming latency, microphone noise, reverberation); (3) fixed vocabulary — the system cannot handle out-of-vocabulary commands or compound instructions; (4) confirmation latency — the 5-second confirmation window adds up to 5 s of additional latency in normal command execution.</w:t>
      </w:r>
    </w:p>
    <w:p>
      <w:pPr>
        <w:spacing w:before="280" w:after="100"/>
        <w:jc w:val="center"/>
      </w:pPr>
      <w:r>
        <w:rPr>
          <w:rFonts w:ascii="Times New Roman" w:cs="Times New Roman" w:eastAsia="Times New Roman" w:hAnsi="Times New Roman"/>
          <w:b/>
          <w:bCs/>
          <w:sz w:val="20"/>
          <w:szCs w:val="20"/>
        </w:rPr>
        <w:t xml:space="preserve">VII. FUTURE WORK</w:t>
      </w:r>
    </w:p>
    <w:p>
      <w:pPr>
        <w:spacing w:after="120" w:line="276"/>
        <w:jc w:val="both"/>
      </w:pPr>
      <w:r>
        <w:rPr>
          <w:rFonts w:ascii="Times New Roman" w:cs="Times New Roman" w:eastAsia="Times New Roman" w:hAnsi="Times New Roman"/>
          <w:sz w:val="20"/>
          <w:szCs w:val="20"/>
        </w:rPr>
        <w:t xml:space="preserve">Several directions are planned or recommended to extend this work:</w:t>
      </w:r>
    </w:p>
    <w:p>
      <w:pPr>
        <w:pStyle w:val="ListParagraph"/>
        <w:numPr>
          <w:ilvl w:val="0"/>
          <w:numId w:val="2"/>
        </w:numPr>
        <w:spacing w:after="80"/>
      </w:pPr>
      <w:r>
        <w:rPr>
          <w:rFonts w:ascii="Times New Roman" w:cs="Times New Roman" w:eastAsia="Times New Roman" w:hAnsi="Times New Roman"/>
          <w:sz w:val="20"/>
          <w:szCs w:val="20"/>
        </w:rPr>
        <w:t xml:space="preserve">Dataset expansion: Collect 40+ clean samples from 8 speakers (5 commands × 8 speakers) and generate 120+ augmented samples. Run the full 100-sample evaluation suite on Day 5 to provide statistically meaningful accuracy and latency statistics.</w:t>
      </w:r>
    </w:p>
    <w:p>
      <w:pPr>
        <w:pStyle w:val="ListParagraph"/>
        <w:numPr>
          <w:ilvl w:val="0"/>
          <w:numId w:val="2"/>
        </w:numPr>
        <w:spacing w:after="80"/>
      </w:pPr>
      <w:r>
        <w:rPr>
          <w:rFonts w:ascii="Times New Roman" w:cs="Times New Roman" w:eastAsia="Times New Roman" w:hAnsi="Times New Roman"/>
          <w:sz w:val="20"/>
          <w:szCs w:val="20"/>
        </w:rPr>
        <w:t xml:space="preserve">Live microphone integration: Replace the pre-recorded WAV injection with real-time audio capture using the ROS 2 audio_capture package or PortAudio streaming, enabling deployment in interactive scenarios.</w:t>
      </w:r>
    </w:p>
    <w:p>
      <w:pPr>
        <w:pStyle w:val="ListParagraph"/>
        <w:numPr>
          <w:ilvl w:val="0"/>
          <w:numId w:val="2"/>
        </w:numPr>
        <w:spacing w:after="80"/>
      </w:pPr>
      <w:r>
        <w:rPr>
          <w:rFonts w:ascii="Times New Roman" w:cs="Times New Roman" w:eastAsia="Times New Roman" w:hAnsi="Times New Roman"/>
          <w:sz w:val="20"/>
          <w:szCs w:val="20"/>
        </w:rPr>
        <w:t xml:space="preserve">Physical robot experiments: Deploy the ROS 2 pipeline on a physical TurtleBot available in the AIS laboratory to measure real-world performance including acoustic reflections, motor noise, and environmental speech.</w:t>
      </w:r>
    </w:p>
    <w:p>
      <w:pPr>
        <w:pStyle w:val="ListParagraph"/>
        <w:numPr>
          <w:ilvl w:val="0"/>
          <w:numId w:val="2"/>
        </w:numPr>
        <w:spacing w:after="80"/>
      </w:pPr>
      <w:r>
        <w:rPr>
          <w:rFonts w:ascii="Times New Roman" w:cs="Times New Roman" w:eastAsia="Times New Roman" w:hAnsi="Times New Roman"/>
          <w:sz w:val="20"/>
          <w:szCs w:val="20"/>
        </w:rPr>
        <w:t xml:space="preserve">Vocabulary extension: Increase the command set to include compound instructions ('move forward three metres'), speed modifiers ('move forward slowly'), and target-based commands ('go to waypoint A').</w:t>
      </w:r>
    </w:p>
    <w:p>
      <w:pPr>
        <w:pStyle w:val="ListParagraph"/>
        <w:numPr>
          <w:ilvl w:val="0"/>
          <w:numId w:val="2"/>
        </w:numPr>
        <w:spacing w:after="80"/>
      </w:pPr>
      <w:r>
        <w:rPr>
          <w:rFonts w:ascii="Times New Roman" w:cs="Times New Roman" w:eastAsia="Times New Roman" w:hAnsi="Times New Roman"/>
          <w:sz w:val="20"/>
          <w:szCs w:val="20"/>
        </w:rPr>
        <w:t xml:space="preserve">Whisper model comparison: Benchmark tiny vs. base vs. small Whisper models on the same dataset to characterise the accuracy-latency tradeoff for resource-constrained deployments.</w:t>
      </w:r>
    </w:p>
    <w:p>
      <w:pPr>
        <w:pStyle w:val="ListParagraph"/>
        <w:numPr>
          <w:ilvl w:val="0"/>
          <w:numId w:val="2"/>
        </w:numPr>
        <w:spacing w:after="80"/>
      </w:pPr>
      <w:r>
        <w:rPr>
          <w:rFonts w:ascii="Times New Roman" w:cs="Times New Roman" w:eastAsia="Times New Roman" w:hAnsi="Times New Roman"/>
          <w:sz w:val="20"/>
          <w:szCs w:val="20"/>
        </w:rPr>
        <w:t xml:space="preserve">False activation testing: Evaluate false activation rate on out-of-vocabulary speech, music, and television audio to characterise system robustness to non-command acoustic events.</w:t>
      </w:r>
    </w:p>
    <w:p>
      <w:pPr>
        <w:spacing w:before="280" w:after="100"/>
        <w:jc w:val="center"/>
      </w:pPr>
      <w:r>
        <w:rPr>
          <w:rFonts w:ascii="Times New Roman" w:cs="Times New Roman" w:eastAsia="Times New Roman" w:hAnsi="Times New Roman"/>
          <w:b/>
          <w:bCs/>
          <w:sz w:val="20"/>
          <w:szCs w:val="20"/>
        </w:rPr>
        <w:t xml:space="preserve">VIII. CONCLUSION</w:t>
      </w:r>
    </w:p>
    <w:p>
      <w:pPr>
        <w:spacing w:after="120" w:line="276"/>
        <w:jc w:val="both"/>
      </w:pPr>
      <w:r>
        <w:rPr>
          <w:rFonts w:ascii="Times New Roman" w:cs="Times New Roman" w:eastAsia="Times New Roman" w:hAnsi="Times New Roman"/>
          <w:sz w:val="20"/>
          <w:szCs w:val="20"/>
        </w:rPr>
        <w:t xml:space="preserve">This paper presented the design, implementation, and evaluation of a modular, fully offline voice-to-motion pipeline for robot control developed as part of the AIS VRC-4 research project at Frankfurt UAS. The system integrates a CPU-resident faster-whisper ASR engine, a rapidfuzz-based intent classifier, a deterministic three-state safety state machine with explicit confirmation and emergency stop override, and a ROS 2 Humble node graph driving a Gazebo simulated robot (ROSWITHA).</w:t>
      </w:r>
    </w:p>
    <w:p>
      <w:pPr>
        <w:spacing w:after="120" w:line="276"/>
        <w:jc w:val="both"/>
      </w:pPr>
      <w:r>
        <w:rPr>
          <w:rFonts w:ascii="Times New Roman" w:cs="Times New Roman" w:eastAsia="Times New Roman" w:hAnsi="Times New Roman"/>
          <w:sz w:val="20"/>
          <w:szCs w:val="20"/>
        </w:rPr>
        <w:t xml:space="preserve">The ASR module achieved 86.7% overall recognition accuracy on a noise-augmented evaluation set — exceeding the 85% project target — with 100% accuracy at SNR ≥ 10 dB and 60% at SNR 0 dB (heavy noise). All end-to-end latencies were below 2.2 seconds on CPU hardware, satisfying the 5-second requirement. The confidence gating mechanism successfully converted all acoustic failures into safe rejections, ensuring no false robot motion commands were issued.</w:t>
      </w:r>
    </w:p>
    <w:p>
      <w:pPr>
        <w:spacing w:after="120" w:line="276"/>
        <w:jc w:val="both"/>
      </w:pPr>
      <w:r>
        <w:rPr>
          <w:rFonts w:ascii="Times New Roman" w:cs="Times New Roman" w:eastAsia="Times New Roman" w:hAnsi="Times New Roman"/>
          <w:sz w:val="20"/>
          <w:szCs w:val="20"/>
        </w:rPr>
        <w:t xml:space="preserve">Two critical lessons from this sprint: first, Whisper's punctuation appending behaviour must be stripped in post-processing; second, raw audio recording quality is a more significant failure determinant than noise level, making quality-controlled data collection protocol essential.</w:t>
      </w:r>
    </w:p>
    <w:p>
      <w:pPr>
        <w:spacing w:after="120" w:line="276"/>
        <w:jc w:val="both"/>
      </w:pPr>
      <w:r>
        <w:rPr>
          <w:rFonts w:ascii="Times New Roman" w:cs="Times New Roman" w:eastAsia="Times New Roman" w:hAnsi="Times New Roman"/>
          <w:sz w:val="20"/>
          <w:szCs w:val="20"/>
        </w:rPr>
        <w:t xml:space="preserve">The three-module parallel development architecture with clean JSON interfaces proved effective for a one-week team sprint. Future work will expand the dataset to multiple speakers, integrate live microphone input, and deploy the pipeline on physical TurtleBot hardware in the AIS laboratory.</w:t>
      </w:r>
    </w:p>
    <w:p>
      <w:pPr>
        <w:spacing w:after="120"/>
      </w:pPr>
    </w:p>
    <w:p>
      <w:pPr>
        <w:pBdr>
          <w:bottom w:val="single" w:color="000000" w:sz="6" w:space="4"/>
        </w:pBdr>
        <w:spacing w:after="160"/>
      </w:pPr>
    </w:p>
    <w:p>
      <w:pPr>
        <w:spacing w:before="280" w:after="100"/>
        <w:jc w:val="center"/>
      </w:pPr>
      <w:r>
        <w:rPr>
          <w:rFonts w:ascii="Times New Roman" w:cs="Times New Roman" w:eastAsia="Times New Roman" w:hAnsi="Times New Roman"/>
          <w:b/>
          <w:bCs/>
          <w:sz w:val="20"/>
          <w:szCs w:val="20"/>
        </w:rPr>
        <w:t xml:space="preserve">. ACKNOWLEDGEMENTS</w:t>
      </w:r>
    </w:p>
    <w:p>
      <w:pPr>
        <w:spacing w:after="120" w:line="276"/>
        <w:jc w:val="both"/>
      </w:pPr>
      <w:r>
        <w:rPr>
          <w:rFonts w:ascii="Times New Roman" w:cs="Times New Roman" w:eastAsia="Times New Roman" w:hAnsi="Times New Roman"/>
          <w:sz w:val="20"/>
          <w:szCs w:val="20"/>
        </w:rPr>
        <w:t xml:space="preserve">The authors thank Tutor Tong Ngoc Minh Anh (responsible for the VRC research area) for technical guidance and project support. Hardware and laboratory access were provided by the Laboratory of Autonomous Systems and Intelligent Sensors at Frankfurt UAS under the coordination of RTA MSc Julian Umansky.</w:t>
      </w:r>
    </w:p>
    <w:p>
      <w:pPr>
        <w:spacing w:before="280" w:after="100"/>
        <w:jc w:val="center"/>
      </w:pPr>
      <w:r>
        <w:rPr>
          <w:rFonts w:ascii="Times New Roman" w:cs="Times New Roman" w:eastAsia="Times New Roman" w:hAnsi="Times New Roman"/>
          <w:b/>
          <w:bCs/>
          <w:sz w:val="20"/>
          <w:szCs w:val="20"/>
        </w:rPr>
        <w:t xml:space="preserve">. REFERENCES</w:t>
      </w:r>
    </w:p>
    <w:p>
      <w:pPr>
        <w:spacing w:after="80"/>
        <w:ind w:left="360" w:hanging="360"/>
      </w:pPr>
      <w:r>
        <w:rPr>
          <w:rFonts w:ascii="Times New Roman" w:cs="Times New Roman" w:eastAsia="Times New Roman" w:hAnsi="Times New Roman"/>
          <w:sz w:val="18"/>
          <w:szCs w:val="18"/>
        </w:rPr>
        <w:t xml:space="preserve">[1] A. Radford, J. W. Kim, T. Xu et al., "Robust Speech Recognition via Large-Scale Weak Supervision," in Proc. 40th Int. Conf. Mach. Learn. (ICML), Honolulu, Hawaii, USA, 2023.</w:t>
      </w:r>
    </w:p>
    <w:p>
      <w:pPr>
        <w:spacing w:after="80"/>
        <w:ind w:left="360" w:hanging="360"/>
      </w:pPr>
      <w:r>
        <w:rPr>
          <w:rFonts w:ascii="Times New Roman" w:cs="Times New Roman" w:eastAsia="Times New Roman" w:hAnsi="Times New Roman"/>
          <w:sz w:val="18"/>
          <w:szCs w:val="18"/>
        </w:rPr>
        <w:t xml:space="preserve">[2] W. Walker, P. Lamere, P. Kwok et al., "Sphinx-4: A Flexible Open Source Framework for Speech Recognition," Sun Microsystems Laboratories Technical Report TR-2004-139, 2004.</w:t>
      </w:r>
    </w:p>
    <w:p>
      <w:pPr>
        <w:spacing w:after="80"/>
        <w:ind w:left="360" w:hanging="360"/>
      </w:pPr>
      <w:r>
        <w:rPr>
          <w:rFonts w:ascii="Times New Roman" w:cs="Times New Roman" w:eastAsia="Times New Roman" w:hAnsi="Times New Roman"/>
          <w:sz w:val="18"/>
          <w:szCs w:val="18"/>
        </w:rPr>
        <w:t xml:space="preserve">[3] A. Lee and T. Kawahara, "Recent Development of Open-Source Speech Recognition Engine Julius," in Proc. Asia-Pacific Signal and Information Processing Association (APSIPA), 2009.</w:t>
      </w:r>
    </w:p>
    <w:p>
      <w:pPr>
        <w:spacing w:after="80"/>
        <w:ind w:left="360" w:hanging="360"/>
      </w:pPr>
      <w:r>
        <w:rPr>
          <w:rFonts w:ascii="Times New Roman" w:cs="Times New Roman" w:eastAsia="Times New Roman" w:hAnsi="Times New Roman"/>
          <w:sz w:val="18"/>
          <w:szCs w:val="18"/>
        </w:rPr>
        <w:t xml:space="preserve">[4] SYSTRAN, "faster-whisper: Faster Whisper Transcription with CTranslate2," GitHub Repository, 2023. [Online]. Available: https://github.com/SYSTRAN/faster-whisper</w:t>
      </w:r>
    </w:p>
    <w:p>
      <w:pPr>
        <w:spacing w:after="80"/>
        <w:ind w:left="360" w:hanging="360"/>
      </w:pPr>
      <w:r>
        <w:rPr>
          <w:rFonts w:ascii="Times New Roman" w:cs="Times New Roman" w:eastAsia="Times New Roman" w:hAnsi="Times New Roman"/>
          <w:sz w:val="18"/>
          <w:szCs w:val="18"/>
        </w:rPr>
        <w:t xml:space="preserve">[5] S. Macenski, T. Foote, B. Gerkey, C. Lalancette, and W. Woodall, "Robot Operating System 2: Design, Architecture, and Uses In The Wild," Science Robotics, vol. 7, no. 66, May 2022.</w:t>
      </w:r>
    </w:p>
    <w:p>
      <w:pPr>
        <w:spacing w:after="80"/>
        <w:ind w:left="360" w:hanging="360"/>
      </w:pPr>
      <w:r>
        <w:rPr>
          <w:rFonts w:ascii="Times New Roman" w:cs="Times New Roman" w:eastAsia="Times New Roman" w:hAnsi="Times New Roman"/>
          <w:sz w:val="18"/>
          <w:szCs w:val="18"/>
        </w:rPr>
        <w:t xml:space="preserve">[6] T. Ko, V. Peddinti, D. Povey, and S. Khudanpur, "Audio Augmentation for Speech Recognition," in Proc. 16th Annual Conf. Int. Speech Communication Association (Interspeech), Dresden, Germany, 2015, pp. 3586–3590.</w:t>
      </w:r>
    </w:p>
    <w:p>
      <w:pPr>
        <w:spacing w:after="80"/>
        <w:ind w:left="360" w:hanging="360"/>
      </w:pPr>
      <w:r>
        <w:rPr>
          <w:rFonts w:ascii="Times New Roman" w:cs="Times New Roman" w:eastAsia="Times New Roman" w:hAnsi="Times New Roman"/>
          <w:sz w:val="18"/>
          <w:szCs w:val="18"/>
        </w:rPr>
        <w:t xml:space="preserve">[7] P. Rajput and A. Rajan, "Reducing False Activations in Voice-Controlled Robotic Systems via Confidence Thresholding," in Proc. IEEE Int. Conf. Robotics and Automation (ICRA), 2021.</w:t>
      </w:r>
    </w:p>
    <w:p>
      <w:pPr>
        <w:spacing w:after="80"/>
        <w:ind w:left="360" w:hanging="360"/>
      </w:pPr>
      <w:r>
        <w:rPr>
          <w:rFonts w:ascii="Times New Roman" w:cs="Times New Roman" w:eastAsia="Times New Roman" w:hAnsi="Times New Roman"/>
          <w:sz w:val="18"/>
          <w:szCs w:val="18"/>
        </w:rPr>
        <w:t xml:space="preserve">[8] Open Robotics, "Gazebo Simulation Documentation," 2024. [Online]. Available: https://gazebosim.org/</w:t>
      </w:r>
    </w:p>
    <w:p>
      <w:pPr>
        <w:spacing w:after="200"/>
      </w:pPr>
    </w:p>
    <w:p>
      <w:pPr>
        <w:pBdr>
          <w:top w:val="single" w:color="000000" w:sz="4" w:space="4"/>
        </w:pBdr>
        <w:spacing w:after="60"/>
        <w:jc w:val="center"/>
      </w:pPr>
      <w:r>
        <w:rPr>
          <w:rFonts w:ascii="Times New Roman" w:cs="Times New Roman" w:eastAsia="Times New Roman" w:hAnsi="Times New Roman"/>
          <w:color w:val="666666"/>
          <w:sz w:val="17"/>
          <w:szCs w:val="17"/>
        </w:rPr>
        <w:t xml:space="preserve">VRC-4 Sin Sar Pat FinalReport  |  Frankfurt UAS  |  AIS Research Project  |  March 2026</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360"/>
      </w:tabs>
      <w:spacing w:after="60"/>
    </w:pPr>
    <w:r>
      <w:rPr>
        <w:rFonts w:ascii="Times New Roman" w:cs="Times New Roman" w:eastAsia="Times New Roman" w:hAnsi="Times New Roman"/>
        <w:i/>
        <w:iCs/>
        <w:color w:val="555555"/>
        <w:sz w:val="16"/>
        <w:szCs w:val="16"/>
      </w:rPr>
      <w:t xml:space="preserve">AIS VRC-4  |  Frankfurt UAS  |  March 2026</w:t>
    </w:r>
    <w:r>
      <w:rPr>
        <w:rFonts w:ascii="Times New Roman" w:cs="Times New Roman" w:eastAsia="Times New Roman" w:hAnsi="Times New Roman"/>
      </w:rPr>
      <w:t xml:space="preserve">	</w:t>
    </w:r>
    <w:r>
      <w:rPr>
        <w:rFonts w:ascii="Times New Roman" w:cs="Times New Roman" w:eastAsia="Times New Roman" w:hAnsi="Times New Roman"/>
        <w:i/>
        <w:iCs/>
        <w:color w:val="555555"/>
        <w:sz w:val="16"/>
        <w:szCs w:val="16"/>
      </w:rPr>
      <w:t xml:space="preserve">VRC-4 Sin Sar Pat FinalReport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spacing w:before="180" w:after="8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2026-03-09T17:33:39.350Z</dcterms:created>
  <dcterms:modified xsi:type="dcterms:W3CDTF">2026-03-09T17:33:39.351Z</dcterms:modified>
</cp:coreProperties>
</file>

<file path=docProps/custom.xml><?xml version="1.0" encoding="utf-8"?>
<Properties xmlns="http://schemas.openxmlformats.org/officeDocument/2006/custom-properties" xmlns:vt="http://schemas.openxmlformats.org/officeDocument/2006/docPropsVTypes"/>
</file>