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July 01, 2026</w:t>
      </w:r>
    </w:p>
    <w:p/>
    <w:p>
      <w:pPr>
        <w:pStyle w:val="Heading1"/>
      </w:pPr>
      <w:r>
        <w:t>Executive Summary</w:t>
      </w:r>
    </w:p>
    <w:p>
      <w:r>
        <w:t>This week's FMCG deal intelligence report covers 1 significant transactions across the consumer goods sector. Deal activity includes 1 M&amp;A.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Danone → Made</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95.6</w:t>
            </w:r>
          </w:p>
        </w:tc>
      </w:tr>
    </w:tbl>
    <w:p/>
    <w:p>
      <w:pPr>
        <w:pStyle w:val="Heading1"/>
      </w:pPr>
      <w:r>
        <w:t>Deal Details</w:t>
      </w:r>
    </w:p>
    <w:p>
      <w:pPr>
        <w:pStyle w:val="Heading2"/>
      </w:pPr>
      <w:r>
        <w:t>Mergers &amp; Acquisitions (1)</w:t>
      </w:r>
    </w:p>
    <w:p>
      <w:r>
        <w:rPr>
          <w:b/>
          <w:sz w:val="20"/>
        </w:rPr>
        <w:t>● Danone to tap protein demand in Asia by buying Australia's Made - Reuters</w:t>
      </w:r>
    </w:p>
    <w:p>
      <w:r>
        <w:rPr>
          <w:color w:val="555555"/>
          <w:sz w:val="18"/>
        </w:rPr>
        <w:t xml:space="preserve">  Buyer: Danone | Target: Made | Source: Reuters</w:t>
      </w:r>
    </w:p>
    <w:p>
      <w:r>
        <w:rPr>
          <w:sz w:val="18"/>
        </w:rPr>
        <w:t xml:space="preserve">  Danone to tap protein demand in Asia by buying Australia's Made Reuters</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