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color w:val="1A478A"/>
        </w:rPr>
        <w:t>FMCG Deal Intelligence Weekly</w:t>
      </w:r>
    </w:p>
    <w:p>
      <w:pPr>
        <w:jc w:val="center"/>
      </w:pPr>
      <w:r>
        <w:rPr>
          <w:color w:val="666666"/>
          <w:sz w:val="24"/>
        </w:rPr>
        <w:t>M&amp;A, Investments &amp; Strategic Moves in Consumer Goods</w:t>
      </w:r>
    </w:p>
    <w:p>
      <w:pPr>
        <w:jc w:val="center"/>
      </w:pPr>
      <w:r>
        <w:rPr>
          <w:color w:val="999999"/>
          <w:sz w:val="20"/>
        </w:rPr>
        <w:t>Report Date: March 26, 2026</w:t>
      </w:r>
    </w:p>
    <w:p/>
    <w:p>
      <w:pPr>
        <w:pStyle w:val="Heading1"/>
      </w:pPr>
      <w:r>
        <w:t>Executive Summary</w:t>
      </w:r>
    </w:p>
    <w:p>
      <w:r>
        <w:t>This week's FMCG deal intelligence report covers 4 significant transactions across the consumer goods sector. Deal activity includes 4 M&amp;As. The most active region is . All deals have been verified against credible business news sources and scored for relevance to the FMCG sector.</w:t>
      </w:r>
    </w:p>
    <w:p>
      <w:pPr>
        <w:pStyle w:val="Heading1"/>
      </w:pPr>
      <w:r>
        <w:t>Top Deals at a Glance</w:t>
      </w:r>
    </w:p>
    <w:tbl>
      <w:tblPr>
        <w:tblStyle w:val="LightGrid-Accent1"/>
        <w:tblW w:type="auto" w:w="0"/>
        <w:jc w:val="center"/>
        <w:tblLook w:firstColumn="1" w:firstRow="1" w:lastColumn="0" w:lastRow="0" w:noHBand="0" w:noVBand="1" w:val="04A0"/>
      </w:tblPr>
      <w:tblGrid>
        <w:gridCol w:w="1881"/>
        <w:gridCol w:w="1881"/>
        <w:gridCol w:w="1881"/>
        <w:gridCol w:w="1881"/>
        <w:gridCol w:w="1881"/>
      </w:tblGrid>
      <w:tr>
        <w:tc>
          <w:tcPr>
            <w:tcW w:type="dxa" w:w="1881"/>
          </w:tcPr>
          <w:p>
            <w:r>
              <w:rPr>
                <w:b/>
                <w:sz w:val="18"/>
              </w:rPr>
              <w:t>Deal</w:t>
            </w:r>
          </w:p>
        </w:tc>
        <w:tc>
          <w:tcPr>
            <w:tcW w:type="dxa" w:w="1881"/>
          </w:tcPr>
          <w:p>
            <w:r>
              <w:rPr>
                <w:b/>
                <w:sz w:val="18"/>
              </w:rPr>
              <w:t>Type</w:t>
            </w:r>
          </w:p>
        </w:tc>
        <w:tc>
          <w:tcPr>
            <w:tcW w:type="dxa" w:w="1881"/>
          </w:tcPr>
          <w:p>
            <w:r>
              <w:rPr>
                <w:b/>
                <w:sz w:val="18"/>
              </w:rPr>
              <w:t>Value</w:t>
            </w:r>
          </w:p>
        </w:tc>
        <w:tc>
          <w:tcPr>
            <w:tcW w:type="dxa" w:w="1881"/>
          </w:tcPr>
          <w:p>
            <w:r>
              <w:rPr>
                <w:b/>
                <w:sz w:val="18"/>
              </w:rPr>
              <w:t>Region</w:t>
            </w:r>
          </w:p>
        </w:tc>
        <w:tc>
          <w:tcPr>
            <w:tcW w:type="dxa" w:w="1881"/>
          </w:tcPr>
          <w:p>
            <w:r>
              <w:rPr>
                <w:b/>
                <w:sz w:val="18"/>
              </w:rPr>
              <w:t>Score</w:t>
            </w:r>
          </w:p>
        </w:tc>
      </w:tr>
      <w:tr>
        <w:tc>
          <w:tcPr>
            <w:tcW w:type="dxa" w:w="1881"/>
          </w:tcPr>
          <w:p>
            <w:r>
              <w:rPr>
                <w:sz w:val="18"/>
              </w:rPr>
              <w:t>Henkel → Olaplex</w:t>
            </w:r>
          </w:p>
        </w:tc>
        <w:tc>
          <w:tcPr>
            <w:tcW w:type="dxa" w:w="1881"/>
          </w:tcPr>
          <w:p>
            <w:r>
              <w:rPr>
                <w:sz w:val="18"/>
              </w:rPr>
              <w:t>M&amp;A</w:t>
            </w:r>
          </w:p>
        </w:tc>
        <w:tc>
          <w:tcPr>
            <w:tcW w:type="dxa" w:w="1881"/>
          </w:tcPr>
          <w:p>
            <w:r>
              <w:rPr>
                <w:sz w:val="18"/>
              </w:rPr>
              <w:t>$1.4 billion</w:t>
            </w:r>
          </w:p>
        </w:tc>
        <w:tc>
          <w:tcPr>
            <w:tcW w:type="dxa" w:w="1881"/>
          </w:tcPr>
          <w:p>
            <w:r>
              <w:rPr>
                <w:sz w:val="18"/>
              </w:rPr>
            </w:r>
          </w:p>
        </w:tc>
        <w:tc>
          <w:tcPr>
            <w:tcW w:type="dxa" w:w="1881"/>
          </w:tcPr>
          <w:p>
            <w:r>
              <w:rPr>
                <w:sz w:val="18"/>
              </w:rPr>
              <w:t>97.4</w:t>
            </w:r>
          </w:p>
        </w:tc>
      </w:tr>
      <w:tr>
        <w:tc>
          <w:tcPr>
            <w:tcW w:type="dxa" w:w="1881"/>
          </w:tcPr>
          <w:p>
            <w:r>
              <w:rPr>
                <w:sz w:val="18"/>
              </w:rPr>
              <w:t>Danone → Huel</w:t>
            </w:r>
          </w:p>
        </w:tc>
        <w:tc>
          <w:tcPr>
            <w:tcW w:type="dxa" w:w="1881"/>
          </w:tcPr>
          <w:p>
            <w:r>
              <w:rPr>
                <w:sz w:val="18"/>
              </w:rPr>
              <w:t>M&amp;A</w:t>
            </w:r>
          </w:p>
        </w:tc>
        <w:tc>
          <w:tcPr>
            <w:tcW w:type="dxa" w:w="1881"/>
          </w:tcPr>
          <w:p>
            <w:r>
              <w:rPr>
                <w:sz w:val="18"/>
              </w:rPr>
              <w:t>$1.6bn</w:t>
            </w:r>
          </w:p>
        </w:tc>
        <w:tc>
          <w:tcPr>
            <w:tcW w:type="dxa" w:w="1881"/>
          </w:tcPr>
          <w:p>
            <w:r>
              <w:rPr>
                <w:sz w:val="18"/>
              </w:rPr>
            </w:r>
          </w:p>
        </w:tc>
        <w:tc>
          <w:tcPr>
            <w:tcW w:type="dxa" w:w="1881"/>
          </w:tcPr>
          <w:p>
            <w:r>
              <w:rPr>
                <w:sz w:val="18"/>
              </w:rPr>
              <w:t>75.4</w:t>
            </w:r>
          </w:p>
        </w:tc>
      </w:tr>
      <w:tr>
        <w:tc>
          <w:tcPr>
            <w:tcW w:type="dxa" w:w="1881"/>
          </w:tcPr>
          <w:p>
            <w:r>
              <w:rPr>
                <w:sz w:val="18"/>
              </w:rPr>
              <w:t>FMCG stock jumps after NCLT approves merger with M</w:t>
            </w:r>
          </w:p>
        </w:tc>
        <w:tc>
          <w:tcPr>
            <w:tcW w:type="dxa" w:w="1881"/>
          </w:tcPr>
          <w:p>
            <w:r>
              <w:rPr>
                <w:sz w:val="18"/>
              </w:rPr>
              <w:t>M&amp;A</w:t>
            </w:r>
          </w:p>
        </w:tc>
        <w:tc>
          <w:tcPr>
            <w:tcW w:type="dxa" w:w="1881"/>
          </w:tcPr>
          <w:p>
            <w:r>
              <w:rPr>
                <w:sz w:val="18"/>
              </w:rPr>
            </w:r>
          </w:p>
        </w:tc>
        <w:tc>
          <w:tcPr>
            <w:tcW w:type="dxa" w:w="1881"/>
          </w:tcPr>
          <w:p>
            <w:r>
              <w:rPr>
                <w:sz w:val="18"/>
              </w:rPr>
            </w:r>
          </w:p>
        </w:tc>
        <w:tc>
          <w:tcPr>
            <w:tcW w:type="dxa" w:w="1881"/>
          </w:tcPr>
          <w:p>
            <w:r>
              <w:rPr>
                <w:sz w:val="18"/>
              </w:rPr>
              <w:t>68.8</w:t>
            </w:r>
          </w:p>
        </w:tc>
      </w:tr>
      <w:tr>
        <w:tc>
          <w:tcPr>
            <w:tcW w:type="dxa" w:w="1881"/>
          </w:tcPr>
          <w:p>
            <w:r>
              <w:rPr>
                <w:sz w:val="18"/>
              </w:rPr>
              <w:t>Henkel AG &amp; Co. KGaA → Olaplex</w:t>
            </w:r>
          </w:p>
        </w:tc>
        <w:tc>
          <w:tcPr>
            <w:tcW w:type="dxa" w:w="1881"/>
          </w:tcPr>
          <w:p>
            <w:r>
              <w:rPr>
                <w:sz w:val="18"/>
              </w:rPr>
              <w:t>M&amp;A</w:t>
            </w:r>
          </w:p>
        </w:tc>
        <w:tc>
          <w:tcPr>
            <w:tcW w:type="dxa" w:w="1881"/>
          </w:tcPr>
          <w:p>
            <w:r>
              <w:rPr>
                <w:sz w:val="18"/>
              </w:rPr>
            </w:r>
          </w:p>
        </w:tc>
        <w:tc>
          <w:tcPr>
            <w:tcW w:type="dxa" w:w="1881"/>
          </w:tcPr>
          <w:p>
            <w:r>
              <w:rPr>
                <w:sz w:val="18"/>
              </w:rPr>
            </w:r>
          </w:p>
        </w:tc>
        <w:tc>
          <w:tcPr>
            <w:tcW w:type="dxa" w:w="1881"/>
          </w:tcPr>
          <w:p>
            <w:r>
              <w:rPr>
                <w:sz w:val="18"/>
              </w:rPr>
              <w:t>59.2</w:t>
            </w:r>
          </w:p>
        </w:tc>
      </w:tr>
    </w:tbl>
    <w:p/>
    <w:p>
      <w:pPr>
        <w:pStyle w:val="Heading1"/>
      </w:pPr>
      <w:r>
        <w:t>Deal Details</w:t>
      </w:r>
    </w:p>
    <w:p>
      <w:pPr>
        <w:pStyle w:val="Heading2"/>
      </w:pPr>
      <w:r>
        <w:t>Mergers &amp; Acquisitions (4)</w:t>
      </w:r>
    </w:p>
    <w:p>
      <w:r>
        <w:rPr>
          <w:b/>
          <w:sz w:val="20"/>
        </w:rPr>
        <w:t>● Germany's Henkel in $1.4 billion deal to acquire hair care brand Olaplex - Reuters</w:t>
      </w:r>
    </w:p>
    <w:p>
      <w:r>
        <w:rPr>
          <w:color w:val="555555"/>
          <w:sz w:val="18"/>
        </w:rPr>
        <w:t xml:space="preserve">  Value: $1.4 billion | Buyer: Henkel | Target: Olaplex | Source: Reuters</w:t>
      </w:r>
    </w:p>
    <w:p>
      <w:r>
        <w:rPr>
          <w:sz w:val="18"/>
        </w:rPr>
        <w:t xml:space="preserve">  Germany's Henkel in $1.4 billion deal to acquire hair care brand Olaplex Reuters</w:t>
      </w:r>
    </w:p>
    <w:p>
      <w:r>
        <w:rPr>
          <w:b/>
          <w:sz w:val="20"/>
        </w:rPr>
        <w:t>● Danone announces $1.6bn acquisition of nutrition drink Huel - Inside FMCG</w:t>
      </w:r>
    </w:p>
    <w:p>
      <w:r>
        <w:rPr>
          <w:color w:val="555555"/>
          <w:sz w:val="18"/>
        </w:rPr>
        <w:t xml:space="preserve">  Value: $1.6bn | Buyer: Danone | Target: Huel | Source: Inside FMCG</w:t>
      </w:r>
    </w:p>
    <w:p>
      <w:r>
        <w:rPr>
          <w:sz w:val="18"/>
        </w:rPr>
        <w:t xml:space="preserve">  Danone announces $1.6bn acquisition of nutrition drink Huel Inside FMCG</w:t>
      </w:r>
    </w:p>
    <w:p>
      <w:r>
        <w:rPr>
          <w:i/>
          <w:color w:val="CC6600"/>
          <w:sz w:val="16"/>
        </w:rPr>
        <w:t xml:space="preserve">  ⚠ Note: Source credibility below threshold (Unknown)</w:t>
      </w:r>
    </w:p>
    <w:p>
      <w:r>
        <w:rPr>
          <w:b/>
          <w:sz w:val="20"/>
        </w:rPr>
        <w:t>● FMCG stock jumps after NCLT approves merger with Milk Mantra - MSN</w:t>
      </w:r>
    </w:p>
    <w:p>
      <w:r>
        <w:rPr>
          <w:color w:val="555555"/>
          <w:sz w:val="18"/>
        </w:rPr>
        <w:t xml:space="preserve">  Target: Milk Mantra | Source: MSN</w:t>
      </w:r>
    </w:p>
    <w:p>
      <w:r>
        <w:rPr>
          <w:sz w:val="18"/>
        </w:rPr>
        <w:t xml:space="preserve">  FMCG stock jumps after NCLT approves merger with Milk Mantra MSN</w:t>
      </w:r>
    </w:p>
    <w:p>
      <w:r>
        <w:rPr>
          <w:i/>
          <w:color w:val="CC6600"/>
          <w:sz w:val="16"/>
        </w:rPr>
        <w:t xml:space="preserve">  ⚠ Note: Source credibility below threshold (Unknown)</w:t>
      </w:r>
    </w:p>
    <w:p>
      <w:r>
        <w:rPr>
          <w:b/>
          <w:sz w:val="20"/>
        </w:rPr>
        <w:t>● Henkel AG &amp; Co. KGaA (Vz.) stock gains on Olaplex acquisition talks and sustainability push amid CEO - AD HOC NEWS</w:t>
      </w:r>
    </w:p>
    <w:p>
      <w:r>
        <w:rPr>
          <w:color w:val="555555"/>
          <w:sz w:val="18"/>
        </w:rPr>
        <w:t xml:space="preserve">  Buyer: Henkel AG &amp; Co. KGaA | Target: Olaplex | Source: AD HOC NEWS</w:t>
      </w:r>
    </w:p>
    <w:p>
      <w:r>
        <w:rPr>
          <w:sz w:val="18"/>
        </w:rPr>
        <w:t xml:space="preserve">  Henkel AG &amp; Co. KGaA (Vz.) stock gains on Olaplex acquisition talks and sustainability push amid CEO AD HOC NEWS</w:t>
      </w:r>
    </w:p>
    <w:p>
      <w:r>
        <w:rPr>
          <w:i/>
          <w:color w:val="CC6600"/>
          <w:sz w:val="16"/>
        </w:rPr>
        <w:t xml:space="preserve">  ⚠ Note: Source credibility below threshold (Unknown)</w:t>
      </w:r>
    </w:p>
    <w:p/>
    <w:p>
      <w:pPr>
        <w:pStyle w:val="Heading2"/>
      </w:pPr>
      <w:r>
        <w:t>Methodology &amp; Disclaimer</w:t>
      </w:r>
    </w:p>
    <w:p>
      <w:r>
        <w:rPr>
          <w:color w:val="999999"/>
          <w:sz w:val="16"/>
        </w:rPr>
        <w:t>This newsletter is generated by an automated FMCG Deal Intelligence Pipeline. Articles are sourced from publicly available RSS feeds and ranked using weighted keyword matching for FMCG sector relevance (food, beverage, personal care, household goods) and deal activity (M&amp;A, investments, joint ventures). Source credibility is assessed using a tiered rating system based on established journalistic reputation. Near-duplicate articles are detected using text similarity analysis and merged, retaining the most credible source. This report is for informational purposes only and does not constitute investment advice.</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