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August 15, 2026</w:t>
      </w:r>
    </w:p>
    <w:p/>
    <w:p>
      <w:pPr>
        <w:pStyle w:val="Heading1"/>
      </w:pPr>
      <w:r>
        <w:t>Executive Summary</w:t>
      </w:r>
    </w:p>
    <w:p>
      <w:r>
        <w:t>This week's FMCG deal intelligence report covers 1 significant transactions across the consumer goods sector. Deal activity includes 1 M&amp;A.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Charoen Pokphand Foods → unit engaged in beverage business in Vietnam</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73.0</w:t>
            </w:r>
          </w:p>
        </w:tc>
      </w:tr>
    </w:tbl>
    <w:p/>
    <w:p>
      <w:pPr>
        <w:pStyle w:val="Heading1"/>
      </w:pPr>
      <w:r>
        <w:t>Deal Details</w:t>
      </w:r>
    </w:p>
    <w:p>
      <w:pPr>
        <w:pStyle w:val="Heading2"/>
      </w:pPr>
      <w:r>
        <w:t>Mergers &amp; Acquisitions (1)</w:t>
      </w:r>
    </w:p>
    <w:p>
      <w:r>
        <w:rPr>
          <w:b/>
          <w:sz w:val="20"/>
        </w:rPr>
        <w:t>● Charoen Pokphand Foods Reports Acquisition Of Unit Engaged In Beverage Business In Vietnam - TradingView</w:t>
      </w:r>
    </w:p>
    <w:p>
      <w:r>
        <w:rPr>
          <w:color w:val="555555"/>
          <w:sz w:val="18"/>
        </w:rPr>
        <w:t xml:space="preserve">  Buyer: Charoen Pokphand Foods | Target: unit engaged in beverage business in Vietnam | Source: TradingView</w:t>
      </w:r>
    </w:p>
    <w:p>
      <w:r>
        <w:rPr>
          <w:sz w:val="18"/>
        </w:rPr>
        <w:t xml:space="preserve">  Charoen Pokphand Foods Reports Acquisition Of Unit Engaged In Beverage Business In Vietnam TradingView</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