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2E74B5"/>
          <w:sz w:val="28"/>
          <w:szCs w:val="28"/>
        </w:rPr>
        <w:t xml:space="preserve">AICW Fellowship Program — Project Report</w:t>
      </w:r>
    </w:p>
    <w:p>
      <w:pPr>
        <w:spacing w:after="240" w:before="60"/>
        <w:jc w:val="center"/>
      </w:pPr>
      <w:r>
        <w:rPr>
          <w:rFonts w:ascii="Arial" w:cs="Arial" w:eastAsia="Arial" w:hAnsi="Arial"/>
          <w:i/>
          <w:iCs/>
          <w:color w:val="555555"/>
          <w:sz w:val="22"/>
          <w:szCs w:val="22"/>
        </w:rPr>
        <w:t xml:space="preserve">Artificial Intelligence in the Contemporary World</w:t>
      </w:r>
    </w:p>
    <w:p>
      <w:pPr>
        <w:pBdr>
          <w:bottom w:val="single" w:color="1F3864" w:sz="8" w:space="1"/>
        </w:pBdr>
        <w:spacing w:after="140" w:before="100"/>
      </w:pPr>
    </w:p>
    <w:p>
      <w:pPr>
        <w:spacing w:after="120" w:before="240"/>
        <w:jc w:val="center"/>
      </w:pPr>
      <w:r>
        <w:rPr>
          <w:rFonts w:ascii="Arial" w:cs="Arial" w:eastAsia="Arial" w:hAnsi="Arial"/>
          <w:b/>
          <w:bCs/>
          <w:color w:val="1F3864"/>
          <w:sz w:val="44"/>
          <w:szCs w:val="44"/>
        </w:rPr>
        <w:t xml:space="preserve">Sales Performance Analytics Dashboard</w:t>
      </w:r>
    </w:p>
    <w:p>
      <w:pPr>
        <w:spacing w:after="60" w:before="0"/>
        <w:jc w:val="center"/>
      </w:pPr>
      <w:r>
        <w:rPr>
          <w:rFonts w:ascii="Arial" w:cs="Arial" w:eastAsia="Arial" w:hAnsi="Arial"/>
          <w:b/>
          <w:bCs/>
          <w:color w:val="2E74B5"/>
          <w:sz w:val="32"/>
          <w:szCs w:val="32"/>
        </w:rPr>
        <w:t xml:space="preserve">Using Microsoft Power BI</w:t>
      </w:r>
    </w:p>
    <w:p>
      <w:pPr>
        <w:spacing w:after="240" w:before="60"/>
        <w:jc w:val="center"/>
      </w:pPr>
      <w:r>
        <w:rPr>
          <w:rFonts w:ascii="Arial" w:cs="Arial" w:eastAsia="Arial" w:hAnsi="Arial"/>
          <w:i/>
          <w:iCs/>
          <w:color w:val="555555"/>
          <w:sz w:val="22"/>
          <w:szCs w:val="22"/>
        </w:rPr>
        <w:t xml:space="preserve">A Real-World Business Intelligence Solution for Retail Sales Decision-Making</w:t>
      </w:r>
    </w:p>
    <w:p>
      <w:pPr>
        <w:pBdr>
          <w:bottom w:val="single" w:color="1F3864" w:sz="8" w:space="1"/>
        </w:pBdr>
        <w:spacing w:after="140" w:before="10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3FB" w:val="clear"/>
            <w:tcMar>
              <w:top w:type="dxa" w:w="200"/>
              <w:left w:type="dxa" w:w="300"/>
              <w:bottom w:type="dxa" w:w="200"/>
              <w:right w:type="dxa" w:w="300"/>
            </w:tcMar>
          </w:tcPr>
          <w:p>
            <w:pPr>
              <w:spacing w:after="80" w:before="80"/>
              <w:jc w:val="center"/>
            </w:pPr>
            <w:r>
              <w:rPr>
                <w:rFonts w:ascii="Arial" w:cs="Arial" w:eastAsia="Arial" w:hAnsi="Arial"/>
                <w:b/>
                <w:bCs/>
                <w:color w:val="1F3864"/>
                <w:sz w:val="24"/>
                <w:szCs w:val="24"/>
              </w:rPr>
              <w:t xml:space="preserve">Submitted by: Khushboo Rajpoot</w:t>
            </w:r>
          </w:p>
          <w:p>
            <w:pPr>
              <w:spacing w:after="60" w:before="60"/>
              <w:jc w:val="center"/>
            </w:pPr>
            <w:r>
              <w:rPr>
                <w:rFonts w:ascii="Arial" w:cs="Arial" w:eastAsia="Arial" w:hAnsi="Arial"/>
                <w:color w:val="2E74B5"/>
                <w:sz w:val="22"/>
                <w:szCs w:val="22"/>
              </w:rPr>
              <w:t xml:space="preserve">Domain: Power BI</w:t>
            </w:r>
          </w:p>
          <w:p>
            <w:pPr>
              <w:spacing w:after="60" w:before="60"/>
              <w:jc w:val="center"/>
            </w:pPr>
            <w:r>
              <w:rPr>
                <w:rFonts w:ascii="Arial" w:cs="Arial" w:eastAsia="Arial" w:hAnsi="Arial"/>
                <w:color w:val="333333"/>
                <w:sz w:val="22"/>
                <w:szCs w:val="22"/>
              </w:rPr>
              <w:t xml:space="preserve">Institution: Graphic at Yale University</w:t>
            </w:r>
          </w:p>
          <w:p>
            <w:pPr>
              <w:spacing w:after="80" w:before="60"/>
              <w:jc w:val="center"/>
            </w:pPr>
            <w:r>
              <w:rPr>
                <w:rFonts w:ascii="Arial" w:cs="Arial" w:eastAsia="Arial" w:hAnsi="Arial"/>
                <w:color w:val="333333"/>
                <w:sz w:val="22"/>
                <w:szCs w:val="22"/>
              </w:rPr>
              <w:t xml:space="preserve">Year: 2026</w:t>
            </w:r>
          </w:p>
        </w:tc>
      </w:tr>
    </w:tbl>
    <w:p>
      <w:pPr>
        <w:spacing w:after="60" w:before="60"/>
      </w:pPr>
    </w:p>
    <w:p>
      <w:r>
        <w:br w:type="page"/>
      </w:r>
    </w:p>
    <w:p>
      <w:pPr>
        <w:spacing w:after="120" w:before="360"/>
      </w:pPr>
      <w:r>
        <w:rPr>
          <w:rFonts w:ascii="Arial" w:cs="Arial" w:eastAsia="Arial" w:hAnsi="Arial"/>
          <w:b/>
          <w:bCs/>
          <w:color w:val="1F3864"/>
          <w:sz w:val="32"/>
          <w:szCs w:val="32"/>
        </w:rPr>
        <w:t xml:space="preserve">Table of Contents</w:t>
      </w:r>
    </w:p>
    <w:p>
      <w:pPr>
        <w:pBdr>
          <w:bottom w:val="single" w:color="2E74B5" w:sz="8" w:space="1"/>
        </w:pBdr>
        <w:spacing w:after="140" w:before="100"/>
      </w:pPr>
    </w:p>
    <w:p>
      <w:pPr>
        <w:spacing w:after="60" w:before="60"/>
      </w:pPr>
      <w:r>
        <w:rPr>
          <w:rFonts w:ascii="Arial" w:cs="Arial" w:eastAsia="Arial" w:hAnsi="Arial"/>
          <w:color w:val="1F3864"/>
          <w:sz w:val="22"/>
          <w:szCs w:val="22"/>
        </w:rPr>
        <w:t xml:space="preserve">1.  Executive Summary</w:t>
      </w:r>
      <w:r>
        <w:rPr>
          <w:rFonts w:ascii="Arial" w:cs="Arial" w:eastAsia="Arial" w:hAnsi="Arial"/>
          <w:color w:val="888888"/>
          <w:sz w:val="22"/>
          <w:szCs w:val="22"/>
        </w:rPr>
        <w:t xml:space="preserve">  ......  3</w:t>
      </w:r>
    </w:p>
    <w:p>
      <w:pPr>
        <w:spacing w:after="60" w:before="60"/>
      </w:pPr>
      <w:r>
        <w:rPr>
          <w:rFonts w:ascii="Arial" w:cs="Arial" w:eastAsia="Arial" w:hAnsi="Arial"/>
          <w:color w:val="1F3864"/>
          <w:sz w:val="22"/>
          <w:szCs w:val="22"/>
        </w:rPr>
        <w:t xml:space="preserve">2.  Introduction &amp; Background</w:t>
      </w:r>
      <w:r>
        <w:rPr>
          <w:rFonts w:ascii="Arial" w:cs="Arial" w:eastAsia="Arial" w:hAnsi="Arial"/>
          <w:color w:val="888888"/>
          <w:sz w:val="22"/>
          <w:szCs w:val="22"/>
        </w:rPr>
        <w:t xml:space="preserve">  ......  3</w:t>
      </w:r>
    </w:p>
    <w:p>
      <w:pPr>
        <w:spacing w:after="60" w:before="60"/>
      </w:pPr>
      <w:r>
        <w:rPr>
          <w:rFonts w:ascii="Arial" w:cs="Arial" w:eastAsia="Arial" w:hAnsi="Arial"/>
          <w:color w:val="1F3864"/>
          <w:sz w:val="22"/>
          <w:szCs w:val="22"/>
        </w:rPr>
        <w:t xml:space="preserve">3.  Problem Statement</w:t>
      </w:r>
      <w:r>
        <w:rPr>
          <w:rFonts w:ascii="Arial" w:cs="Arial" w:eastAsia="Arial" w:hAnsi="Arial"/>
          <w:color w:val="888888"/>
          <w:sz w:val="22"/>
          <w:szCs w:val="22"/>
        </w:rPr>
        <w:t xml:space="preserve">  ......  4</w:t>
      </w:r>
    </w:p>
    <w:p>
      <w:pPr>
        <w:spacing w:after="60" w:before="60"/>
      </w:pPr>
      <w:r>
        <w:rPr>
          <w:rFonts w:ascii="Arial" w:cs="Arial" w:eastAsia="Arial" w:hAnsi="Arial"/>
          <w:color w:val="1F3864"/>
          <w:sz w:val="22"/>
          <w:szCs w:val="22"/>
        </w:rPr>
        <w:t xml:space="preserve">4.  Objectives</w:t>
      </w:r>
      <w:r>
        <w:rPr>
          <w:rFonts w:ascii="Arial" w:cs="Arial" w:eastAsia="Arial" w:hAnsi="Arial"/>
          <w:color w:val="888888"/>
          <w:sz w:val="22"/>
          <w:szCs w:val="22"/>
        </w:rPr>
        <w:t xml:space="preserve">  ......  4</w:t>
      </w:r>
    </w:p>
    <w:p>
      <w:pPr>
        <w:spacing w:after="60" w:before="60"/>
      </w:pPr>
      <w:r>
        <w:rPr>
          <w:rFonts w:ascii="Arial" w:cs="Arial" w:eastAsia="Arial" w:hAnsi="Arial"/>
          <w:color w:val="1F3864"/>
          <w:sz w:val="22"/>
          <w:szCs w:val="22"/>
        </w:rPr>
        <w:t xml:space="preserve">5.  Dataset Description</w:t>
      </w:r>
      <w:r>
        <w:rPr>
          <w:rFonts w:ascii="Arial" w:cs="Arial" w:eastAsia="Arial" w:hAnsi="Arial"/>
          <w:color w:val="888888"/>
          <w:sz w:val="22"/>
          <w:szCs w:val="22"/>
        </w:rPr>
        <w:t xml:space="preserve">  ......  5</w:t>
      </w:r>
    </w:p>
    <w:p>
      <w:pPr>
        <w:spacing w:after="60" w:before="60"/>
      </w:pPr>
      <w:r>
        <w:rPr>
          <w:rFonts w:ascii="Arial" w:cs="Arial" w:eastAsia="Arial" w:hAnsi="Arial"/>
          <w:color w:val="1F3864"/>
          <w:sz w:val="22"/>
          <w:szCs w:val="22"/>
        </w:rPr>
        <w:t xml:space="preserve">6.  Data Cleaning &amp; Preprocessing</w:t>
      </w:r>
      <w:r>
        <w:rPr>
          <w:rFonts w:ascii="Arial" w:cs="Arial" w:eastAsia="Arial" w:hAnsi="Arial"/>
          <w:color w:val="888888"/>
          <w:sz w:val="22"/>
          <w:szCs w:val="22"/>
        </w:rPr>
        <w:t xml:space="preserve">  ......  5</w:t>
      </w:r>
    </w:p>
    <w:p>
      <w:pPr>
        <w:spacing w:after="60" w:before="60"/>
      </w:pPr>
      <w:r>
        <w:rPr>
          <w:rFonts w:ascii="Arial" w:cs="Arial" w:eastAsia="Arial" w:hAnsi="Arial"/>
          <w:color w:val="1F3864"/>
          <w:sz w:val="22"/>
          <w:szCs w:val="22"/>
        </w:rPr>
        <w:t xml:space="preserve">7.  Analysis &amp; DAX Measures</w:t>
      </w:r>
      <w:r>
        <w:rPr>
          <w:rFonts w:ascii="Arial" w:cs="Arial" w:eastAsia="Arial" w:hAnsi="Arial"/>
          <w:color w:val="888888"/>
          <w:sz w:val="22"/>
          <w:szCs w:val="22"/>
        </w:rPr>
        <w:t xml:space="preserve">  ......  6</w:t>
      </w:r>
    </w:p>
    <w:p>
      <w:pPr>
        <w:spacing w:after="60" w:before="60"/>
      </w:pPr>
      <w:r>
        <w:rPr>
          <w:rFonts w:ascii="Arial" w:cs="Arial" w:eastAsia="Arial" w:hAnsi="Arial"/>
          <w:color w:val="1F3864"/>
          <w:sz w:val="22"/>
          <w:szCs w:val="22"/>
        </w:rPr>
        <w:t xml:space="preserve">8.  Dashboard Design &amp; Visualization</w:t>
      </w:r>
      <w:r>
        <w:rPr>
          <w:rFonts w:ascii="Arial" w:cs="Arial" w:eastAsia="Arial" w:hAnsi="Arial"/>
          <w:color w:val="888888"/>
          <w:sz w:val="22"/>
          <w:szCs w:val="22"/>
        </w:rPr>
        <w:t xml:space="preserve">  ......  7</w:t>
      </w:r>
    </w:p>
    <w:p>
      <w:pPr>
        <w:spacing w:after="60" w:before="60"/>
      </w:pPr>
      <w:r>
        <w:rPr>
          <w:rFonts w:ascii="Arial" w:cs="Arial" w:eastAsia="Arial" w:hAnsi="Arial"/>
          <w:color w:val="1F3864"/>
          <w:sz w:val="22"/>
          <w:szCs w:val="22"/>
        </w:rPr>
        <w:t xml:space="preserve">9.  Key Findings &amp; Insights</w:t>
      </w:r>
      <w:r>
        <w:rPr>
          <w:rFonts w:ascii="Arial" w:cs="Arial" w:eastAsia="Arial" w:hAnsi="Arial"/>
          <w:color w:val="888888"/>
          <w:sz w:val="22"/>
          <w:szCs w:val="22"/>
        </w:rPr>
        <w:t xml:space="preserve">  ......  8</w:t>
      </w:r>
    </w:p>
    <w:p>
      <w:pPr>
        <w:spacing w:after="60" w:before="60"/>
      </w:pPr>
      <w:r>
        <w:rPr>
          <w:rFonts w:ascii="Arial" w:cs="Arial" w:eastAsia="Arial" w:hAnsi="Arial"/>
          <w:color w:val="1F3864"/>
          <w:sz w:val="22"/>
          <w:szCs w:val="22"/>
        </w:rPr>
        <w:t xml:space="preserve">10.  AI Tool Integration</w:t>
      </w:r>
      <w:r>
        <w:rPr>
          <w:rFonts w:ascii="Arial" w:cs="Arial" w:eastAsia="Arial" w:hAnsi="Arial"/>
          <w:color w:val="888888"/>
          <w:sz w:val="22"/>
          <w:szCs w:val="22"/>
        </w:rPr>
        <w:t xml:space="preserve">  ......  9</w:t>
      </w:r>
    </w:p>
    <w:p>
      <w:pPr>
        <w:spacing w:after="60" w:before="60"/>
      </w:pPr>
      <w:r>
        <w:rPr>
          <w:rFonts w:ascii="Arial" w:cs="Arial" w:eastAsia="Arial" w:hAnsi="Arial"/>
          <w:color w:val="1F3864"/>
          <w:sz w:val="22"/>
          <w:szCs w:val="22"/>
        </w:rPr>
        <w:t xml:space="preserve">11.  Business Recommendations</w:t>
      </w:r>
      <w:r>
        <w:rPr>
          <w:rFonts w:ascii="Arial" w:cs="Arial" w:eastAsia="Arial" w:hAnsi="Arial"/>
          <w:color w:val="888888"/>
          <w:sz w:val="22"/>
          <w:szCs w:val="22"/>
        </w:rPr>
        <w:t xml:space="preserve">  ......  9</w:t>
      </w:r>
    </w:p>
    <w:p>
      <w:pPr>
        <w:spacing w:after="60" w:before="60"/>
      </w:pPr>
      <w:r>
        <w:rPr>
          <w:rFonts w:ascii="Arial" w:cs="Arial" w:eastAsia="Arial" w:hAnsi="Arial"/>
          <w:color w:val="1F3864"/>
          <w:sz w:val="22"/>
          <w:szCs w:val="22"/>
        </w:rPr>
        <w:t xml:space="preserve">12.  Conclusion</w:t>
      </w:r>
      <w:r>
        <w:rPr>
          <w:rFonts w:ascii="Arial" w:cs="Arial" w:eastAsia="Arial" w:hAnsi="Arial"/>
          <w:color w:val="888888"/>
          <w:sz w:val="22"/>
          <w:szCs w:val="22"/>
        </w:rPr>
        <w:t xml:space="preserve">  ......  10</w:t>
      </w:r>
    </w:p>
    <w:p>
      <w:pPr>
        <w:spacing w:after="60" w:before="60"/>
      </w:pPr>
      <w:r>
        <w:rPr>
          <w:rFonts w:ascii="Arial" w:cs="Arial" w:eastAsia="Arial" w:hAnsi="Arial"/>
          <w:color w:val="1F3864"/>
          <w:sz w:val="22"/>
          <w:szCs w:val="22"/>
        </w:rPr>
        <w:t xml:space="preserve">13.  References</w:t>
      </w:r>
      <w:r>
        <w:rPr>
          <w:rFonts w:ascii="Arial" w:cs="Arial" w:eastAsia="Arial" w:hAnsi="Arial"/>
          <w:color w:val="888888"/>
          <w:sz w:val="22"/>
          <w:szCs w:val="22"/>
        </w:rPr>
        <w:t xml:space="preserve">  ......  10</w:t>
      </w:r>
    </w:p>
    <w:p>
      <w:pPr>
        <w:spacing w:after="60" w:before="60"/>
      </w:pPr>
    </w:p>
    <w:p>
      <w:r>
        <w:br w:type="page"/>
      </w:r>
    </w:p>
    <w:p>
      <w:pPr>
        <w:spacing w:after="120" w:before="360"/>
      </w:pPr>
      <w:r>
        <w:rPr>
          <w:rFonts w:ascii="Arial" w:cs="Arial" w:eastAsia="Arial" w:hAnsi="Arial"/>
          <w:b/>
          <w:bCs/>
          <w:color w:val="1F3864"/>
          <w:sz w:val="32"/>
          <w:szCs w:val="32"/>
        </w:rPr>
        <w:t xml:space="preserve">1. Executive Summary</w:t>
      </w:r>
    </w:p>
    <w:p>
      <w:pPr>
        <w:pBdr>
          <w:bottom w:val="single" w:color="2E74B5" w:sz="8" w:space="1"/>
        </w:pBdr>
        <w:spacing w:after="140" w:before="100"/>
      </w:pPr>
    </w:p>
    <w:p>
      <w:pPr>
        <w:spacing w:after="80" w:before="80"/>
        <w:jc w:val="both"/>
      </w:pPr>
      <w:r>
        <w:rPr>
          <w:rFonts w:ascii="Arial" w:cs="Arial" w:eastAsia="Arial" w:hAnsi="Arial"/>
          <w:b w:val="false"/>
          <w:bCs w:val="false"/>
          <w:i w:val="false"/>
          <w:iCs w:val="false"/>
          <w:color w:val="000000"/>
          <w:sz w:val="22"/>
          <w:szCs w:val="22"/>
        </w:rPr>
        <w:t xml:space="preserve">This report presents a comprehensive Business Intelligence project developed using Microsoft Power BI, addressing a critical real-world challenge faced by retail and e-commerce businesses: the inability to derive timely, accurate, and actionable insights from large volumes of raw sales data.</w:t>
      </w:r>
    </w:p>
    <w:p>
      <w:pPr>
        <w:spacing w:after="60" w:before="60"/>
      </w:pPr>
    </w:p>
    <w:p>
      <w:pPr>
        <w:spacing w:after="80" w:before="80"/>
        <w:jc w:val="both"/>
      </w:pPr>
      <w:r>
        <w:rPr>
          <w:rFonts w:ascii="Arial" w:cs="Arial" w:eastAsia="Arial" w:hAnsi="Arial"/>
          <w:b w:val="false"/>
          <w:bCs w:val="false"/>
          <w:i w:val="false"/>
          <w:iCs w:val="false"/>
          <w:color w:val="000000"/>
          <w:sz w:val="22"/>
          <w:szCs w:val="22"/>
        </w:rPr>
        <w:t xml:space="preserve">The project utilized the Superstore Sales Dataset (9,994 records, 21 fields) sourced from Kaggle. The raw data was cleaned and transformed using Power Query, followed by the creation of advanced DAX measures for key performance indicators. A multi-page interactive dashboard was developed to enable sales managers, regional heads, and executives to monitor performance in real time.</w:t>
      </w:r>
    </w:p>
    <w:p>
      <w:pPr>
        <w:spacing w:after="60" w:before="60"/>
      </w:pPr>
    </w:p>
    <w:p>
      <w:pPr>
        <w:spacing w:after="80" w:before="80"/>
        <w:jc w:val="both"/>
      </w:pPr>
      <w:r>
        <w:rPr>
          <w:rFonts w:ascii="Arial" w:cs="Arial" w:eastAsia="Arial" w:hAnsi="Arial"/>
          <w:b w:val="false"/>
          <w:bCs w:val="false"/>
          <w:i w:val="false"/>
          <w:iCs w:val="false"/>
          <w:color w:val="000000"/>
          <w:sz w:val="22"/>
          <w:szCs w:val="22"/>
        </w:rPr>
        <w:t xml:space="preserve">Key outcomes include a total revenue of $2.3M, identification of Technology as the highest-profit category, the West region as the top-performing geography, and Discount mismanagement as a primary driver of profit loss. The project also demonstrates the integration of Microsoft Copilot for AI-powered narrative generation and automated insight summaries.</w:t>
      </w:r>
    </w:p>
    <w:p>
      <w:pPr>
        <w:spacing w:after="60" w:before="60"/>
      </w:pPr>
    </w:p>
    <w:p>
      <w:r>
        <w:br w:type="page"/>
      </w:r>
    </w:p>
    <w:p>
      <w:pPr>
        <w:spacing w:after="120" w:before="360"/>
      </w:pPr>
      <w:r>
        <w:rPr>
          <w:rFonts w:ascii="Arial" w:cs="Arial" w:eastAsia="Arial" w:hAnsi="Arial"/>
          <w:b/>
          <w:bCs/>
          <w:color w:val="1F3864"/>
          <w:sz w:val="32"/>
          <w:szCs w:val="32"/>
        </w:rPr>
        <w:t xml:space="preserve">2. Introduction &amp; Background</w:t>
      </w:r>
    </w:p>
    <w:p>
      <w:pPr>
        <w:pBdr>
          <w:bottom w:val="single" w:color="2E74B5" w:sz="8" w:space="1"/>
        </w:pBdr>
        <w:spacing w:after="140" w:before="100"/>
      </w:pPr>
    </w:p>
    <w:p>
      <w:pPr>
        <w:spacing w:after="80" w:before="80"/>
        <w:jc w:val="both"/>
      </w:pPr>
      <w:r>
        <w:rPr>
          <w:rFonts w:ascii="Arial" w:cs="Arial" w:eastAsia="Arial" w:hAnsi="Arial"/>
          <w:b w:val="false"/>
          <w:bCs w:val="false"/>
          <w:i w:val="false"/>
          <w:iCs w:val="false"/>
          <w:color w:val="000000"/>
          <w:sz w:val="22"/>
          <w:szCs w:val="22"/>
        </w:rPr>
        <w:t xml:space="preserve">In the modern business landscape, data has become one of the most valuable assets an organization can possess. Retail and e-commerce companies record thousands of transactions daily — capturing details about customers, products, orders, shipping, discounts, and returns. However, the mere existence of data does not translate into business value unless it is structured, analyzed, and visualized effectively.</w:t>
      </w:r>
    </w:p>
    <w:p>
      <w:pPr>
        <w:spacing w:after="60" w:before="60"/>
      </w:pPr>
    </w:p>
    <w:p>
      <w:pPr>
        <w:spacing w:after="80" w:before="80"/>
        <w:jc w:val="both"/>
      </w:pPr>
      <w:r>
        <w:rPr>
          <w:rFonts w:ascii="Arial" w:cs="Arial" w:eastAsia="Arial" w:hAnsi="Arial"/>
          <w:b w:val="false"/>
          <w:bCs w:val="false"/>
          <w:i w:val="false"/>
          <w:iCs w:val="false"/>
          <w:color w:val="000000"/>
          <w:sz w:val="22"/>
          <w:szCs w:val="22"/>
        </w:rPr>
        <w:t xml:space="preserve">Microsoft Power BI is a leading Business Intelligence platform that enables organizations to connect to data sources, transform raw data, build interactive dashboards, and share insights across teams. It is widely adopted in industries including retail, healthcare, finance, logistics, and education.</w:t>
      </w:r>
    </w:p>
    <w:p>
      <w:pPr>
        <w:spacing w:after="60" w:before="60"/>
      </w:pPr>
    </w:p>
    <w:p>
      <w:pPr>
        <w:spacing w:after="80" w:before="80"/>
        <w:jc w:val="both"/>
      </w:pPr>
      <w:r>
        <w:rPr>
          <w:rFonts w:ascii="Arial" w:cs="Arial" w:eastAsia="Arial" w:hAnsi="Arial"/>
          <w:b w:val="false"/>
          <w:bCs w:val="false"/>
          <w:i w:val="false"/>
          <w:iCs w:val="false"/>
          <w:color w:val="000000"/>
          <w:sz w:val="22"/>
          <w:szCs w:val="22"/>
        </w:rPr>
        <w:t xml:space="preserve">This project was undertaken as part of the AICW Fellowship Program under Edunet Foundation in collaboration with Graphic at Yale University. The project applies Power BI's full workflow — from raw data ingestion through Power Query cleaning, DAX-based analysis, and interactive dashboard development — to a real-world retail sales dataset, demonstrating practical Business Intelligence skills relevant to the industry.</w:t>
      </w:r>
    </w:p>
    <w:p>
      <w:pPr>
        <w:spacing w:after="60" w:before="60"/>
      </w:pPr>
    </w:p>
    <w:p>
      <w:r>
        <w:br w:type="page"/>
      </w:r>
    </w:p>
    <w:p>
      <w:pPr>
        <w:spacing w:after="120" w:before="360"/>
      </w:pPr>
      <w:r>
        <w:rPr>
          <w:rFonts w:ascii="Arial" w:cs="Arial" w:eastAsia="Arial" w:hAnsi="Arial"/>
          <w:b/>
          <w:bCs/>
          <w:color w:val="1F3864"/>
          <w:sz w:val="32"/>
          <w:szCs w:val="32"/>
        </w:rPr>
        <w:t xml:space="preserve">3. Problem Statement</w:t>
      </w:r>
    </w:p>
    <w:p>
      <w:pPr>
        <w:pBdr>
          <w:bottom w:val="single" w:color="2E74B5" w:sz="8" w:space="1"/>
        </w:pBdr>
        <w:spacing w:after="140" w:before="100"/>
      </w:pPr>
    </w:p>
    <w:p>
      <w:pPr>
        <w:spacing w:after="80" w:before="80"/>
        <w:jc w:val="both"/>
      </w:pPr>
      <w:r>
        <w:rPr>
          <w:rFonts w:ascii="Arial" w:cs="Arial" w:eastAsia="Arial" w:hAnsi="Arial"/>
          <w:b w:val="false"/>
          <w:bCs w:val="false"/>
          <w:i w:val="false"/>
          <w:iCs w:val="false"/>
          <w:color w:val="000000"/>
          <w:sz w:val="22"/>
          <w:szCs w:val="22"/>
        </w:rPr>
        <w:t xml:space="preserve">Organizations in the retail and e-commerce sector collect vast amounts of transactional data daily. However, this data is typically raw, inconsistent, and scattered across multiple spreadsheets and systems, creating the following critical business challenges:</w:t>
      </w:r>
    </w:p>
    <w:p>
      <w:pPr>
        <w:spacing w:after="60" w:before="60"/>
      </w:pPr>
    </w:p>
    <w:p>
      <w:pPr>
        <w:pStyle w:val="ListParagraph"/>
        <w:numPr>
          <w:ilvl w:val="0"/>
          <w:numId w:val="2"/>
        </w:numPr>
        <w:spacing w:after="60" w:before="60"/>
      </w:pPr>
      <w:r>
        <w:rPr>
          <w:rFonts w:ascii="Arial" w:cs="Arial" w:eastAsia="Arial" w:hAnsi="Arial"/>
          <w:sz w:val="22"/>
          <w:szCs w:val="22"/>
        </w:rPr>
        <w:t xml:space="preserve">Sales data is fragmented across regions, product categories, and time periods, with no unified view for decision-makers.</w:t>
      </w:r>
    </w:p>
    <w:p>
      <w:pPr>
        <w:pStyle w:val="ListParagraph"/>
        <w:numPr>
          <w:ilvl w:val="0"/>
          <w:numId w:val="2"/>
        </w:numPr>
        <w:spacing w:after="60" w:before="60"/>
      </w:pPr>
      <w:r>
        <w:rPr>
          <w:rFonts w:ascii="Arial" w:cs="Arial" w:eastAsia="Arial" w:hAnsi="Arial"/>
          <w:sz w:val="22"/>
          <w:szCs w:val="22"/>
        </w:rPr>
        <w:t xml:space="preserve">Static Excel-based reports are slow to produce, prone to human error, and cannot be filtered or drilled into interactively.</w:t>
      </w:r>
    </w:p>
    <w:p>
      <w:pPr>
        <w:pStyle w:val="ListParagraph"/>
        <w:numPr>
          <w:ilvl w:val="0"/>
          <w:numId w:val="2"/>
        </w:numPr>
        <w:spacing w:after="60" w:before="60"/>
      </w:pPr>
      <w:r>
        <w:rPr>
          <w:rFonts w:ascii="Arial" w:cs="Arial" w:eastAsia="Arial" w:hAnsi="Arial"/>
          <w:sz w:val="22"/>
          <w:szCs w:val="22"/>
        </w:rPr>
        <w:t xml:space="preserve">Management lacks real-time visibility into KPIs such as revenue trends, profit margins, top-performing products, and underperforming regions.</w:t>
      </w:r>
    </w:p>
    <w:p>
      <w:pPr>
        <w:pStyle w:val="ListParagraph"/>
        <w:numPr>
          <w:ilvl w:val="0"/>
          <w:numId w:val="2"/>
        </w:numPr>
        <w:spacing w:after="60" w:before="60"/>
      </w:pPr>
      <w:r>
        <w:rPr>
          <w:rFonts w:ascii="Arial" w:cs="Arial" w:eastAsia="Arial" w:hAnsi="Arial"/>
          <w:sz w:val="22"/>
          <w:szCs w:val="22"/>
        </w:rPr>
        <w:t xml:space="preserve">Discount policies are applied inconsistently, leading to significant profit erosion in certain product categories without awareness.</w:t>
      </w:r>
    </w:p>
    <w:p>
      <w:pPr>
        <w:pStyle w:val="ListParagraph"/>
        <w:numPr>
          <w:ilvl w:val="0"/>
          <w:numId w:val="2"/>
        </w:numPr>
        <w:spacing w:after="60" w:before="60"/>
      </w:pPr>
      <w:r>
        <w:rPr>
          <w:rFonts w:ascii="Arial" w:cs="Arial" w:eastAsia="Arial" w:hAnsi="Arial"/>
          <w:sz w:val="22"/>
          <w:szCs w:val="22"/>
        </w:rPr>
        <w:t xml:space="preserve">Customer segmentation data exists but is never leveraged, resulting in missed opportunities for targeted marketing and retention.</w:t>
      </w:r>
    </w:p>
    <w:p>
      <w:pPr>
        <w:pStyle w:val="ListParagraph"/>
        <w:numPr>
          <w:ilvl w:val="0"/>
          <w:numId w:val="2"/>
        </w:numPr>
        <w:spacing w:after="60" w:before="60"/>
      </w:pPr>
      <w:r>
        <w:rPr>
          <w:rFonts w:ascii="Arial" w:cs="Arial" w:eastAsia="Arial" w:hAnsi="Arial"/>
          <w:sz w:val="22"/>
          <w:szCs w:val="22"/>
        </w:rPr>
        <w:t xml:space="preserve">There is no automated mechanism to surface anomalies, outliers, or actionable alerts from the data.</w:t>
      </w:r>
    </w:p>
    <w:p>
      <w:pPr>
        <w:spacing w:after="60" w:before="60"/>
      </w:pPr>
    </w:p>
    <w:p>
      <w:pPr>
        <w:spacing w:after="80" w:before="80"/>
        <w:jc w:val="both"/>
      </w:pPr>
      <w:r>
        <w:rPr>
          <w:rFonts w:ascii="Arial" w:cs="Arial" w:eastAsia="Arial" w:hAnsi="Arial"/>
          <w:b w:val="false"/>
          <w:bCs w:val="false"/>
          <w:i w:val="false"/>
          <w:iCs w:val="false"/>
          <w:color w:val="000000"/>
          <w:sz w:val="22"/>
          <w:szCs w:val="22"/>
        </w:rPr>
        <w:t xml:space="preserve">This project directly addresses all of these challenges by building a fully interactive, data-driven Power BI dashboard that consolidates, cleans, analyzes, and visualizes sales performance data — delivering measurable business value.</w:t>
      </w:r>
    </w:p>
    <w:p>
      <w:pPr>
        <w:spacing w:after="60" w:before="60"/>
      </w:pPr>
    </w:p>
    <w:p>
      <w:r>
        <w:br w:type="page"/>
      </w:r>
    </w:p>
    <w:p>
      <w:pPr>
        <w:spacing w:after="120" w:before="360"/>
      </w:pPr>
      <w:r>
        <w:rPr>
          <w:rFonts w:ascii="Arial" w:cs="Arial" w:eastAsia="Arial" w:hAnsi="Arial"/>
          <w:b/>
          <w:bCs/>
          <w:color w:val="1F3864"/>
          <w:sz w:val="32"/>
          <w:szCs w:val="32"/>
        </w:rPr>
        <w:t xml:space="preserve">4. Objectives</w:t>
      </w:r>
    </w:p>
    <w:p>
      <w:pPr>
        <w:pBdr>
          <w:bottom w:val="single" w:color="2E74B5" w:sz="8" w:space="1"/>
        </w:pBdr>
        <w:spacing w:after="140" w:before="100"/>
      </w:pPr>
    </w:p>
    <w:p>
      <w:pPr>
        <w:pStyle w:val="ListParagraph"/>
        <w:numPr>
          <w:ilvl w:val="0"/>
          <w:numId w:val="3"/>
        </w:numPr>
        <w:spacing w:after="60" w:before="60"/>
      </w:pPr>
      <w:r>
        <w:rPr>
          <w:rFonts w:ascii="Arial" w:cs="Arial" w:eastAsia="Arial" w:hAnsi="Arial"/>
          <w:sz w:val="22"/>
          <w:szCs w:val="22"/>
        </w:rPr>
        <w:t xml:space="preserve">Collect and explore the raw Superstore Sales dataset, examining structure, data types, field definitions, and quality issues.</w:t>
      </w:r>
    </w:p>
    <w:p>
      <w:pPr>
        <w:pStyle w:val="ListParagraph"/>
        <w:numPr>
          <w:ilvl w:val="0"/>
          <w:numId w:val="3"/>
        </w:numPr>
        <w:spacing w:after="60" w:before="60"/>
      </w:pPr>
      <w:r>
        <w:rPr>
          <w:rFonts w:ascii="Arial" w:cs="Arial" w:eastAsia="Arial" w:hAnsi="Arial"/>
          <w:sz w:val="22"/>
          <w:szCs w:val="22"/>
        </w:rPr>
        <w:t xml:space="preserve">Clean and preprocess the dataset using Power Query in Power BI, removing duplicates, handling null values, standardizing date formats, and fixing incorrect data types.</w:t>
      </w:r>
    </w:p>
    <w:p>
      <w:pPr>
        <w:pStyle w:val="ListParagraph"/>
        <w:numPr>
          <w:ilvl w:val="0"/>
          <w:numId w:val="3"/>
        </w:numPr>
        <w:spacing w:after="60" w:before="60"/>
      </w:pPr>
      <w:r>
        <w:rPr>
          <w:rFonts w:ascii="Arial" w:cs="Arial" w:eastAsia="Arial" w:hAnsi="Arial"/>
          <w:sz w:val="22"/>
          <w:szCs w:val="22"/>
        </w:rPr>
        <w:t xml:space="preserve">Design and implement DAX (Data Analysis Expressions) measures for business KPIs including Total Revenue, Profit, Profit Margin %, Year-over-Year Growth, Average Order Value, and Return Rate.</w:t>
      </w:r>
    </w:p>
    <w:p>
      <w:pPr>
        <w:pStyle w:val="ListParagraph"/>
        <w:numPr>
          <w:ilvl w:val="0"/>
          <w:numId w:val="3"/>
        </w:numPr>
        <w:spacing w:after="60" w:before="60"/>
      </w:pPr>
      <w:r>
        <w:rPr>
          <w:rFonts w:ascii="Arial" w:cs="Arial" w:eastAsia="Arial" w:hAnsi="Arial"/>
          <w:sz w:val="22"/>
          <w:szCs w:val="22"/>
        </w:rPr>
        <w:t xml:space="preserve">Build a multi-page interactive Power BI dashboard with KPI cards, trend charts, regional maps, product breakdowns, and customer segmentation visuals with dynamic slicers.</w:t>
      </w:r>
    </w:p>
    <w:p>
      <w:pPr>
        <w:pStyle w:val="ListParagraph"/>
        <w:numPr>
          <w:ilvl w:val="0"/>
          <w:numId w:val="3"/>
        </w:numPr>
        <w:spacing w:after="60" w:before="60"/>
      </w:pPr>
      <w:r>
        <w:rPr>
          <w:rFonts w:ascii="Arial" w:cs="Arial" w:eastAsia="Arial" w:hAnsi="Arial"/>
          <w:sz w:val="22"/>
          <w:szCs w:val="22"/>
        </w:rPr>
        <w:t xml:space="preserve">Integrate Microsoft Copilot and ChatGPT to auto-generate narrative summaries, AI-powered insights, and business commentary based on dashboard findings.</w:t>
      </w:r>
    </w:p>
    <w:p>
      <w:pPr>
        <w:pStyle w:val="ListParagraph"/>
        <w:numPr>
          <w:ilvl w:val="0"/>
          <w:numId w:val="3"/>
        </w:numPr>
        <w:spacing w:after="60" w:before="60"/>
      </w:pPr>
      <w:r>
        <w:rPr>
          <w:rFonts w:ascii="Arial" w:cs="Arial" w:eastAsia="Arial" w:hAnsi="Arial"/>
          <w:sz w:val="22"/>
          <w:szCs w:val="22"/>
        </w:rPr>
        <w:t xml:space="preserve">Identify key business insights including top-performing products, loss-making segments, high-discount categories, and regional performance gaps.</w:t>
      </w:r>
    </w:p>
    <w:p>
      <w:pPr>
        <w:pStyle w:val="ListParagraph"/>
        <w:numPr>
          <w:ilvl w:val="0"/>
          <w:numId w:val="3"/>
        </w:numPr>
        <w:spacing w:after="60" w:before="60"/>
      </w:pPr>
      <w:r>
        <w:rPr>
          <w:rFonts w:ascii="Arial" w:cs="Arial" w:eastAsia="Arial" w:hAnsi="Arial"/>
          <w:sz w:val="22"/>
          <w:szCs w:val="22"/>
        </w:rPr>
        <w:t xml:space="preserve">Produce concrete, data-backed business recommendations to improve sales strategy, pricing, and operations.</w:t>
      </w:r>
    </w:p>
    <w:p>
      <w:pPr>
        <w:pStyle w:val="ListParagraph"/>
        <w:numPr>
          <w:ilvl w:val="0"/>
          <w:numId w:val="3"/>
        </w:numPr>
        <w:spacing w:after="60" w:before="60"/>
      </w:pPr>
      <w:r>
        <w:rPr>
          <w:rFonts w:ascii="Arial" w:cs="Arial" w:eastAsia="Arial" w:hAnsi="Arial"/>
          <w:sz w:val="22"/>
          <w:szCs w:val="22"/>
        </w:rPr>
        <w:t xml:space="preserve">Document the complete project, upload all files to GitHub, publish the dashboard to Power BI Service, and record a video demonstration for submission.</w:t>
      </w:r>
    </w:p>
    <w:p>
      <w:pPr>
        <w:spacing w:after="60" w:before="60"/>
      </w:pPr>
    </w:p>
    <w:p>
      <w:r>
        <w:br w:type="page"/>
      </w:r>
    </w:p>
    <w:p>
      <w:pPr>
        <w:spacing w:after="120" w:before="360"/>
      </w:pPr>
      <w:r>
        <w:rPr>
          <w:rFonts w:ascii="Arial" w:cs="Arial" w:eastAsia="Arial" w:hAnsi="Arial"/>
          <w:b/>
          <w:bCs/>
          <w:color w:val="1F3864"/>
          <w:sz w:val="32"/>
          <w:szCs w:val="32"/>
        </w:rPr>
        <w:t xml:space="preserve">5. Dataset Description</w:t>
      </w:r>
    </w:p>
    <w:p>
      <w:pPr>
        <w:pBdr>
          <w:bottom w:val="single" w:color="2E74B5" w:sz="8" w:space="1"/>
        </w:pBdr>
        <w:spacing w:after="14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Dataset Name</w:t>
            </w:r>
          </w:p>
        </w:tc>
        <w:tc>
          <w:tcPr>
            <w:tcW w:type="dxa" w:w="6360"/>
            <w:tcBorders>
              <w:top w:val="single" w:color="AAAAAA" w:sz="1"/>
              <w:left w:val="single" w:color="AAAAAA" w:sz="1"/>
              <w:bottom w:val="single" w:color="AAAAAA" w:sz="1"/>
              <w:right w:val="single" w:color="AAAAAA" w:sz="1"/>
            </w:tcBorders>
            <w:shd w:fill="2E74B5" w:val="clear"/>
            <w:tcMar>
              <w:top w:type="dxa" w:w="90"/>
              <w:left w:type="dxa" w:w="120"/>
              <w:bottom w:type="dxa" w:w="90"/>
              <w:right w:type="dxa" w:w="120"/>
            </w:tcMar>
          </w:tcPr>
          <w:p>
            <w:r>
              <w:rPr>
                <w:rFonts w:ascii="Arial" w:cs="Arial" w:eastAsia="Arial" w:hAnsi="Arial"/>
                <w:color w:val="FFFFFF"/>
                <w:sz w:val="21"/>
                <w:szCs w:val="21"/>
              </w:rPr>
              <w:t xml:space="preserve">Superstore Sales Dataset</w:t>
            </w:r>
          </w:p>
        </w:tc>
      </w:tr>
      <w:tr>
        <w:tc>
          <w:tcPr>
            <w:tcW w:type="dxa" w:w="30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Source</w:t>
            </w:r>
          </w:p>
        </w:tc>
        <w:tc>
          <w:tcPr>
            <w:tcW w:type="dxa" w:w="63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color w:val="000000"/>
                <w:sz w:val="21"/>
                <w:szCs w:val="21"/>
              </w:rPr>
              <w:t xml:space="preserve">Kaggle — https://www.kaggle.com/datasets/vivek468/superstore-dataset-final</w:t>
            </w:r>
          </w:p>
        </w:tc>
      </w:tr>
      <w:tr>
        <w:tc>
          <w:tcPr>
            <w:tcW w:type="dxa" w:w="30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File Format</w:t>
            </w:r>
          </w:p>
        </w:tc>
        <w:tc>
          <w:tcPr>
            <w:tcW w:type="dxa" w:w="63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color w:val="000000"/>
                <w:sz w:val="21"/>
                <w:szCs w:val="21"/>
              </w:rPr>
              <w:t xml:space="preserve">CSV / Excel (.csv, .xlsx)</w:t>
            </w:r>
          </w:p>
        </w:tc>
      </w:tr>
      <w:tr>
        <w:tc>
          <w:tcPr>
            <w:tcW w:type="dxa" w:w="30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Total Records</w:t>
            </w:r>
          </w:p>
        </w:tc>
        <w:tc>
          <w:tcPr>
            <w:tcW w:type="dxa" w:w="63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color w:val="000000"/>
                <w:sz w:val="21"/>
                <w:szCs w:val="21"/>
              </w:rPr>
              <w:t xml:space="preserve">9,994 rows</w:t>
            </w:r>
          </w:p>
        </w:tc>
      </w:tr>
      <w:tr>
        <w:tc>
          <w:tcPr>
            <w:tcW w:type="dxa" w:w="30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Total Fields</w:t>
            </w:r>
          </w:p>
        </w:tc>
        <w:tc>
          <w:tcPr>
            <w:tcW w:type="dxa" w:w="63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color w:val="000000"/>
                <w:sz w:val="21"/>
                <w:szCs w:val="21"/>
              </w:rPr>
              <w:t xml:space="preserve">21 columns</w:t>
            </w:r>
          </w:p>
        </w:tc>
      </w:tr>
      <w:tr>
        <w:tc>
          <w:tcPr>
            <w:tcW w:type="dxa" w:w="30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Time Period</w:t>
            </w:r>
          </w:p>
        </w:tc>
        <w:tc>
          <w:tcPr>
            <w:tcW w:type="dxa" w:w="63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color w:val="000000"/>
                <w:sz w:val="21"/>
                <w:szCs w:val="21"/>
              </w:rPr>
              <w:t xml:space="preserve">January 2014 – December 2017 (4 years)</w:t>
            </w:r>
          </w:p>
        </w:tc>
      </w:tr>
      <w:tr>
        <w:tc>
          <w:tcPr>
            <w:tcW w:type="dxa" w:w="30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Geographic Coverage</w:t>
            </w:r>
          </w:p>
        </w:tc>
        <w:tc>
          <w:tcPr>
            <w:tcW w:type="dxa" w:w="63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color w:val="000000"/>
                <w:sz w:val="21"/>
                <w:szCs w:val="21"/>
              </w:rPr>
              <w:t xml:space="preserve">United States — 4 Regions, 49 States, 531 Cities</w:t>
            </w:r>
          </w:p>
        </w:tc>
      </w:tr>
      <w:tr>
        <w:tc>
          <w:tcPr>
            <w:tcW w:type="dxa" w:w="30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Business Domain</w:t>
            </w:r>
          </w:p>
        </w:tc>
        <w:tc>
          <w:tcPr>
            <w:tcW w:type="dxa" w:w="63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color w:val="000000"/>
                <w:sz w:val="21"/>
                <w:szCs w:val="21"/>
              </w:rPr>
              <w:t xml:space="preserve">Retail / E-Commerce</w:t>
            </w:r>
          </w:p>
        </w:tc>
      </w:tr>
    </w:tbl>
    <w:p>
      <w:pPr>
        <w:spacing w:after="60" w:before="60"/>
      </w:pPr>
    </w:p>
    <w:p>
      <w:pPr>
        <w:spacing w:after="60" w:before="180"/>
      </w:pPr>
      <w:r>
        <w:rPr>
          <w:rFonts w:ascii="Arial" w:cs="Arial" w:eastAsia="Arial" w:hAnsi="Arial"/>
          <w:b/>
          <w:bCs/>
          <w:color w:val="1F3864"/>
          <w:sz w:val="23"/>
          <w:szCs w:val="23"/>
        </w:rPr>
        <w:t xml:space="preserve">Key Fields in the Dataset:</w:t>
      </w:r>
    </w:p>
    <w:p>
      <w:pPr>
        <w:pStyle w:val="ListParagraph"/>
        <w:numPr>
          <w:ilvl w:val="0"/>
          <w:numId w:val="2"/>
        </w:numPr>
        <w:spacing w:after="60" w:before="60"/>
      </w:pPr>
      <w:r>
        <w:rPr>
          <w:rFonts w:ascii="Arial" w:cs="Arial" w:eastAsia="Arial" w:hAnsi="Arial"/>
          <w:sz w:val="22"/>
          <w:szCs w:val="22"/>
        </w:rPr>
        <w:t xml:space="preserve">Order ID, Order Date, Ship Date, Ship Mode — order and logistics details</w:t>
      </w:r>
    </w:p>
    <w:p>
      <w:pPr>
        <w:pStyle w:val="ListParagraph"/>
        <w:numPr>
          <w:ilvl w:val="0"/>
          <w:numId w:val="2"/>
        </w:numPr>
        <w:spacing w:after="60" w:before="60"/>
      </w:pPr>
      <w:r>
        <w:rPr>
          <w:rFonts w:ascii="Arial" w:cs="Arial" w:eastAsia="Arial" w:hAnsi="Arial"/>
          <w:sz w:val="22"/>
          <w:szCs w:val="22"/>
        </w:rPr>
        <w:t xml:space="preserve">Customer ID, Customer Name, Segment (Consumer / Corporate / Home Office) — customer data</w:t>
      </w:r>
    </w:p>
    <w:p>
      <w:pPr>
        <w:pStyle w:val="ListParagraph"/>
        <w:numPr>
          <w:ilvl w:val="0"/>
          <w:numId w:val="2"/>
        </w:numPr>
        <w:spacing w:after="60" w:before="60"/>
      </w:pPr>
      <w:r>
        <w:rPr>
          <w:rFonts w:ascii="Arial" w:cs="Arial" w:eastAsia="Arial" w:hAnsi="Arial"/>
          <w:sz w:val="22"/>
          <w:szCs w:val="22"/>
        </w:rPr>
        <w:t xml:space="preserve">Country, City, State, Region (East / West / Central / South) — geography</w:t>
      </w:r>
    </w:p>
    <w:p>
      <w:pPr>
        <w:pStyle w:val="ListParagraph"/>
        <w:numPr>
          <w:ilvl w:val="0"/>
          <w:numId w:val="2"/>
        </w:numPr>
        <w:spacing w:after="60" w:before="60"/>
      </w:pPr>
      <w:r>
        <w:rPr>
          <w:rFonts w:ascii="Arial" w:cs="Arial" w:eastAsia="Arial" w:hAnsi="Arial"/>
          <w:sz w:val="22"/>
          <w:szCs w:val="22"/>
        </w:rPr>
        <w:t xml:space="preserve">Product ID, Category (Furniture / Office Supplies / Technology), Sub-Category, Product Name — product hierarchy</w:t>
      </w:r>
    </w:p>
    <w:p>
      <w:pPr>
        <w:pStyle w:val="ListParagraph"/>
        <w:numPr>
          <w:ilvl w:val="0"/>
          <w:numId w:val="2"/>
        </w:numPr>
        <w:spacing w:after="60" w:before="60"/>
      </w:pPr>
      <w:r>
        <w:rPr>
          <w:rFonts w:ascii="Arial" w:cs="Arial" w:eastAsia="Arial" w:hAnsi="Arial"/>
          <w:sz w:val="22"/>
          <w:szCs w:val="22"/>
        </w:rPr>
        <w:t xml:space="preserve">Sales, Quantity, Discount, Profit — financial metrics</w:t>
      </w:r>
    </w:p>
    <w:p>
      <w:pPr>
        <w:spacing w:after="60" w:before="60"/>
      </w:pPr>
    </w:p>
    <w:p>
      <w:r>
        <w:br w:type="page"/>
      </w:r>
    </w:p>
    <w:p>
      <w:pPr>
        <w:spacing w:after="120" w:before="360"/>
      </w:pPr>
      <w:r>
        <w:rPr>
          <w:rFonts w:ascii="Arial" w:cs="Arial" w:eastAsia="Arial" w:hAnsi="Arial"/>
          <w:b/>
          <w:bCs/>
          <w:color w:val="1F3864"/>
          <w:sz w:val="32"/>
          <w:szCs w:val="32"/>
        </w:rPr>
        <w:t xml:space="preserve">6. Data Cleaning &amp; Preprocessing</w:t>
      </w:r>
    </w:p>
    <w:p>
      <w:pPr>
        <w:pBdr>
          <w:bottom w:val="single" w:color="2E74B5" w:sz="8" w:space="1"/>
        </w:pBdr>
        <w:spacing w:after="140" w:before="100"/>
      </w:pPr>
    </w:p>
    <w:p>
      <w:pPr>
        <w:spacing w:after="80" w:before="80"/>
        <w:jc w:val="both"/>
      </w:pPr>
      <w:r>
        <w:rPr>
          <w:rFonts w:ascii="Arial" w:cs="Arial" w:eastAsia="Arial" w:hAnsi="Arial"/>
          <w:b w:val="false"/>
          <w:bCs w:val="false"/>
          <w:i w:val="false"/>
          <w:iCs w:val="false"/>
          <w:color w:val="000000"/>
          <w:sz w:val="22"/>
          <w:szCs w:val="22"/>
        </w:rPr>
        <w:t xml:space="preserve">All data cleaning was performed using Power Query Editor in Power BI Desktop. The following transformations were applied: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5560"/>
        <w:gridCol w:w="1500"/>
      </w:tblGrid>
      <w:tr>
        <w:tc>
          <w:tcPr>
            <w:tcW w:type="dxa" w:w="500"/>
            <w:tcBorders>
              <w:top w:val="single" w:color="AAAAAA" w:sz="1"/>
              <w:left w:val="single" w:color="AAAAAA" w:sz="1"/>
              <w:bottom w:val="single" w:color="AAAAAA" w:sz="1"/>
              <w:right w:val="single" w:color="AAAAAA" w:sz="1"/>
            </w:tcBorders>
            <w:shd w:fill="2E74B5" w:val="clear"/>
            <w:tcMar>
              <w:top w:type="dxa" w:w="90"/>
              <w:left w:type="dxa" w:w="80"/>
              <w:bottom w:type="dxa" w:w="90"/>
              <w:right w:type="dxa" w:w="80"/>
            </w:tcMar>
            <w:vAlign w:val="center"/>
          </w:tcPr>
          <w:p>
            <w:pPr>
              <w:jc w:val="center"/>
            </w:pPr>
            <w:r>
              <w:rPr>
                <w:rFonts w:ascii="Arial" w:cs="Arial" w:eastAsia="Arial" w:hAnsi="Arial"/>
                <w:b/>
                <w:bCs/>
                <w:color w:val="FFFFFF"/>
                <w:sz w:val="22"/>
                <w:szCs w:val="22"/>
              </w:rPr>
              <w:t xml:space="preserve">#</w:t>
            </w:r>
          </w:p>
        </w:tc>
        <w:tc>
          <w:tcPr>
            <w:tcW w:type="dxa" w:w="18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Step</w:t>
            </w:r>
          </w:p>
        </w:tc>
        <w:tc>
          <w:tcPr>
            <w:tcW w:type="dxa" w:w="55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1"/>
                <w:szCs w:val="21"/>
              </w:rPr>
              <w:t xml:space="preserve">Action Performed</w:t>
            </w:r>
          </w:p>
        </w:tc>
        <w:tc>
          <w:tcPr>
            <w:tcW w:type="dxa" w:w="1500"/>
            <w:tcBorders>
              <w:top w:val="single" w:color="AAAAAA" w:sz="1"/>
              <w:left w:val="single" w:color="AAAAAA" w:sz="1"/>
              <w:bottom w:val="single" w:color="AAAAAA" w:sz="1"/>
              <w:right w:val="single" w:color="AAAAAA"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20"/>
                <w:szCs w:val="20"/>
              </w:rPr>
              <w:t xml:space="preserve">Status</w:t>
            </w:r>
          </w:p>
        </w:tc>
      </w:tr>
      <w:tr>
        <w:tc>
          <w:tcPr>
            <w:tcW w:type="dxa" w:w="500"/>
            <w:tcBorders>
              <w:top w:val="single" w:color="AAAAAA" w:sz="1"/>
              <w:left w:val="single" w:color="AAAAAA" w:sz="1"/>
              <w:bottom w:val="single" w:color="AAAAAA" w:sz="1"/>
              <w:right w:val="single" w:color="AAAAAA" w:sz="1"/>
            </w:tcBorders>
            <w:shd w:fill="2E74B5" w:val="clear"/>
            <w:tcMar>
              <w:top w:type="dxa" w:w="90"/>
              <w:left w:type="dxa" w:w="80"/>
              <w:bottom w:type="dxa" w:w="90"/>
              <w:right w:type="dxa" w:w="80"/>
            </w:tcMar>
            <w:vAlign w:val="center"/>
          </w:tcPr>
          <w:p>
            <w:pPr>
              <w:jc w:val="center"/>
            </w:pPr>
            <w:r>
              <w:rPr>
                <w:rFonts w:ascii="Arial" w:cs="Arial" w:eastAsia="Arial" w:hAnsi="Arial"/>
                <w:b/>
                <w:bCs/>
                <w:color w:val="FFFFFF"/>
                <w:sz w:val="22"/>
                <w:szCs w:val="22"/>
              </w:rPr>
              <w:t xml:space="preserve">1</w:t>
            </w:r>
          </w:p>
        </w:tc>
        <w:tc>
          <w:tcPr>
            <w:tcW w:type="dxa" w:w="18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Duplicates</w:t>
            </w:r>
          </w:p>
        </w:tc>
        <w:tc>
          <w:tcPr>
            <w:tcW w:type="dxa" w:w="55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1"/>
                <w:szCs w:val="21"/>
              </w:rPr>
              <w:t xml:space="preserve">Checked Order ID column for duplicate records — 0 true duplicates found; verified row integrity.</w:t>
            </w:r>
          </w:p>
        </w:tc>
        <w:tc>
          <w:tcPr>
            <w:tcW w:type="dxa" w:w="1500"/>
            <w:tcBorders>
              <w:top w:val="single" w:color="AAAAAA" w:sz="1"/>
              <w:left w:val="single" w:color="AAAAAA" w:sz="1"/>
              <w:bottom w:val="single" w:color="AAAAAA" w:sz="1"/>
              <w:right w:val="single" w:color="AAAAAA"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20"/>
                <w:szCs w:val="20"/>
              </w:rPr>
              <w:t xml:space="preserve">Done</w:t>
            </w:r>
          </w:p>
        </w:tc>
      </w:tr>
      <w:tr>
        <w:tc>
          <w:tcPr>
            <w:tcW w:type="dxa" w:w="500"/>
            <w:tcBorders>
              <w:top w:val="single" w:color="AAAAAA" w:sz="1"/>
              <w:left w:val="single" w:color="AAAAAA" w:sz="1"/>
              <w:bottom w:val="single" w:color="AAAAAA" w:sz="1"/>
              <w:right w:val="single" w:color="AAAAAA" w:sz="1"/>
            </w:tcBorders>
            <w:shd w:fill="2E74B5" w:val="clear"/>
            <w:tcMar>
              <w:top w:type="dxa" w:w="90"/>
              <w:left w:type="dxa" w:w="80"/>
              <w:bottom w:type="dxa" w:w="90"/>
              <w:right w:type="dxa" w:w="80"/>
            </w:tcMar>
            <w:vAlign w:val="center"/>
          </w:tcPr>
          <w:p>
            <w:pPr>
              <w:jc w:val="center"/>
            </w:pPr>
            <w:r>
              <w:rPr>
                <w:rFonts w:ascii="Arial" w:cs="Arial" w:eastAsia="Arial" w:hAnsi="Arial"/>
                <w:b/>
                <w:bCs/>
                <w:color w:val="FFFFFF"/>
                <w:sz w:val="22"/>
                <w:szCs w:val="22"/>
              </w:rPr>
              <w:t xml:space="preserve">2</w:t>
            </w:r>
          </w:p>
        </w:tc>
        <w:tc>
          <w:tcPr>
            <w:tcW w:type="dxa" w:w="18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Data Types</w:t>
            </w:r>
          </w:p>
        </w:tc>
        <w:tc>
          <w:tcPr>
            <w:tcW w:type="dxa" w:w="55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1"/>
                <w:szCs w:val="21"/>
              </w:rPr>
              <w:t xml:space="preserve">Converted Order Date and Ship Date from text to Date format. Changed Sales, Discount, and Profit to Decimal Number.</w:t>
            </w:r>
          </w:p>
        </w:tc>
        <w:tc>
          <w:tcPr>
            <w:tcW w:type="dxa" w:w="1500"/>
            <w:tcBorders>
              <w:top w:val="single" w:color="AAAAAA" w:sz="1"/>
              <w:left w:val="single" w:color="AAAAAA" w:sz="1"/>
              <w:bottom w:val="single" w:color="AAAAAA" w:sz="1"/>
              <w:right w:val="single" w:color="AAAAAA"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20"/>
                <w:szCs w:val="20"/>
              </w:rPr>
              <w:t xml:space="preserve">Done</w:t>
            </w:r>
          </w:p>
        </w:tc>
      </w:tr>
      <w:tr>
        <w:tc>
          <w:tcPr>
            <w:tcW w:type="dxa" w:w="500"/>
            <w:tcBorders>
              <w:top w:val="single" w:color="AAAAAA" w:sz="1"/>
              <w:left w:val="single" w:color="AAAAAA" w:sz="1"/>
              <w:bottom w:val="single" w:color="AAAAAA" w:sz="1"/>
              <w:right w:val="single" w:color="AAAAAA" w:sz="1"/>
            </w:tcBorders>
            <w:shd w:fill="2E74B5" w:val="clear"/>
            <w:tcMar>
              <w:top w:type="dxa" w:w="90"/>
              <w:left w:type="dxa" w:w="80"/>
              <w:bottom w:type="dxa" w:w="90"/>
              <w:right w:type="dxa" w:w="80"/>
            </w:tcMar>
            <w:vAlign w:val="center"/>
          </w:tcPr>
          <w:p>
            <w:pPr>
              <w:jc w:val="center"/>
            </w:pPr>
            <w:r>
              <w:rPr>
                <w:rFonts w:ascii="Arial" w:cs="Arial" w:eastAsia="Arial" w:hAnsi="Arial"/>
                <w:b/>
                <w:bCs/>
                <w:color w:val="FFFFFF"/>
                <w:sz w:val="22"/>
                <w:szCs w:val="22"/>
              </w:rPr>
              <w:t xml:space="preserve">3</w:t>
            </w:r>
          </w:p>
        </w:tc>
        <w:tc>
          <w:tcPr>
            <w:tcW w:type="dxa" w:w="18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Null Values</w:t>
            </w:r>
          </w:p>
        </w:tc>
        <w:tc>
          <w:tcPr>
            <w:tcW w:type="dxa" w:w="55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1"/>
                <w:szCs w:val="21"/>
              </w:rPr>
              <w:t xml:space="preserve">Identified and handled null entries in Postal Code (filled with 00000 as placeholder for missing zip codes).</w:t>
            </w:r>
          </w:p>
        </w:tc>
        <w:tc>
          <w:tcPr>
            <w:tcW w:type="dxa" w:w="1500"/>
            <w:tcBorders>
              <w:top w:val="single" w:color="AAAAAA" w:sz="1"/>
              <w:left w:val="single" w:color="AAAAAA" w:sz="1"/>
              <w:bottom w:val="single" w:color="AAAAAA" w:sz="1"/>
              <w:right w:val="single" w:color="AAAAAA"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20"/>
                <w:szCs w:val="20"/>
              </w:rPr>
              <w:t xml:space="preserve">Done</w:t>
            </w:r>
          </w:p>
        </w:tc>
      </w:tr>
      <w:tr>
        <w:tc>
          <w:tcPr>
            <w:tcW w:type="dxa" w:w="500"/>
            <w:tcBorders>
              <w:top w:val="single" w:color="AAAAAA" w:sz="1"/>
              <w:left w:val="single" w:color="AAAAAA" w:sz="1"/>
              <w:bottom w:val="single" w:color="AAAAAA" w:sz="1"/>
              <w:right w:val="single" w:color="AAAAAA" w:sz="1"/>
            </w:tcBorders>
            <w:shd w:fill="2E74B5" w:val="clear"/>
            <w:tcMar>
              <w:top w:type="dxa" w:w="90"/>
              <w:left w:type="dxa" w:w="80"/>
              <w:bottom w:type="dxa" w:w="90"/>
              <w:right w:type="dxa" w:w="80"/>
            </w:tcMar>
            <w:vAlign w:val="center"/>
          </w:tcPr>
          <w:p>
            <w:pPr>
              <w:jc w:val="center"/>
            </w:pPr>
            <w:r>
              <w:rPr>
                <w:rFonts w:ascii="Arial" w:cs="Arial" w:eastAsia="Arial" w:hAnsi="Arial"/>
                <w:b/>
                <w:bCs/>
                <w:color w:val="FFFFFF"/>
                <w:sz w:val="22"/>
                <w:szCs w:val="22"/>
              </w:rPr>
              <w:t xml:space="preserve">4</w:t>
            </w:r>
          </w:p>
        </w:tc>
        <w:tc>
          <w:tcPr>
            <w:tcW w:type="dxa" w:w="18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Column Renaming</w:t>
            </w:r>
          </w:p>
        </w:tc>
        <w:tc>
          <w:tcPr>
            <w:tcW w:type="dxa" w:w="55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1"/>
                <w:szCs w:val="21"/>
              </w:rPr>
              <w:t xml:space="preserve">Renamed columns for clarity: 'Row ID' to 'Record ID', 'Sub-Category' to 'Sub Category' (space removed).</w:t>
            </w:r>
          </w:p>
        </w:tc>
        <w:tc>
          <w:tcPr>
            <w:tcW w:type="dxa" w:w="1500"/>
            <w:tcBorders>
              <w:top w:val="single" w:color="AAAAAA" w:sz="1"/>
              <w:left w:val="single" w:color="AAAAAA" w:sz="1"/>
              <w:bottom w:val="single" w:color="AAAAAA" w:sz="1"/>
              <w:right w:val="single" w:color="AAAAAA"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20"/>
                <w:szCs w:val="20"/>
              </w:rPr>
              <w:t xml:space="preserve">Done</w:t>
            </w:r>
          </w:p>
        </w:tc>
      </w:tr>
      <w:tr>
        <w:tc>
          <w:tcPr>
            <w:tcW w:type="dxa" w:w="500"/>
            <w:tcBorders>
              <w:top w:val="single" w:color="AAAAAA" w:sz="1"/>
              <w:left w:val="single" w:color="AAAAAA" w:sz="1"/>
              <w:bottom w:val="single" w:color="AAAAAA" w:sz="1"/>
              <w:right w:val="single" w:color="AAAAAA" w:sz="1"/>
            </w:tcBorders>
            <w:shd w:fill="2E74B5" w:val="clear"/>
            <w:tcMar>
              <w:top w:type="dxa" w:w="90"/>
              <w:left w:type="dxa" w:w="80"/>
              <w:bottom w:type="dxa" w:w="90"/>
              <w:right w:type="dxa" w:w="80"/>
            </w:tcMar>
            <w:vAlign w:val="center"/>
          </w:tcPr>
          <w:p>
            <w:pPr>
              <w:jc w:val="center"/>
            </w:pPr>
            <w:r>
              <w:rPr>
                <w:rFonts w:ascii="Arial" w:cs="Arial" w:eastAsia="Arial" w:hAnsi="Arial"/>
                <w:b/>
                <w:bCs/>
                <w:color w:val="FFFFFF"/>
                <w:sz w:val="22"/>
                <w:szCs w:val="22"/>
              </w:rPr>
              <w:t xml:space="preserve">5</w:t>
            </w:r>
          </w:p>
        </w:tc>
        <w:tc>
          <w:tcPr>
            <w:tcW w:type="dxa" w:w="18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Derived Columns</w:t>
            </w:r>
          </w:p>
        </w:tc>
        <w:tc>
          <w:tcPr>
            <w:tcW w:type="dxa" w:w="55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1"/>
                <w:szCs w:val="21"/>
              </w:rPr>
              <w:t xml:space="preserve">Added calculated column: Shipping Days = Ship Date minus Order Date (in days) for logistics analysis.</w:t>
            </w:r>
          </w:p>
        </w:tc>
        <w:tc>
          <w:tcPr>
            <w:tcW w:type="dxa" w:w="1500"/>
            <w:tcBorders>
              <w:top w:val="single" w:color="AAAAAA" w:sz="1"/>
              <w:left w:val="single" w:color="AAAAAA" w:sz="1"/>
              <w:bottom w:val="single" w:color="AAAAAA" w:sz="1"/>
              <w:right w:val="single" w:color="AAAAAA"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20"/>
                <w:szCs w:val="20"/>
              </w:rPr>
              <w:t xml:space="preserve">Done</w:t>
            </w:r>
          </w:p>
        </w:tc>
      </w:tr>
      <w:tr>
        <w:tc>
          <w:tcPr>
            <w:tcW w:type="dxa" w:w="500"/>
            <w:tcBorders>
              <w:top w:val="single" w:color="AAAAAA" w:sz="1"/>
              <w:left w:val="single" w:color="AAAAAA" w:sz="1"/>
              <w:bottom w:val="single" w:color="AAAAAA" w:sz="1"/>
              <w:right w:val="single" w:color="AAAAAA" w:sz="1"/>
            </w:tcBorders>
            <w:shd w:fill="2E74B5" w:val="clear"/>
            <w:tcMar>
              <w:top w:type="dxa" w:w="90"/>
              <w:left w:type="dxa" w:w="80"/>
              <w:bottom w:type="dxa" w:w="90"/>
              <w:right w:type="dxa" w:w="80"/>
            </w:tcMar>
            <w:vAlign w:val="center"/>
          </w:tcPr>
          <w:p>
            <w:pPr>
              <w:jc w:val="center"/>
            </w:pPr>
            <w:r>
              <w:rPr>
                <w:rFonts w:ascii="Arial" w:cs="Arial" w:eastAsia="Arial" w:hAnsi="Arial"/>
                <w:b/>
                <w:bCs/>
                <w:color w:val="FFFFFF"/>
                <w:sz w:val="22"/>
                <w:szCs w:val="22"/>
              </w:rPr>
              <w:t xml:space="preserve">6</w:t>
            </w:r>
          </w:p>
        </w:tc>
        <w:tc>
          <w:tcPr>
            <w:tcW w:type="dxa" w:w="18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Profit Flag</w:t>
            </w:r>
          </w:p>
        </w:tc>
        <w:tc>
          <w:tcPr>
            <w:tcW w:type="dxa" w:w="55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1"/>
                <w:szCs w:val="21"/>
              </w:rPr>
              <w:t xml:space="preserve">Added conditional column: Profit Status = 'Profitable' if Profit &gt; 0, else 'Loss' for quick segmentation.</w:t>
            </w:r>
          </w:p>
        </w:tc>
        <w:tc>
          <w:tcPr>
            <w:tcW w:type="dxa" w:w="1500"/>
            <w:tcBorders>
              <w:top w:val="single" w:color="AAAAAA" w:sz="1"/>
              <w:left w:val="single" w:color="AAAAAA" w:sz="1"/>
              <w:bottom w:val="single" w:color="AAAAAA" w:sz="1"/>
              <w:right w:val="single" w:color="AAAAAA"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20"/>
                <w:szCs w:val="20"/>
              </w:rPr>
              <w:t xml:space="preserve">Done</w:t>
            </w:r>
          </w:p>
        </w:tc>
      </w:tr>
      <w:tr>
        <w:tc>
          <w:tcPr>
            <w:tcW w:type="dxa" w:w="500"/>
            <w:tcBorders>
              <w:top w:val="single" w:color="AAAAAA" w:sz="1"/>
              <w:left w:val="single" w:color="AAAAAA" w:sz="1"/>
              <w:bottom w:val="single" w:color="AAAAAA" w:sz="1"/>
              <w:right w:val="single" w:color="AAAAAA" w:sz="1"/>
            </w:tcBorders>
            <w:shd w:fill="2E74B5" w:val="clear"/>
            <w:tcMar>
              <w:top w:type="dxa" w:w="90"/>
              <w:left w:type="dxa" w:w="80"/>
              <w:bottom w:type="dxa" w:w="90"/>
              <w:right w:type="dxa" w:w="80"/>
            </w:tcMar>
            <w:vAlign w:val="center"/>
          </w:tcPr>
          <w:p>
            <w:pPr>
              <w:jc w:val="center"/>
            </w:pPr>
            <w:r>
              <w:rPr>
                <w:rFonts w:ascii="Arial" w:cs="Arial" w:eastAsia="Arial" w:hAnsi="Arial"/>
                <w:b/>
                <w:bCs/>
                <w:color w:val="FFFFFF"/>
                <w:sz w:val="22"/>
                <w:szCs w:val="22"/>
              </w:rPr>
              <w:t xml:space="preserve">7</w:t>
            </w:r>
          </w:p>
        </w:tc>
        <w:tc>
          <w:tcPr>
            <w:tcW w:type="dxa" w:w="18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Formatting</w:t>
            </w:r>
          </w:p>
        </w:tc>
        <w:tc>
          <w:tcPr>
            <w:tcW w:type="dxa" w:w="55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1"/>
                <w:szCs w:val="21"/>
              </w:rPr>
              <w:t xml:space="preserve">Standardized Region and Segment columns to proper title case. Removed leading/trailing whitespace.</w:t>
            </w:r>
          </w:p>
        </w:tc>
        <w:tc>
          <w:tcPr>
            <w:tcW w:type="dxa" w:w="1500"/>
            <w:tcBorders>
              <w:top w:val="single" w:color="AAAAAA" w:sz="1"/>
              <w:left w:val="single" w:color="AAAAAA" w:sz="1"/>
              <w:bottom w:val="single" w:color="AAAAAA" w:sz="1"/>
              <w:right w:val="single" w:color="AAAAAA"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20"/>
                <w:szCs w:val="20"/>
              </w:rPr>
              <w:t xml:space="preserve">Done</w:t>
            </w:r>
          </w:p>
        </w:tc>
      </w:tr>
      <w:tr>
        <w:tc>
          <w:tcPr>
            <w:tcW w:type="dxa" w:w="500"/>
            <w:tcBorders>
              <w:top w:val="single" w:color="AAAAAA" w:sz="1"/>
              <w:left w:val="single" w:color="AAAAAA" w:sz="1"/>
              <w:bottom w:val="single" w:color="AAAAAA" w:sz="1"/>
              <w:right w:val="single" w:color="AAAAAA" w:sz="1"/>
            </w:tcBorders>
            <w:shd w:fill="2E74B5" w:val="clear"/>
            <w:tcMar>
              <w:top w:type="dxa" w:w="90"/>
              <w:left w:type="dxa" w:w="80"/>
              <w:bottom w:type="dxa" w:w="90"/>
              <w:right w:type="dxa" w:w="80"/>
            </w:tcMar>
            <w:vAlign w:val="center"/>
          </w:tcPr>
          <w:p>
            <w:pPr>
              <w:jc w:val="center"/>
            </w:pPr>
            <w:r>
              <w:rPr>
                <w:rFonts w:ascii="Arial" w:cs="Arial" w:eastAsia="Arial" w:hAnsi="Arial"/>
                <w:b/>
                <w:bCs/>
                <w:color w:val="FFFFFF"/>
                <w:sz w:val="22"/>
                <w:szCs w:val="22"/>
              </w:rPr>
              <w:t xml:space="preserve">8</w:t>
            </w:r>
          </w:p>
        </w:tc>
        <w:tc>
          <w:tcPr>
            <w:tcW w:type="dxa" w:w="18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Validation</w:t>
            </w:r>
          </w:p>
        </w:tc>
        <w:tc>
          <w:tcPr>
            <w:tcW w:type="dxa" w:w="55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1"/>
                <w:szCs w:val="21"/>
              </w:rPr>
              <w:t xml:space="preserve">Confirmed final row count: 9,994 rows. Verified all date ranges (2014–2017). Checked for outliers in Sales.</w:t>
            </w:r>
          </w:p>
        </w:tc>
        <w:tc>
          <w:tcPr>
            <w:tcW w:type="dxa" w:w="1500"/>
            <w:tcBorders>
              <w:top w:val="single" w:color="AAAAAA" w:sz="1"/>
              <w:left w:val="single" w:color="AAAAAA" w:sz="1"/>
              <w:bottom w:val="single" w:color="AAAAAA" w:sz="1"/>
              <w:right w:val="single" w:color="AAAAAA"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20"/>
                <w:szCs w:val="20"/>
              </w:rPr>
              <w:t xml:space="preserve">Done</w:t>
            </w:r>
          </w:p>
        </w:tc>
      </w:tr>
    </w:tbl>
    <w:p>
      <w:pPr>
        <w:spacing w:after="60" w:before="60"/>
      </w:pPr>
    </w:p>
    <w:p>
      <w:pPr>
        <w:spacing w:after="80" w:before="80"/>
        <w:jc w:val="both"/>
      </w:pPr>
      <w:r>
        <w:rPr>
          <w:rFonts w:ascii="Arial" w:cs="Arial" w:eastAsia="Arial" w:hAnsi="Arial"/>
          <w:b w:val="false"/>
          <w:bCs w:val="false"/>
          <w:i w:val="false"/>
          <w:iCs w:val="false"/>
          <w:color w:val="000000"/>
          <w:sz w:val="22"/>
          <w:szCs w:val="22"/>
        </w:rPr>
        <w:t xml:space="preserve">After preprocessing, the dataset was fully clean, structured, and loaded into the Power BI data model for analysis.</w:t>
      </w:r>
    </w:p>
    <w:p>
      <w:pPr>
        <w:spacing w:after="60" w:before="60"/>
      </w:pPr>
    </w:p>
    <w:p>
      <w:r>
        <w:br w:type="page"/>
      </w:r>
    </w:p>
    <w:p>
      <w:pPr>
        <w:spacing w:after="120" w:before="360"/>
      </w:pPr>
      <w:r>
        <w:rPr>
          <w:rFonts w:ascii="Arial" w:cs="Arial" w:eastAsia="Arial" w:hAnsi="Arial"/>
          <w:b/>
          <w:bCs/>
          <w:color w:val="1F3864"/>
          <w:sz w:val="32"/>
          <w:szCs w:val="32"/>
        </w:rPr>
        <w:t xml:space="preserve">7. Analysis &amp; DAX Measures</w:t>
      </w:r>
    </w:p>
    <w:p>
      <w:pPr>
        <w:pBdr>
          <w:bottom w:val="single" w:color="2E74B5" w:sz="8" w:space="1"/>
        </w:pBdr>
        <w:spacing w:after="140" w:before="100"/>
      </w:pPr>
    </w:p>
    <w:p>
      <w:pPr>
        <w:spacing w:after="80" w:before="80"/>
        <w:jc w:val="both"/>
      </w:pPr>
      <w:r>
        <w:rPr>
          <w:rFonts w:ascii="Arial" w:cs="Arial" w:eastAsia="Arial" w:hAnsi="Arial"/>
          <w:b w:val="false"/>
          <w:bCs w:val="false"/>
          <w:i w:val="false"/>
          <w:iCs w:val="false"/>
          <w:color w:val="000000"/>
          <w:sz w:val="22"/>
          <w:szCs w:val="22"/>
        </w:rPr>
        <w:t xml:space="preserve">The following DAX measures were created in Power BI to calculate business KPIs. Each measure drives a specific visual or KPI card on the dashboard.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00"/>
        <w:gridCol w:w="3060"/>
      </w:tblGrid>
      <w:tr>
        <w:tc>
          <w:tcPr>
            <w:tcW w:type="dxa" w:w="2000"/>
            <w:tcBorders>
              <w:top w:val="single" w:color="AAAAAA" w:sz="1"/>
              <w:left w:val="single" w:color="AAAAAA" w:sz="1"/>
              <w:bottom w:val="single" w:color="AAAAAA" w:sz="1"/>
              <w:right w:val="single" w:color="AAAAAA" w:sz="1"/>
            </w:tcBorders>
            <w:shd w:fill="1F3864"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KPI Measure</w:t>
            </w:r>
          </w:p>
        </w:tc>
        <w:tc>
          <w:tcPr>
            <w:tcW w:type="dxa" w:w="2800"/>
            <w:tcBorders>
              <w:top w:val="single" w:color="AAAAAA" w:sz="1"/>
              <w:left w:val="single" w:color="AAAAAA" w:sz="1"/>
              <w:bottom w:val="single" w:color="AAAAAA" w:sz="1"/>
              <w:right w:val="single" w:color="AAAAAA" w:sz="1"/>
            </w:tcBorders>
            <w:shd w:fill="1F3864"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DAX Formula</w:t>
            </w:r>
          </w:p>
        </w:tc>
        <w:tc>
          <w:tcPr>
            <w:tcW w:type="dxa" w:w="1500"/>
            <w:tcBorders>
              <w:top w:val="single" w:color="AAAAAA" w:sz="1"/>
              <w:left w:val="single" w:color="AAAAAA" w:sz="1"/>
              <w:bottom w:val="single" w:color="AAAAAA" w:sz="1"/>
              <w:right w:val="single" w:color="AAAAAA" w:sz="1"/>
            </w:tcBorders>
            <w:shd w:fill="1F3864"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Result</w:t>
            </w:r>
          </w:p>
        </w:tc>
        <w:tc>
          <w:tcPr>
            <w:tcW w:type="dxa" w:w="3060"/>
            <w:tcBorders>
              <w:top w:val="single" w:color="AAAAAA" w:sz="1"/>
              <w:left w:val="single" w:color="AAAAAA" w:sz="1"/>
              <w:bottom w:val="single" w:color="AAAAAA" w:sz="1"/>
              <w:right w:val="single" w:color="AAAAAA" w:sz="1"/>
            </w:tcBorders>
            <w:shd w:fill="1F3864"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Business Insight</w:t>
            </w:r>
          </w:p>
        </w:tc>
      </w:tr>
      <w:tr>
        <w:tc>
          <w:tcPr>
            <w:tcW w:type="dxa" w:w="20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0"/>
                <w:szCs w:val="20"/>
              </w:rPr>
              <w:t xml:space="preserve">Total Revenue</w:t>
            </w:r>
          </w:p>
        </w:tc>
        <w:tc>
          <w:tcPr>
            <w:tcW w:type="dxa" w:w="2800"/>
            <w:tcBorders>
              <w:top w:val="single" w:color="AAAAAA" w:sz="1"/>
              <w:left w:val="single" w:color="AAAAAA" w:sz="1"/>
              <w:bottom w:val="single" w:color="AAAAAA" w:sz="1"/>
              <w:right w:val="single" w:color="AAAAAA" w:sz="1"/>
            </w:tcBorders>
            <w:shd w:fill="F4F4F4" w:val="clear"/>
            <w:tcMar>
              <w:top w:type="dxa" w:w="90"/>
              <w:left w:type="dxa" w:w="120"/>
              <w:bottom w:type="dxa" w:w="90"/>
              <w:right w:type="dxa" w:w="120"/>
            </w:tcMar>
          </w:tcPr>
          <w:p>
            <w:r>
              <w:rPr>
                <w:rFonts w:ascii="Courier New" w:cs="Courier New" w:eastAsia="Courier New" w:hAnsi="Courier New"/>
                <w:color w:val="333333"/>
                <w:sz w:val="19"/>
                <w:szCs w:val="19"/>
              </w:rPr>
              <w:t xml:space="preserve">SUM(Orders[Sales])</w:t>
            </w:r>
          </w:p>
        </w:tc>
        <w:tc>
          <w:tcPr>
            <w:tcW w:type="dxa" w:w="15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pPr>
              <w:jc w:val="center"/>
            </w:pPr>
            <w:r>
              <w:rPr>
                <w:rFonts w:ascii="Arial" w:cs="Arial" w:eastAsia="Arial" w:hAnsi="Arial"/>
                <w:b/>
                <w:bCs/>
                <w:color w:val="2E74B5"/>
                <w:sz w:val="20"/>
                <w:szCs w:val="20"/>
              </w:rPr>
              <w:t xml:space="preserve">$2.30M</w:t>
            </w:r>
          </w:p>
        </w:tc>
        <w:tc>
          <w:tcPr>
            <w:tcW w:type="dxa" w:w="30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0"/>
                <w:szCs w:val="20"/>
              </w:rPr>
              <w:t xml:space="preserve">Total revenue generated across all orders and years</w:t>
            </w:r>
          </w:p>
        </w:tc>
      </w:tr>
      <w:tr>
        <w:tc>
          <w:tcPr>
            <w:tcW w:type="dxa" w:w="20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0"/>
                <w:szCs w:val="20"/>
              </w:rPr>
              <w:t xml:space="preserve">Total Profit</w:t>
            </w:r>
          </w:p>
        </w:tc>
        <w:tc>
          <w:tcPr>
            <w:tcW w:type="dxa" w:w="2800"/>
            <w:tcBorders>
              <w:top w:val="single" w:color="AAAAAA" w:sz="1"/>
              <w:left w:val="single" w:color="AAAAAA" w:sz="1"/>
              <w:bottom w:val="single" w:color="AAAAAA" w:sz="1"/>
              <w:right w:val="single" w:color="AAAAAA" w:sz="1"/>
            </w:tcBorders>
            <w:shd w:fill="F4F4F4" w:val="clear"/>
            <w:tcMar>
              <w:top w:type="dxa" w:w="90"/>
              <w:left w:type="dxa" w:w="120"/>
              <w:bottom w:type="dxa" w:w="90"/>
              <w:right w:type="dxa" w:w="120"/>
            </w:tcMar>
          </w:tcPr>
          <w:p>
            <w:r>
              <w:rPr>
                <w:rFonts w:ascii="Courier New" w:cs="Courier New" w:eastAsia="Courier New" w:hAnsi="Courier New"/>
                <w:color w:val="333333"/>
                <w:sz w:val="19"/>
                <w:szCs w:val="19"/>
              </w:rPr>
              <w:t xml:space="preserve">SUM(Orders[Profit])</w:t>
            </w:r>
          </w:p>
        </w:tc>
        <w:tc>
          <w:tcPr>
            <w:tcW w:type="dxa" w:w="15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pPr>
              <w:jc w:val="center"/>
            </w:pPr>
            <w:r>
              <w:rPr>
                <w:rFonts w:ascii="Arial" w:cs="Arial" w:eastAsia="Arial" w:hAnsi="Arial"/>
                <w:b/>
                <w:bCs/>
                <w:color w:val="2E74B5"/>
                <w:sz w:val="20"/>
                <w:szCs w:val="20"/>
              </w:rPr>
              <w:t xml:space="preserve">$286K</w:t>
            </w:r>
          </w:p>
        </w:tc>
        <w:tc>
          <w:tcPr>
            <w:tcW w:type="dxa" w:w="30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0"/>
                <w:szCs w:val="20"/>
              </w:rPr>
              <w:t xml:space="preserve">Net profit after discounts and costs</w:t>
            </w:r>
          </w:p>
        </w:tc>
      </w:tr>
      <w:tr>
        <w:tc>
          <w:tcPr>
            <w:tcW w:type="dxa" w:w="20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0"/>
                <w:szCs w:val="20"/>
              </w:rPr>
              <w:t xml:space="preserve">Profit Margin %</w:t>
            </w:r>
          </w:p>
        </w:tc>
        <w:tc>
          <w:tcPr>
            <w:tcW w:type="dxa" w:w="2800"/>
            <w:tcBorders>
              <w:top w:val="single" w:color="AAAAAA" w:sz="1"/>
              <w:left w:val="single" w:color="AAAAAA" w:sz="1"/>
              <w:bottom w:val="single" w:color="AAAAAA" w:sz="1"/>
              <w:right w:val="single" w:color="AAAAAA" w:sz="1"/>
            </w:tcBorders>
            <w:shd w:fill="F4F4F4" w:val="clear"/>
            <w:tcMar>
              <w:top w:type="dxa" w:w="90"/>
              <w:left w:type="dxa" w:w="120"/>
              <w:bottom w:type="dxa" w:w="90"/>
              <w:right w:type="dxa" w:w="120"/>
            </w:tcMar>
          </w:tcPr>
          <w:p>
            <w:r>
              <w:rPr>
                <w:rFonts w:ascii="Courier New" w:cs="Courier New" w:eastAsia="Courier New" w:hAnsi="Courier New"/>
                <w:color w:val="333333"/>
                <w:sz w:val="19"/>
                <w:szCs w:val="19"/>
              </w:rPr>
              <w:t xml:space="preserve">DIVIDE([Total Profit],[Total Revenue])</w:t>
            </w:r>
          </w:p>
        </w:tc>
        <w:tc>
          <w:tcPr>
            <w:tcW w:type="dxa" w:w="15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pPr>
              <w:jc w:val="center"/>
            </w:pPr>
            <w:r>
              <w:rPr>
                <w:rFonts w:ascii="Arial" w:cs="Arial" w:eastAsia="Arial" w:hAnsi="Arial"/>
                <w:b/>
                <w:bCs/>
                <w:color w:val="2E74B5"/>
                <w:sz w:val="20"/>
                <w:szCs w:val="20"/>
              </w:rPr>
              <w:t xml:space="preserve">12.47%</w:t>
            </w:r>
          </w:p>
        </w:tc>
        <w:tc>
          <w:tcPr>
            <w:tcW w:type="dxa" w:w="30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0"/>
                <w:szCs w:val="20"/>
              </w:rPr>
              <w:t xml:space="preserve">Overall margin — Technology drives the highest margin</w:t>
            </w:r>
          </w:p>
        </w:tc>
      </w:tr>
      <w:tr>
        <w:tc>
          <w:tcPr>
            <w:tcW w:type="dxa" w:w="20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0"/>
                <w:szCs w:val="20"/>
              </w:rPr>
              <w:t xml:space="preserve">Total Orders</w:t>
            </w:r>
          </w:p>
        </w:tc>
        <w:tc>
          <w:tcPr>
            <w:tcW w:type="dxa" w:w="2800"/>
            <w:tcBorders>
              <w:top w:val="single" w:color="AAAAAA" w:sz="1"/>
              <w:left w:val="single" w:color="AAAAAA" w:sz="1"/>
              <w:bottom w:val="single" w:color="AAAAAA" w:sz="1"/>
              <w:right w:val="single" w:color="AAAAAA" w:sz="1"/>
            </w:tcBorders>
            <w:shd w:fill="F4F4F4" w:val="clear"/>
            <w:tcMar>
              <w:top w:type="dxa" w:w="90"/>
              <w:left w:type="dxa" w:w="120"/>
              <w:bottom w:type="dxa" w:w="90"/>
              <w:right w:type="dxa" w:w="120"/>
            </w:tcMar>
          </w:tcPr>
          <w:p>
            <w:r>
              <w:rPr>
                <w:rFonts w:ascii="Courier New" w:cs="Courier New" w:eastAsia="Courier New" w:hAnsi="Courier New"/>
                <w:color w:val="333333"/>
                <w:sz w:val="19"/>
                <w:szCs w:val="19"/>
              </w:rPr>
              <w:t xml:space="preserve">COUNTROWS(Orders)</w:t>
            </w:r>
          </w:p>
        </w:tc>
        <w:tc>
          <w:tcPr>
            <w:tcW w:type="dxa" w:w="15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pPr>
              <w:jc w:val="center"/>
            </w:pPr>
            <w:r>
              <w:rPr>
                <w:rFonts w:ascii="Arial" w:cs="Arial" w:eastAsia="Arial" w:hAnsi="Arial"/>
                <w:b/>
                <w:bCs/>
                <w:color w:val="2E74B5"/>
                <w:sz w:val="20"/>
                <w:szCs w:val="20"/>
              </w:rPr>
              <w:t xml:space="preserve">9,994</w:t>
            </w:r>
          </w:p>
        </w:tc>
        <w:tc>
          <w:tcPr>
            <w:tcW w:type="dxa" w:w="30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0"/>
                <w:szCs w:val="20"/>
              </w:rPr>
              <w:t xml:space="preserve">Total transaction volume across 4 years</w:t>
            </w:r>
          </w:p>
        </w:tc>
      </w:tr>
      <w:tr>
        <w:tc>
          <w:tcPr>
            <w:tcW w:type="dxa" w:w="20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0"/>
                <w:szCs w:val="20"/>
              </w:rPr>
              <w:t xml:space="preserve">Avg Order Value</w:t>
            </w:r>
          </w:p>
        </w:tc>
        <w:tc>
          <w:tcPr>
            <w:tcW w:type="dxa" w:w="2800"/>
            <w:tcBorders>
              <w:top w:val="single" w:color="AAAAAA" w:sz="1"/>
              <w:left w:val="single" w:color="AAAAAA" w:sz="1"/>
              <w:bottom w:val="single" w:color="AAAAAA" w:sz="1"/>
              <w:right w:val="single" w:color="AAAAAA" w:sz="1"/>
            </w:tcBorders>
            <w:shd w:fill="F4F4F4" w:val="clear"/>
            <w:tcMar>
              <w:top w:type="dxa" w:w="90"/>
              <w:left w:type="dxa" w:w="120"/>
              <w:bottom w:type="dxa" w:w="90"/>
              <w:right w:type="dxa" w:w="120"/>
            </w:tcMar>
          </w:tcPr>
          <w:p>
            <w:r>
              <w:rPr>
                <w:rFonts w:ascii="Courier New" w:cs="Courier New" w:eastAsia="Courier New" w:hAnsi="Courier New"/>
                <w:color w:val="333333"/>
                <w:sz w:val="19"/>
                <w:szCs w:val="19"/>
              </w:rPr>
              <w:t xml:space="preserve">DIVIDE([Total Revenue],[Total Orders])</w:t>
            </w:r>
          </w:p>
        </w:tc>
        <w:tc>
          <w:tcPr>
            <w:tcW w:type="dxa" w:w="15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pPr>
              <w:jc w:val="center"/>
            </w:pPr>
            <w:r>
              <w:rPr>
                <w:rFonts w:ascii="Arial" w:cs="Arial" w:eastAsia="Arial" w:hAnsi="Arial"/>
                <w:b/>
                <w:bCs/>
                <w:color w:val="2E74B5"/>
                <w:sz w:val="20"/>
                <w:szCs w:val="20"/>
              </w:rPr>
              <w:t xml:space="preserve">$230.77</w:t>
            </w:r>
          </w:p>
        </w:tc>
        <w:tc>
          <w:tcPr>
            <w:tcW w:type="dxa" w:w="30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0"/>
                <w:szCs w:val="20"/>
              </w:rPr>
              <w:t xml:space="preserve">Average revenue per order</w:t>
            </w:r>
          </w:p>
        </w:tc>
      </w:tr>
      <w:tr>
        <w:tc>
          <w:tcPr>
            <w:tcW w:type="dxa" w:w="20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0"/>
                <w:szCs w:val="20"/>
              </w:rPr>
              <w:t xml:space="preserve">YoY Growth %</w:t>
            </w:r>
          </w:p>
        </w:tc>
        <w:tc>
          <w:tcPr>
            <w:tcW w:type="dxa" w:w="2800"/>
            <w:tcBorders>
              <w:top w:val="single" w:color="AAAAAA" w:sz="1"/>
              <w:left w:val="single" w:color="AAAAAA" w:sz="1"/>
              <w:bottom w:val="single" w:color="AAAAAA" w:sz="1"/>
              <w:right w:val="single" w:color="AAAAAA" w:sz="1"/>
            </w:tcBorders>
            <w:shd w:fill="F4F4F4" w:val="clear"/>
            <w:tcMar>
              <w:top w:type="dxa" w:w="90"/>
              <w:left w:type="dxa" w:w="120"/>
              <w:bottom w:type="dxa" w:w="90"/>
              <w:right w:type="dxa" w:w="120"/>
            </w:tcMar>
          </w:tcPr>
          <w:p>
            <w:r>
              <w:rPr>
                <w:rFonts w:ascii="Courier New" w:cs="Courier New" w:eastAsia="Courier New" w:hAnsi="Courier New"/>
                <w:color w:val="333333"/>
                <w:sz w:val="19"/>
                <w:szCs w:val="19"/>
              </w:rPr>
              <w:t xml:space="preserve">DIVIDE([CY Sales]-[PY Sales],[PY Sales])</w:t>
            </w:r>
          </w:p>
        </w:tc>
        <w:tc>
          <w:tcPr>
            <w:tcW w:type="dxa" w:w="15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pPr>
              <w:jc w:val="center"/>
            </w:pPr>
            <w:r>
              <w:rPr>
                <w:rFonts w:ascii="Arial" w:cs="Arial" w:eastAsia="Arial" w:hAnsi="Arial"/>
                <w:b/>
                <w:bCs/>
                <w:color w:val="2E74B5"/>
                <w:sz w:val="20"/>
                <w:szCs w:val="20"/>
              </w:rPr>
              <w:t xml:space="preserve">+28.6%</w:t>
            </w:r>
          </w:p>
        </w:tc>
        <w:tc>
          <w:tcPr>
            <w:tcW w:type="dxa" w:w="30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0"/>
                <w:szCs w:val="20"/>
              </w:rPr>
              <w:t xml:space="preserve">Strong upward revenue growth year over year</w:t>
            </w:r>
          </w:p>
        </w:tc>
      </w:tr>
      <w:tr>
        <w:tc>
          <w:tcPr>
            <w:tcW w:type="dxa" w:w="20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0"/>
                <w:szCs w:val="20"/>
              </w:rPr>
              <w:t xml:space="preserve">Avg Shipping Days</w:t>
            </w:r>
          </w:p>
        </w:tc>
        <w:tc>
          <w:tcPr>
            <w:tcW w:type="dxa" w:w="2800"/>
            <w:tcBorders>
              <w:top w:val="single" w:color="AAAAAA" w:sz="1"/>
              <w:left w:val="single" w:color="AAAAAA" w:sz="1"/>
              <w:bottom w:val="single" w:color="AAAAAA" w:sz="1"/>
              <w:right w:val="single" w:color="AAAAAA" w:sz="1"/>
            </w:tcBorders>
            <w:shd w:fill="F4F4F4" w:val="clear"/>
            <w:tcMar>
              <w:top w:type="dxa" w:w="90"/>
              <w:left w:type="dxa" w:w="120"/>
              <w:bottom w:type="dxa" w:w="90"/>
              <w:right w:type="dxa" w:w="120"/>
            </w:tcMar>
          </w:tcPr>
          <w:p>
            <w:r>
              <w:rPr>
                <w:rFonts w:ascii="Courier New" w:cs="Courier New" w:eastAsia="Courier New" w:hAnsi="Courier New"/>
                <w:color w:val="333333"/>
                <w:sz w:val="19"/>
                <w:szCs w:val="19"/>
              </w:rPr>
              <w:t xml:space="preserve">AVERAGE(Orders[Shipping Days])</w:t>
            </w:r>
          </w:p>
        </w:tc>
        <w:tc>
          <w:tcPr>
            <w:tcW w:type="dxa" w:w="15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pPr>
              <w:jc w:val="center"/>
            </w:pPr>
            <w:r>
              <w:rPr>
                <w:rFonts w:ascii="Arial" w:cs="Arial" w:eastAsia="Arial" w:hAnsi="Arial"/>
                <w:b/>
                <w:bCs/>
                <w:color w:val="2E74B5"/>
                <w:sz w:val="20"/>
                <w:szCs w:val="20"/>
              </w:rPr>
              <w:t xml:space="preserve">3.96 days</w:t>
            </w:r>
          </w:p>
        </w:tc>
        <w:tc>
          <w:tcPr>
            <w:tcW w:type="dxa" w:w="30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0"/>
                <w:szCs w:val="20"/>
              </w:rPr>
              <w:t xml:space="preserve">Near-target; Standard Class averages 5.5 days</w:t>
            </w:r>
          </w:p>
        </w:tc>
      </w:tr>
      <w:tr>
        <w:tc>
          <w:tcPr>
            <w:tcW w:type="dxa" w:w="20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0"/>
                <w:szCs w:val="20"/>
              </w:rPr>
              <w:t xml:space="preserve">Loss Orders</w:t>
            </w:r>
          </w:p>
        </w:tc>
        <w:tc>
          <w:tcPr>
            <w:tcW w:type="dxa" w:w="2800"/>
            <w:tcBorders>
              <w:top w:val="single" w:color="AAAAAA" w:sz="1"/>
              <w:left w:val="single" w:color="AAAAAA" w:sz="1"/>
              <w:bottom w:val="single" w:color="AAAAAA" w:sz="1"/>
              <w:right w:val="single" w:color="AAAAAA" w:sz="1"/>
            </w:tcBorders>
            <w:shd w:fill="F4F4F4" w:val="clear"/>
            <w:tcMar>
              <w:top w:type="dxa" w:w="90"/>
              <w:left w:type="dxa" w:w="120"/>
              <w:bottom w:type="dxa" w:w="90"/>
              <w:right w:type="dxa" w:w="120"/>
            </w:tcMar>
          </w:tcPr>
          <w:p>
            <w:r>
              <w:rPr>
                <w:rFonts w:ascii="Courier New" w:cs="Courier New" w:eastAsia="Courier New" w:hAnsi="Courier New"/>
                <w:color w:val="333333"/>
                <w:sz w:val="19"/>
                <w:szCs w:val="19"/>
              </w:rPr>
              <w:t xml:space="preserve">CALCULATE(COUNTROWS(Orders), Orders[Profit]&lt;0)</w:t>
            </w:r>
          </w:p>
        </w:tc>
        <w:tc>
          <w:tcPr>
            <w:tcW w:type="dxa" w:w="15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pPr>
              <w:jc w:val="center"/>
            </w:pPr>
            <w:r>
              <w:rPr>
                <w:rFonts w:ascii="Arial" w:cs="Arial" w:eastAsia="Arial" w:hAnsi="Arial"/>
                <w:b/>
                <w:bCs/>
                <w:color w:val="2E74B5"/>
                <w:sz w:val="20"/>
                <w:szCs w:val="20"/>
              </w:rPr>
              <w:t xml:space="preserve">1,871</w:t>
            </w:r>
          </w:p>
        </w:tc>
        <w:tc>
          <w:tcPr>
            <w:tcW w:type="dxa" w:w="30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0"/>
                <w:szCs w:val="20"/>
              </w:rPr>
              <w:t xml:space="preserve">18.7% of all orders are unprofitable — critical flag</w:t>
            </w:r>
          </w:p>
        </w:tc>
      </w:tr>
    </w:tbl>
    <w:p>
      <w:pPr>
        <w:spacing w:after="60" w:before="60"/>
      </w:pPr>
    </w:p>
    <w:p>
      <w:pPr>
        <w:spacing w:after="60" w:before="180"/>
      </w:pPr>
      <w:r>
        <w:rPr>
          <w:rFonts w:ascii="Arial" w:cs="Arial" w:eastAsia="Arial" w:hAnsi="Arial"/>
          <w:b/>
          <w:bCs/>
          <w:color w:val="1F3864"/>
          <w:sz w:val="23"/>
          <w:szCs w:val="23"/>
        </w:rPr>
        <w:t xml:space="preserve">Additional Calculated Columns (Power Query):</w:t>
      </w:r>
    </w:p>
    <w:p>
      <w:pPr>
        <w:pStyle w:val="ListParagraph"/>
        <w:numPr>
          <w:ilvl w:val="0"/>
          <w:numId w:val="2"/>
        </w:numPr>
        <w:spacing w:after="60" w:before="60"/>
      </w:pPr>
      <w:r>
        <w:rPr>
          <w:rFonts w:ascii="Arial" w:cs="Arial" w:eastAsia="Arial" w:hAnsi="Arial"/>
          <w:sz w:val="22"/>
          <w:szCs w:val="22"/>
        </w:rPr>
        <w:t xml:space="preserve">Shipping Days = [Ship Date] - [Order Date]</w:t>
      </w:r>
    </w:p>
    <w:p>
      <w:pPr>
        <w:pStyle w:val="ListParagraph"/>
        <w:numPr>
          <w:ilvl w:val="0"/>
          <w:numId w:val="2"/>
        </w:numPr>
        <w:spacing w:after="60" w:before="60"/>
      </w:pPr>
      <w:r>
        <w:rPr>
          <w:rFonts w:ascii="Arial" w:cs="Arial" w:eastAsia="Arial" w:hAnsi="Arial"/>
          <w:sz w:val="22"/>
          <w:szCs w:val="22"/>
        </w:rPr>
        <w:t xml:space="preserve">Profit Status = IF(Profit &gt; 0, 'Profitable', 'Loss')</w:t>
      </w:r>
    </w:p>
    <w:p>
      <w:pPr>
        <w:pStyle w:val="ListParagraph"/>
        <w:numPr>
          <w:ilvl w:val="0"/>
          <w:numId w:val="2"/>
        </w:numPr>
        <w:spacing w:after="60" w:before="60"/>
      </w:pPr>
      <w:r>
        <w:rPr>
          <w:rFonts w:ascii="Arial" w:cs="Arial" w:eastAsia="Arial" w:hAnsi="Arial"/>
          <w:sz w:val="22"/>
          <w:szCs w:val="22"/>
        </w:rPr>
        <w:t xml:space="preserve">Discount Band = IF(Discount = 0, 'No Discount', IF(Discount &lt;= 0.2, 'Low', IF(Discount &lt;= 0.4, 'Medium', 'High')))</w:t>
      </w:r>
    </w:p>
    <w:p>
      <w:pPr>
        <w:spacing w:after="60" w:before="60"/>
      </w:pPr>
    </w:p>
    <w:p>
      <w:r>
        <w:br w:type="page"/>
      </w:r>
    </w:p>
    <w:p>
      <w:pPr>
        <w:spacing w:after="120" w:before="360"/>
      </w:pPr>
      <w:r>
        <w:rPr>
          <w:rFonts w:ascii="Arial" w:cs="Arial" w:eastAsia="Arial" w:hAnsi="Arial"/>
          <w:b/>
          <w:bCs/>
          <w:color w:val="1F3864"/>
          <w:sz w:val="32"/>
          <w:szCs w:val="32"/>
        </w:rPr>
        <w:t xml:space="preserve">8. Dashboard Design &amp; Visualization</w:t>
      </w:r>
    </w:p>
    <w:p>
      <w:pPr>
        <w:pBdr>
          <w:bottom w:val="single" w:color="2E74B5" w:sz="8" w:space="1"/>
        </w:pBdr>
        <w:spacing w:after="140" w:before="100"/>
      </w:pPr>
    </w:p>
    <w:p>
      <w:pPr>
        <w:spacing w:after="80" w:before="80"/>
        <w:jc w:val="both"/>
      </w:pPr>
      <w:r>
        <w:rPr>
          <w:rFonts w:ascii="Arial" w:cs="Arial" w:eastAsia="Arial" w:hAnsi="Arial"/>
          <w:b w:val="false"/>
          <w:bCs w:val="false"/>
          <w:i w:val="false"/>
          <w:iCs w:val="false"/>
          <w:color w:val="000000"/>
          <w:sz w:val="22"/>
          <w:szCs w:val="22"/>
        </w:rPr>
        <w:t xml:space="preserve">The Power BI dashboard was designed across four interactive pages, each targeting a specific analytical perspective. All pages include cross-filtering slicers for Year, Region, Category, and Customer Segment.</w:t>
      </w:r>
    </w:p>
    <w:p>
      <w:pPr>
        <w:spacing w:after="60" w:before="60"/>
      </w:pPr>
    </w:p>
    <w:p>
      <w:pPr>
        <w:spacing w:after="60" w:before="180"/>
      </w:pPr>
      <w:r>
        <w:rPr>
          <w:rFonts w:ascii="Arial" w:cs="Arial" w:eastAsia="Arial" w:hAnsi="Arial"/>
          <w:b/>
          <w:bCs/>
          <w:color w:val="1F3864"/>
          <w:sz w:val="23"/>
          <w:szCs w:val="23"/>
        </w:rPr>
        <w:t xml:space="preserve">Page 1 — Executive Summary</w:t>
      </w:r>
    </w:p>
    <w:p>
      <w:pPr>
        <w:pStyle w:val="ListParagraph"/>
        <w:numPr>
          <w:ilvl w:val="0"/>
          <w:numId w:val="2"/>
        </w:numPr>
        <w:spacing w:after="60" w:before="60"/>
      </w:pPr>
      <w:r>
        <w:rPr>
          <w:rFonts w:ascii="Arial" w:cs="Arial" w:eastAsia="Arial" w:hAnsi="Arial"/>
          <w:sz w:val="22"/>
          <w:szCs w:val="22"/>
        </w:rPr>
        <w:t xml:space="preserve">4 KPI Cards: Total Revenue ($2.30M), Total Profit ($286K), Total Orders (9,994), Profit Margin (12.47%)</w:t>
      </w:r>
    </w:p>
    <w:p>
      <w:pPr>
        <w:pStyle w:val="ListParagraph"/>
        <w:numPr>
          <w:ilvl w:val="0"/>
          <w:numId w:val="2"/>
        </w:numPr>
        <w:spacing w:after="60" w:before="60"/>
      </w:pPr>
      <w:r>
        <w:rPr>
          <w:rFonts w:ascii="Arial" w:cs="Arial" w:eastAsia="Arial" w:hAnsi="Arial"/>
          <w:sz w:val="22"/>
          <w:szCs w:val="22"/>
        </w:rPr>
        <w:t xml:space="preserve">Revenue Trend Line Chart: Monthly sales trend from 2014 to 2017 showing seasonal peaks in Q4</w:t>
      </w:r>
    </w:p>
    <w:p>
      <w:pPr>
        <w:pStyle w:val="ListParagraph"/>
        <w:numPr>
          <w:ilvl w:val="0"/>
          <w:numId w:val="2"/>
        </w:numPr>
        <w:spacing w:after="60" w:before="60"/>
      </w:pPr>
      <w:r>
        <w:rPr>
          <w:rFonts w:ascii="Arial" w:cs="Arial" w:eastAsia="Arial" w:hAnsi="Arial"/>
          <w:sz w:val="22"/>
          <w:szCs w:val="22"/>
        </w:rPr>
        <w:t xml:space="preserve">Sales by Category Donut Chart: Technology (37%), Furniture (32%), Office Supplies (31%)</w:t>
      </w:r>
    </w:p>
    <w:p>
      <w:pPr>
        <w:pStyle w:val="ListParagraph"/>
        <w:numPr>
          <w:ilvl w:val="0"/>
          <w:numId w:val="2"/>
        </w:numPr>
        <w:spacing w:after="60" w:before="60"/>
      </w:pPr>
      <w:r>
        <w:rPr>
          <w:rFonts w:ascii="Arial" w:cs="Arial" w:eastAsia="Arial" w:hAnsi="Arial"/>
          <w:sz w:val="22"/>
          <w:szCs w:val="22"/>
        </w:rPr>
        <w:t xml:space="preserve">Top 10 Products Bar Chart: Ranked by revenue with drill-through to product detail page</w:t>
      </w:r>
    </w:p>
    <w:p>
      <w:pPr>
        <w:spacing w:after="60" w:before="60"/>
      </w:pPr>
    </w:p>
    <w:p>
      <w:pPr>
        <w:spacing w:after="60" w:before="180"/>
      </w:pPr>
      <w:r>
        <w:rPr>
          <w:rFonts w:ascii="Arial" w:cs="Arial" w:eastAsia="Arial" w:hAnsi="Arial"/>
          <w:b/>
          <w:bCs/>
          <w:color w:val="1F3864"/>
          <w:sz w:val="23"/>
          <w:szCs w:val="23"/>
        </w:rPr>
        <w:t xml:space="preserve">Page 2 — Regional &amp; Geographic Analysis</w:t>
      </w:r>
    </w:p>
    <w:p>
      <w:pPr>
        <w:pStyle w:val="ListParagraph"/>
        <w:numPr>
          <w:ilvl w:val="0"/>
          <w:numId w:val="2"/>
        </w:numPr>
        <w:spacing w:after="60" w:before="60"/>
      </w:pPr>
      <w:r>
        <w:rPr>
          <w:rFonts w:ascii="Arial" w:cs="Arial" w:eastAsia="Arial" w:hAnsi="Arial"/>
          <w:sz w:val="22"/>
          <w:szCs w:val="22"/>
        </w:rPr>
        <w:t xml:space="preserve">Filled Map Visual: US states colored by total sales — California, New York, Texas are top contributors</w:t>
      </w:r>
    </w:p>
    <w:p>
      <w:pPr>
        <w:pStyle w:val="ListParagraph"/>
        <w:numPr>
          <w:ilvl w:val="0"/>
          <w:numId w:val="2"/>
        </w:numPr>
        <w:spacing w:after="60" w:before="60"/>
      </w:pPr>
      <w:r>
        <w:rPr>
          <w:rFonts w:ascii="Arial" w:cs="Arial" w:eastAsia="Arial" w:hAnsi="Arial"/>
          <w:sz w:val="22"/>
          <w:szCs w:val="22"/>
        </w:rPr>
        <w:t xml:space="preserve">Region Bar Chart: West ($725K) &gt; East ($678K) &gt; Central ($501K) &gt; South ($391K)</w:t>
      </w:r>
    </w:p>
    <w:p>
      <w:pPr>
        <w:pStyle w:val="ListParagraph"/>
        <w:numPr>
          <w:ilvl w:val="0"/>
          <w:numId w:val="2"/>
        </w:numPr>
        <w:spacing w:after="60" w:before="60"/>
      </w:pPr>
      <w:r>
        <w:rPr>
          <w:rFonts w:ascii="Arial" w:cs="Arial" w:eastAsia="Arial" w:hAnsi="Arial"/>
          <w:sz w:val="22"/>
          <w:szCs w:val="22"/>
        </w:rPr>
        <w:t xml:space="preserve">City-Level Table: Top 20 cities ranked by revenue with profit margin column for quick comparison</w:t>
      </w:r>
    </w:p>
    <w:p>
      <w:pPr>
        <w:pStyle w:val="ListParagraph"/>
        <w:numPr>
          <w:ilvl w:val="0"/>
          <w:numId w:val="2"/>
        </w:numPr>
        <w:spacing w:after="60" w:before="60"/>
      </w:pPr>
      <w:r>
        <w:rPr>
          <w:rFonts w:ascii="Arial" w:cs="Arial" w:eastAsia="Arial" w:hAnsi="Arial"/>
          <w:sz w:val="22"/>
          <w:szCs w:val="22"/>
        </w:rPr>
        <w:t xml:space="preserve">Shipping Mode Breakdown: Standard Class (60%), Second Class (19%), First Class (15%), Same Day (6%)</w:t>
      </w:r>
    </w:p>
    <w:p>
      <w:pPr>
        <w:spacing w:after="60" w:before="60"/>
      </w:pPr>
    </w:p>
    <w:p>
      <w:pPr>
        <w:spacing w:after="60" w:before="180"/>
      </w:pPr>
      <w:r>
        <w:rPr>
          <w:rFonts w:ascii="Arial" w:cs="Arial" w:eastAsia="Arial" w:hAnsi="Arial"/>
          <w:b/>
          <w:bCs/>
          <w:color w:val="1F3864"/>
          <w:sz w:val="23"/>
          <w:szCs w:val="23"/>
        </w:rPr>
        <w:t xml:space="preserve">Page 3 — Product &amp; Profitability Analysis</w:t>
      </w:r>
    </w:p>
    <w:p>
      <w:pPr>
        <w:pStyle w:val="ListParagraph"/>
        <w:numPr>
          <w:ilvl w:val="0"/>
          <w:numId w:val="2"/>
        </w:numPr>
        <w:spacing w:after="60" w:before="60"/>
      </w:pPr>
      <w:r>
        <w:rPr>
          <w:rFonts w:ascii="Arial" w:cs="Arial" w:eastAsia="Arial" w:hAnsi="Arial"/>
          <w:sz w:val="22"/>
          <w:szCs w:val="22"/>
        </w:rPr>
        <w:t xml:space="preserve">Sub-Category Profit Bar Chart: Reveals Tables, Bookcases, and Supplies are consistently loss-making</w:t>
      </w:r>
    </w:p>
    <w:p>
      <w:pPr>
        <w:pStyle w:val="ListParagraph"/>
        <w:numPr>
          <w:ilvl w:val="0"/>
          <w:numId w:val="2"/>
        </w:numPr>
        <w:spacing w:after="60" w:before="60"/>
      </w:pPr>
      <w:r>
        <w:rPr>
          <w:rFonts w:ascii="Arial" w:cs="Arial" w:eastAsia="Arial" w:hAnsi="Arial"/>
          <w:sz w:val="22"/>
          <w:szCs w:val="22"/>
        </w:rPr>
        <w:t xml:space="preserve">Discount vs Profit Scatter Plot: Strong negative correlation — higher discounts directly erode profit</w:t>
      </w:r>
    </w:p>
    <w:p>
      <w:pPr>
        <w:pStyle w:val="ListParagraph"/>
        <w:numPr>
          <w:ilvl w:val="0"/>
          <w:numId w:val="2"/>
        </w:numPr>
        <w:spacing w:after="60" w:before="60"/>
      </w:pPr>
      <w:r>
        <w:rPr>
          <w:rFonts w:ascii="Arial" w:cs="Arial" w:eastAsia="Arial" w:hAnsi="Arial"/>
          <w:sz w:val="22"/>
          <w:szCs w:val="22"/>
        </w:rPr>
        <w:t xml:space="preserve">Profit by Discount Band Column Chart: High-Discount orders produce negative average profit of -$67</w:t>
      </w:r>
    </w:p>
    <w:p>
      <w:pPr>
        <w:pStyle w:val="ListParagraph"/>
        <w:numPr>
          <w:ilvl w:val="0"/>
          <w:numId w:val="2"/>
        </w:numPr>
        <w:spacing w:after="60" w:before="60"/>
      </w:pPr>
      <w:r>
        <w:rPr>
          <w:rFonts w:ascii="Arial" w:cs="Arial" w:eastAsia="Arial" w:hAnsi="Arial"/>
          <w:sz w:val="22"/>
          <w:szCs w:val="22"/>
        </w:rPr>
        <w:t xml:space="preserve">Category-wise Margin Comparison: Technology (17.4%) vs Furniture (2.5%) — stark difference highlighted</w:t>
      </w:r>
    </w:p>
    <w:p>
      <w:pPr>
        <w:spacing w:after="60" w:before="60"/>
      </w:pPr>
    </w:p>
    <w:p>
      <w:pPr>
        <w:spacing w:after="60" w:before="180"/>
      </w:pPr>
      <w:r>
        <w:rPr>
          <w:rFonts w:ascii="Arial" w:cs="Arial" w:eastAsia="Arial" w:hAnsi="Arial"/>
          <w:b/>
          <w:bCs/>
          <w:color w:val="1F3864"/>
          <w:sz w:val="23"/>
          <w:szCs w:val="23"/>
        </w:rPr>
        <w:t xml:space="preserve">Page 4 — Customer Segmentation</w:t>
      </w:r>
    </w:p>
    <w:p>
      <w:pPr>
        <w:pStyle w:val="ListParagraph"/>
        <w:numPr>
          <w:ilvl w:val="0"/>
          <w:numId w:val="2"/>
        </w:numPr>
        <w:spacing w:after="60" w:before="60"/>
      </w:pPr>
      <w:r>
        <w:rPr>
          <w:rFonts w:ascii="Arial" w:cs="Arial" w:eastAsia="Arial" w:hAnsi="Arial"/>
          <w:sz w:val="22"/>
          <w:szCs w:val="22"/>
        </w:rPr>
        <w:t xml:space="preserve">Segment Revenue Split: Consumer (51%), Corporate (30%), Home Office (19%)</w:t>
      </w:r>
    </w:p>
    <w:p>
      <w:pPr>
        <w:pStyle w:val="ListParagraph"/>
        <w:numPr>
          <w:ilvl w:val="0"/>
          <w:numId w:val="2"/>
        </w:numPr>
        <w:spacing w:after="60" w:before="60"/>
      </w:pPr>
      <w:r>
        <w:rPr>
          <w:rFonts w:ascii="Arial" w:cs="Arial" w:eastAsia="Arial" w:hAnsi="Arial"/>
          <w:sz w:val="22"/>
          <w:szCs w:val="22"/>
        </w:rPr>
        <w:t xml:space="preserve">Customer Lifetime Value Table: Top 20 customers by cumulative revenue with order frequency</w:t>
      </w:r>
    </w:p>
    <w:p>
      <w:pPr>
        <w:pStyle w:val="ListParagraph"/>
        <w:numPr>
          <w:ilvl w:val="0"/>
          <w:numId w:val="2"/>
        </w:numPr>
        <w:spacing w:after="60" w:before="60"/>
      </w:pPr>
      <w:r>
        <w:rPr>
          <w:rFonts w:ascii="Arial" w:cs="Arial" w:eastAsia="Arial" w:hAnsi="Arial"/>
          <w:sz w:val="22"/>
          <w:szCs w:val="22"/>
        </w:rPr>
        <w:t xml:space="preserve">Repeat vs New Customer Trend: YoY analysis of new vs returning customer ratio</w:t>
      </w:r>
    </w:p>
    <w:p>
      <w:pPr>
        <w:pStyle w:val="ListParagraph"/>
        <w:numPr>
          <w:ilvl w:val="0"/>
          <w:numId w:val="2"/>
        </w:numPr>
        <w:spacing w:after="60" w:before="60"/>
      </w:pPr>
      <w:r>
        <w:rPr>
          <w:rFonts w:ascii="Arial" w:cs="Arial" w:eastAsia="Arial" w:hAnsi="Arial"/>
          <w:sz w:val="22"/>
          <w:szCs w:val="22"/>
        </w:rPr>
        <w:t xml:space="preserve">Segment Profitability Cards: Corporate segment has the highest profit margin per order at 14.8%</w:t>
      </w:r>
    </w:p>
    <w:p>
      <w:pPr>
        <w:spacing w:after="60" w:before="60"/>
      </w:pPr>
    </w:p>
    <w:p>
      <w:r>
        <w:br w:type="page"/>
      </w:r>
    </w:p>
    <w:p>
      <w:pPr>
        <w:spacing w:after="120" w:before="360"/>
      </w:pPr>
      <w:r>
        <w:rPr>
          <w:rFonts w:ascii="Arial" w:cs="Arial" w:eastAsia="Arial" w:hAnsi="Arial"/>
          <w:b/>
          <w:bCs/>
          <w:color w:val="1F3864"/>
          <w:sz w:val="32"/>
          <w:szCs w:val="32"/>
        </w:rPr>
        <w:t xml:space="preserve">9. Key Findings &amp; Insights</w:t>
      </w:r>
    </w:p>
    <w:p>
      <w:pPr>
        <w:pBdr>
          <w:bottom w:val="single" w:color="2E74B5" w:sz="8" w:space="1"/>
        </w:pBdr>
        <w:spacing w:after="14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AAAAAA" w:sz="1"/>
              <w:left w:val="single" w:color="AAAAAA" w:sz="1"/>
              <w:bottom w:val="single" w:color="AAAAAA" w:sz="1"/>
              <w:right w:val="single" w:color="AAAAAA" w:sz="1"/>
            </w:tcBorders>
            <w:shd w:fill="1F3864"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Finding</w:t>
            </w:r>
          </w:p>
        </w:tc>
        <w:tc>
          <w:tcPr>
            <w:tcW w:type="dxa" w:w="4200"/>
            <w:tcBorders>
              <w:top w:val="single" w:color="AAAAAA" w:sz="1"/>
              <w:left w:val="single" w:color="AAAAAA" w:sz="1"/>
              <w:bottom w:val="single" w:color="AAAAAA" w:sz="1"/>
              <w:right w:val="single" w:color="AAAAAA" w:sz="1"/>
            </w:tcBorders>
            <w:shd w:fill="1F3864"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Detail</w:t>
            </w:r>
          </w:p>
        </w:tc>
        <w:tc>
          <w:tcPr>
            <w:tcW w:type="dxa" w:w="2760"/>
            <w:tcBorders>
              <w:top w:val="single" w:color="AAAAAA" w:sz="1"/>
              <w:left w:val="single" w:color="AAAAAA" w:sz="1"/>
              <w:bottom w:val="single" w:color="AAAAAA" w:sz="1"/>
              <w:right w:val="single" w:color="AAAAAA" w:sz="1"/>
            </w:tcBorders>
            <w:shd w:fill="1F3864"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Business Impact</w:t>
            </w:r>
          </w:p>
        </w:tc>
      </w:tr>
      <w:tr>
        <w:tc>
          <w:tcPr>
            <w:tcW w:type="dxa" w:w="24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Technology Leads Profit</w:t>
            </w:r>
          </w:p>
        </w:tc>
        <w:tc>
          <w:tcPr>
            <w:tcW w:type="dxa" w:w="4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1"/>
                <w:szCs w:val="21"/>
              </w:rPr>
              <w:t xml:space="preserve">Technology category generates 17.4% profit margin, the highest of all categories.</w:t>
            </w:r>
          </w:p>
        </w:tc>
        <w:tc>
          <w:tcPr>
            <w:tcW w:type="dxa" w:w="2760"/>
            <w:tcBorders>
              <w:top w:val="single" w:color="AAAAAA" w:sz="1"/>
              <w:left w:val="single" w:color="AAAAAA" w:sz="1"/>
              <w:bottom w:val="single" w:color="AAAAAA" w:sz="1"/>
              <w:right w:val="single" w:color="AAAAAA" w:sz="1"/>
            </w:tcBorders>
            <w:shd w:fill="FFFAE6" w:val="clear"/>
            <w:tcMar>
              <w:top w:type="dxa" w:w="90"/>
              <w:left w:type="dxa" w:w="120"/>
              <w:bottom w:type="dxa" w:w="90"/>
              <w:right w:type="dxa" w:w="120"/>
            </w:tcMar>
          </w:tcPr>
          <w:p>
            <w:r>
              <w:rPr>
                <w:rFonts w:ascii="Arial" w:cs="Arial" w:eastAsia="Arial" w:hAnsi="Arial"/>
                <w:sz w:val="21"/>
                <w:szCs w:val="21"/>
              </w:rPr>
              <w:t xml:space="preserve">Focus inventory and promotions on Technology products.</w:t>
            </w:r>
          </w:p>
        </w:tc>
      </w:tr>
      <w:tr>
        <w:tc>
          <w:tcPr>
            <w:tcW w:type="dxa" w:w="24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Furniture is a Drain</w:t>
            </w:r>
          </w:p>
        </w:tc>
        <w:tc>
          <w:tcPr>
            <w:tcW w:type="dxa" w:w="4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1"/>
                <w:szCs w:val="21"/>
              </w:rPr>
              <w:t xml:space="preserve">Furniture margin is only 2.5%; Tables sub-category has a negative overall profit.</w:t>
            </w:r>
          </w:p>
        </w:tc>
        <w:tc>
          <w:tcPr>
            <w:tcW w:type="dxa" w:w="2760"/>
            <w:tcBorders>
              <w:top w:val="single" w:color="AAAAAA" w:sz="1"/>
              <w:left w:val="single" w:color="AAAAAA" w:sz="1"/>
              <w:bottom w:val="single" w:color="AAAAAA" w:sz="1"/>
              <w:right w:val="single" w:color="AAAAAA" w:sz="1"/>
            </w:tcBorders>
            <w:shd w:fill="FFFAE6" w:val="clear"/>
            <w:tcMar>
              <w:top w:type="dxa" w:w="90"/>
              <w:left w:type="dxa" w:w="120"/>
              <w:bottom w:type="dxa" w:w="90"/>
              <w:right w:type="dxa" w:w="120"/>
            </w:tcMar>
          </w:tcPr>
          <w:p>
            <w:r>
              <w:rPr>
                <w:rFonts w:ascii="Arial" w:cs="Arial" w:eastAsia="Arial" w:hAnsi="Arial"/>
                <w:sz w:val="21"/>
                <w:szCs w:val="21"/>
              </w:rPr>
              <w:t xml:space="preserve">Re-evaluate Furniture pricing and discount policies immediately.</w:t>
            </w:r>
          </w:p>
        </w:tc>
      </w:tr>
      <w:tr>
        <w:tc>
          <w:tcPr>
            <w:tcW w:type="dxa" w:w="24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West Region Dominates</w:t>
            </w:r>
          </w:p>
        </w:tc>
        <w:tc>
          <w:tcPr>
            <w:tcW w:type="dxa" w:w="4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1"/>
                <w:szCs w:val="21"/>
              </w:rPr>
              <w:t xml:space="preserve">West region contributes $725K in revenue — 31.5% of total sales.</w:t>
            </w:r>
          </w:p>
        </w:tc>
        <w:tc>
          <w:tcPr>
            <w:tcW w:type="dxa" w:w="2760"/>
            <w:tcBorders>
              <w:top w:val="single" w:color="AAAAAA" w:sz="1"/>
              <w:left w:val="single" w:color="AAAAAA" w:sz="1"/>
              <w:bottom w:val="single" w:color="AAAAAA" w:sz="1"/>
              <w:right w:val="single" w:color="AAAAAA" w:sz="1"/>
            </w:tcBorders>
            <w:shd w:fill="FFFAE6" w:val="clear"/>
            <w:tcMar>
              <w:top w:type="dxa" w:w="90"/>
              <w:left w:type="dxa" w:w="120"/>
              <w:bottom w:type="dxa" w:w="90"/>
              <w:right w:type="dxa" w:w="120"/>
            </w:tcMar>
          </w:tcPr>
          <w:p>
            <w:r>
              <w:rPr>
                <w:rFonts w:ascii="Arial" w:cs="Arial" w:eastAsia="Arial" w:hAnsi="Arial"/>
                <w:sz w:val="21"/>
                <w:szCs w:val="21"/>
              </w:rPr>
              <w:t xml:space="preserve">Replicate West region's sales strategies in underperforming South region.</w:t>
            </w:r>
          </w:p>
        </w:tc>
      </w:tr>
      <w:tr>
        <w:tc>
          <w:tcPr>
            <w:tcW w:type="dxa" w:w="24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Discounts Kill Profit</w:t>
            </w:r>
          </w:p>
        </w:tc>
        <w:tc>
          <w:tcPr>
            <w:tcW w:type="dxa" w:w="4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1"/>
                <w:szCs w:val="21"/>
              </w:rPr>
              <w:t xml:space="preserve">Orders with discount &gt; 40% generate an average loss of $67 per order.</w:t>
            </w:r>
          </w:p>
        </w:tc>
        <w:tc>
          <w:tcPr>
            <w:tcW w:type="dxa" w:w="2760"/>
            <w:tcBorders>
              <w:top w:val="single" w:color="AAAAAA" w:sz="1"/>
              <w:left w:val="single" w:color="AAAAAA" w:sz="1"/>
              <w:bottom w:val="single" w:color="AAAAAA" w:sz="1"/>
              <w:right w:val="single" w:color="AAAAAA" w:sz="1"/>
            </w:tcBorders>
            <w:shd w:fill="FFFAE6" w:val="clear"/>
            <w:tcMar>
              <w:top w:type="dxa" w:w="90"/>
              <w:left w:type="dxa" w:w="120"/>
              <w:bottom w:type="dxa" w:w="90"/>
              <w:right w:type="dxa" w:w="120"/>
            </w:tcMar>
          </w:tcPr>
          <w:p>
            <w:r>
              <w:rPr>
                <w:rFonts w:ascii="Arial" w:cs="Arial" w:eastAsia="Arial" w:hAnsi="Arial"/>
                <w:sz w:val="21"/>
                <w:szCs w:val="21"/>
              </w:rPr>
              <w:t xml:space="preserve">Cap maximum discount at 20%; eliminate high discounts on Furniture.</w:t>
            </w:r>
          </w:p>
        </w:tc>
      </w:tr>
      <w:tr>
        <w:tc>
          <w:tcPr>
            <w:tcW w:type="dxa" w:w="24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Q4 is Peak Season</w:t>
            </w:r>
          </w:p>
        </w:tc>
        <w:tc>
          <w:tcPr>
            <w:tcW w:type="dxa" w:w="4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1"/>
                <w:szCs w:val="21"/>
              </w:rPr>
              <w:t xml:space="preserve">November and December account for 28% of annual revenue consistently.</w:t>
            </w:r>
          </w:p>
        </w:tc>
        <w:tc>
          <w:tcPr>
            <w:tcW w:type="dxa" w:w="2760"/>
            <w:tcBorders>
              <w:top w:val="single" w:color="AAAAAA" w:sz="1"/>
              <w:left w:val="single" w:color="AAAAAA" w:sz="1"/>
              <w:bottom w:val="single" w:color="AAAAAA" w:sz="1"/>
              <w:right w:val="single" w:color="AAAAAA" w:sz="1"/>
            </w:tcBorders>
            <w:shd w:fill="FFFAE6" w:val="clear"/>
            <w:tcMar>
              <w:top w:type="dxa" w:w="90"/>
              <w:left w:type="dxa" w:w="120"/>
              <w:bottom w:type="dxa" w:w="90"/>
              <w:right w:type="dxa" w:w="120"/>
            </w:tcMar>
          </w:tcPr>
          <w:p>
            <w:r>
              <w:rPr>
                <w:rFonts w:ascii="Arial" w:cs="Arial" w:eastAsia="Arial" w:hAnsi="Arial"/>
                <w:sz w:val="21"/>
                <w:szCs w:val="21"/>
              </w:rPr>
              <w:t xml:space="preserve">Pre-load inventory and launch promotions in October to maximize Q4 revenue.</w:t>
            </w:r>
          </w:p>
        </w:tc>
      </w:tr>
      <w:tr>
        <w:tc>
          <w:tcPr>
            <w:tcW w:type="dxa" w:w="24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18.7% Orders Unprofitable</w:t>
            </w:r>
          </w:p>
        </w:tc>
        <w:tc>
          <w:tcPr>
            <w:tcW w:type="dxa" w:w="4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1"/>
                <w:szCs w:val="21"/>
              </w:rPr>
              <w:t xml:space="preserve">1,871 out of 9,994 orders result in a net loss for the business.</w:t>
            </w:r>
          </w:p>
        </w:tc>
        <w:tc>
          <w:tcPr>
            <w:tcW w:type="dxa" w:w="2760"/>
            <w:tcBorders>
              <w:top w:val="single" w:color="AAAAAA" w:sz="1"/>
              <w:left w:val="single" w:color="AAAAAA" w:sz="1"/>
              <w:bottom w:val="single" w:color="AAAAAA" w:sz="1"/>
              <w:right w:val="single" w:color="AAAAAA" w:sz="1"/>
            </w:tcBorders>
            <w:shd w:fill="FFFAE6" w:val="clear"/>
            <w:tcMar>
              <w:top w:type="dxa" w:w="90"/>
              <w:left w:type="dxa" w:w="120"/>
              <w:bottom w:type="dxa" w:w="90"/>
              <w:right w:type="dxa" w:w="120"/>
            </w:tcMar>
          </w:tcPr>
          <w:p>
            <w:r>
              <w:rPr>
                <w:rFonts w:ascii="Arial" w:cs="Arial" w:eastAsia="Arial" w:hAnsi="Arial"/>
                <w:sz w:val="21"/>
                <w:szCs w:val="21"/>
              </w:rPr>
              <w:t xml:space="preserve">Investigate loss orders by segment and discount band; set discount guardrails.</w:t>
            </w:r>
          </w:p>
        </w:tc>
      </w:tr>
      <w:tr>
        <w:tc>
          <w:tcPr>
            <w:tcW w:type="dxa" w:w="24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Consumer Segment Largest</w:t>
            </w:r>
          </w:p>
        </w:tc>
        <w:tc>
          <w:tcPr>
            <w:tcW w:type="dxa" w:w="4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1"/>
                <w:szCs w:val="21"/>
              </w:rPr>
              <w:t xml:space="preserve">Consumer segment drives 51% of revenue but at lower margins than Corporate.</w:t>
            </w:r>
          </w:p>
        </w:tc>
        <w:tc>
          <w:tcPr>
            <w:tcW w:type="dxa" w:w="2760"/>
            <w:tcBorders>
              <w:top w:val="single" w:color="AAAAAA" w:sz="1"/>
              <w:left w:val="single" w:color="AAAAAA" w:sz="1"/>
              <w:bottom w:val="single" w:color="AAAAAA" w:sz="1"/>
              <w:right w:val="single" w:color="AAAAAA" w:sz="1"/>
            </w:tcBorders>
            <w:shd w:fill="FFFAE6" w:val="clear"/>
            <w:tcMar>
              <w:top w:type="dxa" w:w="90"/>
              <w:left w:type="dxa" w:w="120"/>
              <w:bottom w:type="dxa" w:w="90"/>
              <w:right w:type="dxa" w:w="120"/>
            </w:tcMar>
          </w:tcPr>
          <w:p>
            <w:r>
              <w:rPr>
                <w:rFonts w:ascii="Arial" w:cs="Arial" w:eastAsia="Arial" w:hAnsi="Arial"/>
                <w:sz w:val="21"/>
                <w:szCs w:val="21"/>
              </w:rPr>
              <w:t xml:space="preserve">Target corporate clients with volume-based pricing to improve margin mix.</w:t>
            </w:r>
          </w:p>
        </w:tc>
      </w:tr>
      <w:tr>
        <w:tc>
          <w:tcPr>
            <w:tcW w:type="dxa" w:w="2400"/>
            <w:tcBorders>
              <w:top w:val="single" w:color="AAAAAA" w:sz="1"/>
              <w:left w:val="single" w:color="AAAAAA" w:sz="1"/>
              <w:bottom w:val="single" w:color="AAAAAA" w:sz="1"/>
              <w:right w:val="single" w:color="AAAAAA" w:sz="1"/>
            </w:tcBorders>
            <w:shd w:fill="EBF3FB" w:val="clear"/>
            <w:tcMar>
              <w:top w:type="dxa" w:w="90"/>
              <w:left w:type="dxa" w:w="120"/>
              <w:bottom w:type="dxa" w:w="90"/>
              <w:right w:type="dxa" w:w="120"/>
            </w:tcMar>
          </w:tcPr>
          <w:p>
            <w:r>
              <w:rPr>
                <w:rFonts w:ascii="Arial" w:cs="Arial" w:eastAsia="Arial" w:hAnsi="Arial"/>
                <w:b/>
                <w:bCs/>
                <w:color w:val="1F3864"/>
                <w:sz w:val="21"/>
                <w:szCs w:val="21"/>
              </w:rPr>
              <w:t xml:space="preserve">Slow Shipping in Standard</w:t>
            </w:r>
          </w:p>
        </w:tc>
        <w:tc>
          <w:tcPr>
            <w:tcW w:type="dxa" w:w="4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sz w:val="21"/>
                <w:szCs w:val="21"/>
              </w:rPr>
              <w:t xml:space="preserve">Standard Class shipping averages 5.5 days — customer satisfaction risk.</w:t>
            </w:r>
          </w:p>
        </w:tc>
        <w:tc>
          <w:tcPr>
            <w:tcW w:type="dxa" w:w="2760"/>
            <w:tcBorders>
              <w:top w:val="single" w:color="AAAAAA" w:sz="1"/>
              <w:left w:val="single" w:color="AAAAAA" w:sz="1"/>
              <w:bottom w:val="single" w:color="AAAAAA" w:sz="1"/>
              <w:right w:val="single" w:color="AAAAAA" w:sz="1"/>
            </w:tcBorders>
            <w:shd w:fill="FFFAE6" w:val="clear"/>
            <w:tcMar>
              <w:top w:type="dxa" w:w="90"/>
              <w:left w:type="dxa" w:w="120"/>
              <w:bottom w:type="dxa" w:w="90"/>
              <w:right w:type="dxa" w:w="120"/>
            </w:tcMar>
          </w:tcPr>
          <w:p>
            <w:r>
              <w:rPr>
                <w:rFonts w:ascii="Arial" w:cs="Arial" w:eastAsia="Arial" w:hAnsi="Arial"/>
                <w:sz w:val="21"/>
                <w:szCs w:val="21"/>
              </w:rPr>
              <w:t xml:space="preserve">Negotiate faster Standard Class delivery with logistics partners.</w:t>
            </w:r>
          </w:p>
        </w:tc>
      </w:tr>
    </w:tbl>
    <w:p>
      <w:pPr>
        <w:spacing w:after="60" w:before="60"/>
      </w:pPr>
    </w:p>
    <w:p>
      <w:r>
        <w:br w:type="page"/>
      </w:r>
    </w:p>
    <w:p>
      <w:pPr>
        <w:spacing w:after="120" w:before="360"/>
      </w:pPr>
      <w:r>
        <w:rPr>
          <w:rFonts w:ascii="Arial" w:cs="Arial" w:eastAsia="Arial" w:hAnsi="Arial"/>
          <w:b/>
          <w:bCs/>
          <w:color w:val="1F3864"/>
          <w:sz w:val="32"/>
          <w:szCs w:val="32"/>
        </w:rPr>
        <w:t xml:space="preserve">10. AI Tool Integration</w:t>
      </w:r>
    </w:p>
    <w:p>
      <w:pPr>
        <w:pBdr>
          <w:bottom w:val="single" w:color="2E74B5" w:sz="8" w:space="1"/>
        </w:pBdr>
        <w:spacing w:after="140" w:before="100"/>
      </w:pPr>
    </w:p>
    <w:p>
      <w:pPr>
        <w:spacing w:after="80" w:before="80"/>
        <w:jc w:val="both"/>
      </w:pPr>
      <w:r>
        <w:rPr>
          <w:rFonts w:ascii="Arial" w:cs="Arial" w:eastAsia="Arial" w:hAnsi="Arial"/>
          <w:b w:val="false"/>
          <w:bCs w:val="false"/>
          <w:i w:val="false"/>
          <w:iCs w:val="false"/>
          <w:color w:val="000000"/>
          <w:sz w:val="22"/>
          <w:szCs w:val="22"/>
        </w:rPr>
        <w:t xml:space="preserve">Microsoft Copilot and ChatGPT were integrated into this project to enhance the analysis, automate narrative generation, and accelerate insight delivery. The following AI use cases were implemented:</w:t>
      </w:r>
    </w:p>
    <w:p>
      <w:pPr>
        <w:spacing w:after="60" w:before="60"/>
      </w:pPr>
    </w:p>
    <w:p>
      <w:pPr>
        <w:spacing w:after="60" w:before="180"/>
      </w:pPr>
      <w:r>
        <w:rPr>
          <w:rFonts w:ascii="Arial" w:cs="Arial" w:eastAsia="Arial" w:hAnsi="Arial"/>
          <w:b/>
          <w:bCs/>
          <w:color w:val="1F3864"/>
          <w:sz w:val="23"/>
          <w:szCs w:val="23"/>
        </w:rPr>
        <w:t xml:space="preserve">Microsoft Copilot (Power BI)</w:t>
      </w:r>
    </w:p>
    <w:p>
      <w:pPr>
        <w:pStyle w:val="ListParagraph"/>
        <w:numPr>
          <w:ilvl w:val="0"/>
          <w:numId w:val="2"/>
        </w:numPr>
        <w:spacing w:after="60" w:before="60"/>
      </w:pPr>
      <w:r>
        <w:rPr>
          <w:rFonts w:ascii="Arial" w:cs="Arial" w:eastAsia="Arial" w:hAnsi="Arial"/>
          <w:sz w:val="22"/>
          <w:szCs w:val="22"/>
        </w:rPr>
        <w:t xml:space="preserve">Used the Copilot pane in Power BI Desktop to auto-generate a narrative summary of the Executive Summary page, describing revenue trends, top products, and regional highlights in natural language.</w:t>
      </w:r>
    </w:p>
    <w:p>
      <w:pPr>
        <w:pStyle w:val="ListParagraph"/>
        <w:numPr>
          <w:ilvl w:val="0"/>
          <w:numId w:val="2"/>
        </w:numPr>
        <w:spacing w:after="60" w:before="60"/>
      </w:pPr>
      <w:r>
        <w:rPr>
          <w:rFonts w:ascii="Arial" w:cs="Arial" w:eastAsia="Arial" w:hAnsi="Arial"/>
          <w:sz w:val="22"/>
          <w:szCs w:val="22"/>
        </w:rPr>
        <w:t xml:space="preserve">Prompted Copilot to identify anomalies in the Profit vs Discount scatter plot — Copilot flagged the Furniture/Tables sub-category as a significant outlier.</w:t>
      </w:r>
    </w:p>
    <w:p>
      <w:pPr>
        <w:pStyle w:val="ListParagraph"/>
        <w:numPr>
          <w:ilvl w:val="0"/>
          <w:numId w:val="2"/>
        </w:numPr>
        <w:spacing w:after="60" w:before="60"/>
      </w:pPr>
      <w:r>
        <w:rPr>
          <w:rFonts w:ascii="Arial" w:cs="Arial" w:eastAsia="Arial" w:hAnsi="Arial"/>
          <w:sz w:val="22"/>
          <w:szCs w:val="22"/>
        </w:rPr>
        <w:t xml:space="preserve">Used Copilot to suggest additional DAX measures based on existing data model relationships.</w:t>
      </w:r>
    </w:p>
    <w:p>
      <w:pPr>
        <w:spacing w:after="60" w:before="60"/>
      </w:pPr>
    </w:p>
    <w:p>
      <w:pPr>
        <w:spacing w:after="60" w:before="180"/>
      </w:pPr>
      <w:r>
        <w:rPr>
          <w:rFonts w:ascii="Arial" w:cs="Arial" w:eastAsia="Arial" w:hAnsi="Arial"/>
          <w:b/>
          <w:bCs/>
          <w:color w:val="1F3864"/>
          <w:sz w:val="23"/>
          <w:szCs w:val="23"/>
        </w:rPr>
        <w:t xml:space="preserve">ChatGPT (Prompt Engineering)</w:t>
      </w:r>
    </w:p>
    <w:p>
      <w:pPr>
        <w:pStyle w:val="ListParagraph"/>
        <w:numPr>
          <w:ilvl w:val="0"/>
          <w:numId w:val="2"/>
        </w:numPr>
        <w:spacing w:after="60" w:before="60"/>
      </w:pPr>
      <w:r>
        <w:rPr>
          <w:rFonts w:ascii="Arial" w:cs="Arial" w:eastAsia="Arial" w:hAnsi="Arial"/>
          <w:sz w:val="22"/>
          <w:szCs w:val="22"/>
        </w:rPr>
        <w:t xml:space="preserve">Prompt used: 'Act as a senior business analyst. Based on the following sales KPIs for a US retail company [data pasted], write a 3-paragraph executive summary highlighting top findings and 3 actionable recommendations.'</w:t>
      </w:r>
    </w:p>
    <w:p>
      <w:pPr>
        <w:pStyle w:val="ListParagraph"/>
        <w:numPr>
          <w:ilvl w:val="0"/>
          <w:numId w:val="2"/>
        </w:numPr>
        <w:spacing w:after="60" w:before="60"/>
      </w:pPr>
      <w:r>
        <w:rPr>
          <w:rFonts w:ascii="Arial" w:cs="Arial" w:eastAsia="Arial" w:hAnsi="Arial"/>
          <w:sz w:val="22"/>
          <w:szCs w:val="22"/>
        </w:rPr>
        <w:t xml:space="preserve">Output was used as the basis for the written findings in Sections 9 and 11 of this report.</w:t>
      </w:r>
    </w:p>
    <w:p>
      <w:pPr>
        <w:pStyle w:val="ListParagraph"/>
        <w:numPr>
          <w:ilvl w:val="0"/>
          <w:numId w:val="2"/>
        </w:numPr>
        <w:spacing w:after="60" w:before="60"/>
      </w:pPr>
      <w:r>
        <w:rPr>
          <w:rFonts w:ascii="Arial" w:cs="Arial" w:eastAsia="Arial" w:hAnsi="Arial"/>
          <w:sz w:val="22"/>
          <w:szCs w:val="22"/>
        </w:rPr>
        <w:t xml:space="preserve">Additional prompt: 'Generate 5 Power BI DAX measures for a sales dataset including Profit Margin %, YoY Revenue Growth, and Customer Lifetime Value' — output refined and implemented in the dashboard.</w:t>
      </w:r>
    </w:p>
    <w:p>
      <w:pPr>
        <w:spacing w:after="60" w:before="60"/>
      </w:pPr>
    </w:p>
    <w:p>
      <w:pPr>
        <w:spacing w:after="80" w:before="80"/>
        <w:jc w:val="both"/>
      </w:pPr>
      <w:r>
        <w:rPr>
          <w:rFonts w:ascii="Arial" w:cs="Arial" w:eastAsia="Arial" w:hAnsi="Arial"/>
          <w:b w:val="false"/>
          <w:bCs w:val="false"/>
          <w:i w:val="false"/>
          <w:iCs w:val="false"/>
          <w:color w:val="000000"/>
          <w:sz w:val="22"/>
          <w:szCs w:val="22"/>
        </w:rPr>
        <w:t xml:space="preserve">AI integration reduced report writing time by approximately 60% and improved the quality and clarity of business narrative delivered to stakeholders.</w:t>
      </w:r>
    </w:p>
    <w:p>
      <w:pPr>
        <w:spacing w:after="60" w:before="60"/>
      </w:pPr>
    </w:p>
    <w:p>
      <w:r>
        <w:br w:type="page"/>
      </w:r>
    </w:p>
    <w:p>
      <w:pPr>
        <w:spacing w:after="120" w:before="360"/>
      </w:pPr>
      <w:r>
        <w:rPr>
          <w:rFonts w:ascii="Arial" w:cs="Arial" w:eastAsia="Arial" w:hAnsi="Arial"/>
          <w:b/>
          <w:bCs/>
          <w:color w:val="1F3864"/>
          <w:sz w:val="32"/>
          <w:szCs w:val="32"/>
        </w:rPr>
        <w:t xml:space="preserve">11. Business Recommendations</w:t>
      </w:r>
    </w:p>
    <w:p>
      <w:pPr>
        <w:pBdr>
          <w:bottom w:val="single" w:color="2E74B5" w:sz="8" w:space="1"/>
        </w:pBdr>
        <w:spacing w:after="140" w:before="100"/>
      </w:pPr>
    </w:p>
    <w:p>
      <w:pPr>
        <w:spacing w:after="80" w:before="80"/>
        <w:jc w:val="both"/>
      </w:pPr>
      <w:r>
        <w:rPr>
          <w:rFonts w:ascii="Arial" w:cs="Arial" w:eastAsia="Arial" w:hAnsi="Arial"/>
          <w:b w:val="false"/>
          <w:bCs w:val="false"/>
          <w:i w:val="false"/>
          <w:iCs w:val="false"/>
          <w:color w:val="000000"/>
          <w:sz w:val="22"/>
          <w:szCs w:val="22"/>
        </w:rPr>
        <w:t xml:space="preserve">Based on the data analysis and Power BI dashboard insights, the following concrete business recommendations are proposed:</w:t>
      </w:r>
    </w:p>
    <w:p>
      <w:pPr>
        <w:spacing w:after="60" w:before="60"/>
      </w:pPr>
    </w:p>
    <w:p>
      <w:pPr>
        <w:pStyle w:val="ListParagraph"/>
        <w:numPr>
          <w:ilvl w:val="0"/>
          <w:numId w:val="3"/>
        </w:numPr>
        <w:spacing w:after="60" w:before="60"/>
      </w:pPr>
      <w:r>
        <w:rPr>
          <w:rFonts w:ascii="Arial" w:cs="Arial" w:eastAsia="Arial" w:hAnsi="Arial"/>
          <w:sz w:val="22"/>
          <w:szCs w:val="22"/>
        </w:rPr>
        <w:t xml:space="preserve">Implement a Discount Cap Policy: Cap all discounts at a maximum of 20% company-wide. Orders with discounts above 40% consistently generate losses. Enforce this policy especially for the Furniture category which is already low-margin.</w:t>
      </w:r>
    </w:p>
    <w:p>
      <w:pPr>
        <w:pStyle w:val="ListParagraph"/>
        <w:numPr>
          <w:ilvl w:val="0"/>
          <w:numId w:val="3"/>
        </w:numPr>
        <w:spacing w:after="60" w:before="60"/>
      </w:pPr>
      <w:r>
        <w:rPr>
          <w:rFonts w:ascii="Arial" w:cs="Arial" w:eastAsia="Arial" w:hAnsi="Arial"/>
          <w:sz w:val="22"/>
          <w:szCs w:val="22"/>
        </w:rPr>
        <w:t xml:space="preserve">Invest in Technology Category Growth: Technology delivers the highest profit margin (17.4%) and strong revenue. Increase procurement, marketing spend, and shelf space for Technology — particularly Phones and Accessories which are top sellers.</w:t>
      </w:r>
    </w:p>
    <w:p>
      <w:pPr>
        <w:pStyle w:val="ListParagraph"/>
        <w:numPr>
          <w:ilvl w:val="0"/>
          <w:numId w:val="3"/>
        </w:numPr>
        <w:spacing w:after="60" w:before="60"/>
      </w:pPr>
      <w:r>
        <w:rPr>
          <w:rFonts w:ascii="Arial" w:cs="Arial" w:eastAsia="Arial" w:hAnsi="Arial"/>
          <w:sz w:val="22"/>
          <w:szCs w:val="22"/>
        </w:rPr>
        <w:t xml:space="preserve">Restructure Furniture Pricing: The Tables and Bookcases sub-categories are operating at a net loss. Conduct a pricing review, renegotiate supplier contracts, or consider reducing product range in these loss-making sub-categories.</w:t>
      </w:r>
    </w:p>
    <w:p>
      <w:pPr>
        <w:pStyle w:val="ListParagraph"/>
        <w:numPr>
          <w:ilvl w:val="0"/>
          <w:numId w:val="3"/>
        </w:numPr>
        <w:spacing w:after="60" w:before="60"/>
      </w:pPr>
      <w:r>
        <w:rPr>
          <w:rFonts w:ascii="Arial" w:cs="Arial" w:eastAsia="Arial" w:hAnsi="Arial"/>
          <w:sz w:val="22"/>
          <w:szCs w:val="22"/>
        </w:rPr>
        <w:t xml:space="preserve">Expand West Region Strategy to South: The West region consistently outperforms all others. Analyze the sales team structure, product mix, and customer engagement strategies in the West and replicate them in the South region which lags at $391K.</w:t>
      </w:r>
    </w:p>
    <w:p>
      <w:pPr>
        <w:pStyle w:val="ListParagraph"/>
        <w:numPr>
          <w:ilvl w:val="0"/>
          <w:numId w:val="3"/>
        </w:numPr>
        <w:spacing w:after="60" w:before="60"/>
      </w:pPr>
      <w:r>
        <w:rPr>
          <w:rFonts w:ascii="Arial" w:cs="Arial" w:eastAsia="Arial" w:hAnsi="Arial"/>
          <w:sz w:val="22"/>
          <w:szCs w:val="22"/>
        </w:rPr>
        <w:t xml:space="preserve">Q4 Pre-Campaign Planning: Revenue peaks sharply in November–December (28% of annual sales). Launch inventory build-up and marketing campaigns in October to fully capitalize on Q4 demand — particularly for Technology products.</w:t>
      </w:r>
    </w:p>
    <w:p>
      <w:pPr>
        <w:pStyle w:val="ListParagraph"/>
        <w:numPr>
          <w:ilvl w:val="0"/>
          <w:numId w:val="3"/>
        </w:numPr>
        <w:spacing w:after="60" w:before="60"/>
      </w:pPr>
      <w:r>
        <w:rPr>
          <w:rFonts w:ascii="Arial" w:cs="Arial" w:eastAsia="Arial" w:hAnsi="Arial"/>
          <w:sz w:val="22"/>
          <w:szCs w:val="22"/>
        </w:rPr>
        <w:t xml:space="preserve">Improve Shipping Experience: With Standard Class averaging 5.5 days and representing 60% of all orders, improving this shipping time would directly improve customer satisfaction and retention. Negotiate SLA improvements with logistics partners.</w:t>
      </w:r>
    </w:p>
    <w:p>
      <w:pPr>
        <w:pStyle w:val="ListParagraph"/>
        <w:numPr>
          <w:ilvl w:val="0"/>
          <w:numId w:val="3"/>
        </w:numPr>
        <w:spacing w:after="60" w:before="60"/>
      </w:pPr>
      <w:r>
        <w:rPr>
          <w:rFonts w:ascii="Arial" w:cs="Arial" w:eastAsia="Arial" w:hAnsi="Arial"/>
          <w:sz w:val="22"/>
          <w:szCs w:val="22"/>
        </w:rPr>
        <w:t xml:space="preserve">Focus on Corporate Segment Acquisition: Corporate customers have the highest profit margin per order (14.8%). Develop a B2B sales strategy targeting corporate clients with volume discounts and dedicated account management.</w:t>
      </w:r>
    </w:p>
    <w:p>
      <w:pPr>
        <w:spacing w:after="60" w:before="60"/>
      </w:pPr>
    </w:p>
    <w:p>
      <w:r>
        <w:br w:type="page"/>
      </w:r>
    </w:p>
    <w:p>
      <w:pPr>
        <w:spacing w:after="120" w:before="360"/>
      </w:pPr>
      <w:r>
        <w:rPr>
          <w:rFonts w:ascii="Arial" w:cs="Arial" w:eastAsia="Arial" w:hAnsi="Arial"/>
          <w:b/>
          <w:bCs/>
          <w:color w:val="1F3864"/>
          <w:sz w:val="32"/>
          <w:szCs w:val="32"/>
        </w:rPr>
        <w:t xml:space="preserve">12. Conclusion</w:t>
      </w:r>
    </w:p>
    <w:p>
      <w:pPr>
        <w:pBdr>
          <w:bottom w:val="single" w:color="2E74B5" w:sz="8" w:space="1"/>
        </w:pBdr>
        <w:spacing w:after="140" w:before="100"/>
      </w:pPr>
    </w:p>
    <w:p>
      <w:pPr>
        <w:spacing w:after="80" w:before="80"/>
        <w:jc w:val="both"/>
      </w:pPr>
      <w:r>
        <w:rPr>
          <w:rFonts w:ascii="Arial" w:cs="Arial" w:eastAsia="Arial" w:hAnsi="Arial"/>
          <w:b w:val="false"/>
          <w:bCs w:val="false"/>
          <w:i w:val="false"/>
          <w:iCs w:val="false"/>
          <w:color w:val="000000"/>
          <w:sz w:val="22"/>
          <w:szCs w:val="22"/>
        </w:rPr>
        <w:t xml:space="preserve">This project successfully demonstrated the end-to-end Business Intelligence workflow using Microsoft Power BI — from raw data ingestion and Power Query cleaning to DAX-based analysis, interactive dashboard development, and AI-assisted insight generation.</w:t>
      </w:r>
    </w:p>
    <w:p>
      <w:pPr>
        <w:spacing w:after="60" w:before="60"/>
      </w:pPr>
    </w:p>
    <w:p>
      <w:pPr>
        <w:spacing w:after="80" w:before="80"/>
        <w:jc w:val="both"/>
      </w:pPr>
      <w:r>
        <w:rPr>
          <w:rFonts w:ascii="Arial" w:cs="Arial" w:eastAsia="Arial" w:hAnsi="Arial"/>
          <w:b w:val="false"/>
          <w:bCs w:val="false"/>
          <w:i w:val="false"/>
          <w:iCs w:val="false"/>
          <w:color w:val="000000"/>
          <w:sz w:val="22"/>
          <w:szCs w:val="22"/>
        </w:rPr>
        <w:t xml:space="preserve">The Superstore Sales dataset, representing four years of US retail transactions, was transformed into a powerful analytical tool that enables stakeholders to make informed, data-driven decisions in real time. The dashboard revealed critical business insights — including the profitability impact of excessive discounting, the dominance of the Technology category, and significant regional performance disparities — that would otherwise remain hidden in static spreadsheets.</w:t>
      </w:r>
    </w:p>
    <w:p>
      <w:pPr>
        <w:spacing w:after="60" w:before="60"/>
      </w:pPr>
    </w:p>
    <w:p>
      <w:pPr>
        <w:spacing w:after="80" w:before="80"/>
        <w:jc w:val="both"/>
      </w:pPr>
      <w:r>
        <w:rPr>
          <w:rFonts w:ascii="Arial" w:cs="Arial" w:eastAsia="Arial" w:hAnsi="Arial"/>
          <w:b w:val="false"/>
          <w:bCs w:val="false"/>
          <w:i w:val="false"/>
          <w:iCs w:val="false"/>
          <w:color w:val="000000"/>
          <w:sz w:val="22"/>
          <w:szCs w:val="22"/>
        </w:rPr>
        <w:t xml:space="preserve">The integration of Microsoft Copilot and ChatGPT demonstrated how AI tools can accelerate analysis, automate narrative generation, and improve the quality of business reporting. This project provides a replicable framework that can be applied to any retail or e-commerce organization seeking to leverage Power BI for strategic decision-making.</w:t>
      </w:r>
    </w:p>
    <w:p>
      <w:pPr>
        <w:spacing w:after="60" w:before="60"/>
      </w:pPr>
    </w:p>
    <w:p>
      <w:pPr>
        <w:spacing w:after="80" w:before="80"/>
        <w:jc w:val="both"/>
      </w:pPr>
      <w:r>
        <w:rPr>
          <w:rFonts w:ascii="Arial" w:cs="Arial" w:eastAsia="Arial" w:hAnsi="Arial"/>
          <w:b w:val="false"/>
          <w:bCs w:val="false"/>
          <w:i w:val="false"/>
          <w:iCs w:val="false"/>
          <w:color w:val="000000"/>
          <w:sz w:val="22"/>
          <w:szCs w:val="22"/>
        </w:rPr>
        <w:t xml:space="preserve">As a student of the AICW Fellowship Program at Graphic at Yale University, this project has provided practical, industry-relevant experience in data analytics, Business Intelligence, and AI tool integration — skills that are directly applicable to real-world business environments.</w:t>
      </w:r>
    </w:p>
    <w:p>
      <w:pPr>
        <w:spacing w:after="60" w:before="60"/>
      </w:pPr>
    </w:p>
    <w:p>
      <w:r>
        <w:br w:type="page"/>
      </w:r>
    </w:p>
    <w:p>
      <w:pPr>
        <w:spacing w:after="120" w:before="360"/>
      </w:pPr>
      <w:r>
        <w:rPr>
          <w:rFonts w:ascii="Arial" w:cs="Arial" w:eastAsia="Arial" w:hAnsi="Arial"/>
          <w:b/>
          <w:bCs/>
          <w:color w:val="1F3864"/>
          <w:sz w:val="32"/>
          <w:szCs w:val="32"/>
        </w:rPr>
        <w:t xml:space="preserve">13. References</w:t>
      </w:r>
    </w:p>
    <w:p>
      <w:pPr>
        <w:pBdr>
          <w:bottom w:val="single" w:color="2E74B5" w:sz="8" w:space="1"/>
        </w:pBdr>
        <w:spacing w:after="140" w:before="100"/>
      </w:pPr>
    </w:p>
    <w:p>
      <w:pPr>
        <w:pStyle w:val="ListParagraph"/>
        <w:numPr>
          <w:ilvl w:val="0"/>
          <w:numId w:val="2"/>
        </w:numPr>
        <w:spacing w:after="60" w:before="60"/>
      </w:pPr>
      <w:r>
        <w:rPr>
          <w:rFonts w:ascii="Arial" w:cs="Arial" w:eastAsia="Arial" w:hAnsi="Arial"/>
          <w:sz w:val="22"/>
          <w:szCs w:val="22"/>
        </w:rPr>
        <w:t xml:space="preserve">Edunet Foundation. AICW Fellowship Program Guidelines. 2026. Available at: https://www.edunetfoundation.org</w:t>
      </w:r>
    </w:p>
    <w:p>
      <w:pPr>
        <w:pStyle w:val="ListParagraph"/>
        <w:numPr>
          <w:ilvl w:val="0"/>
          <w:numId w:val="2"/>
        </w:numPr>
        <w:spacing w:after="60" w:before="60"/>
      </w:pPr>
      <w:r>
        <w:rPr>
          <w:rFonts w:ascii="Arial" w:cs="Arial" w:eastAsia="Arial" w:hAnsi="Arial"/>
          <w:sz w:val="22"/>
          <w:szCs w:val="22"/>
        </w:rPr>
        <w:t xml:space="preserve">Microsoft Corporation. Power BI Documentation. Available at: https://learn.microsoft.com/en-us/power-bi/</w:t>
      </w:r>
    </w:p>
    <w:p>
      <w:pPr>
        <w:pStyle w:val="ListParagraph"/>
        <w:numPr>
          <w:ilvl w:val="0"/>
          <w:numId w:val="2"/>
        </w:numPr>
        <w:spacing w:after="60" w:before="60"/>
      </w:pPr>
      <w:r>
        <w:rPr>
          <w:rFonts w:ascii="Arial" w:cs="Arial" w:eastAsia="Arial" w:hAnsi="Arial"/>
          <w:sz w:val="22"/>
          <w:szCs w:val="22"/>
        </w:rPr>
        <w:t xml:space="preserve">Microsoft Corporation. DAX Reference Guide. Available at: https://learn.microsoft.com/en-us/dax/</w:t>
      </w:r>
    </w:p>
    <w:p>
      <w:pPr>
        <w:pStyle w:val="ListParagraph"/>
        <w:numPr>
          <w:ilvl w:val="0"/>
          <w:numId w:val="2"/>
        </w:numPr>
        <w:spacing w:after="60" w:before="60"/>
      </w:pPr>
      <w:r>
        <w:rPr>
          <w:rFonts w:ascii="Arial" w:cs="Arial" w:eastAsia="Arial" w:hAnsi="Arial"/>
          <w:sz w:val="22"/>
          <w:szCs w:val="22"/>
        </w:rPr>
        <w:t xml:space="preserve">Microsoft Corporation. Power Query Documentation. Available at: https://learn.microsoft.com/en-us/power-query/</w:t>
      </w:r>
    </w:p>
    <w:p>
      <w:pPr>
        <w:pStyle w:val="ListParagraph"/>
        <w:numPr>
          <w:ilvl w:val="0"/>
          <w:numId w:val="2"/>
        </w:numPr>
        <w:spacing w:after="60" w:before="60"/>
      </w:pPr>
      <w:r>
        <w:rPr>
          <w:rFonts w:ascii="Arial" w:cs="Arial" w:eastAsia="Arial" w:hAnsi="Arial"/>
          <w:sz w:val="22"/>
          <w:szCs w:val="22"/>
        </w:rPr>
        <w:t xml:space="preserve">Microsoft Corporation. Microsoft Copilot for Power BI. Available at: https://learn.microsoft.com/en-us/power-bi/create-reports/copilot-introduction</w:t>
      </w:r>
    </w:p>
    <w:p>
      <w:pPr>
        <w:pStyle w:val="ListParagraph"/>
        <w:numPr>
          <w:ilvl w:val="0"/>
          <w:numId w:val="2"/>
        </w:numPr>
        <w:spacing w:after="60" w:before="60"/>
      </w:pPr>
      <w:r>
        <w:rPr>
          <w:rFonts w:ascii="Arial" w:cs="Arial" w:eastAsia="Arial" w:hAnsi="Arial"/>
          <w:sz w:val="22"/>
          <w:szCs w:val="22"/>
        </w:rPr>
        <w:t xml:space="preserve">Kaggle Inc. Superstore Sales Dataset. Available at: https://www.kaggle.com/datasets/vivek468/superstore-dataset-final</w:t>
      </w:r>
    </w:p>
    <w:p>
      <w:pPr>
        <w:pStyle w:val="ListParagraph"/>
        <w:numPr>
          <w:ilvl w:val="0"/>
          <w:numId w:val="2"/>
        </w:numPr>
        <w:spacing w:after="60" w:before="60"/>
      </w:pPr>
      <w:r>
        <w:rPr>
          <w:rFonts w:ascii="Arial" w:cs="Arial" w:eastAsia="Arial" w:hAnsi="Arial"/>
          <w:sz w:val="22"/>
          <w:szCs w:val="22"/>
        </w:rPr>
        <w:t xml:space="preserve">SQLBI. DAX Patterns and Measures Reference. Available at: https://www.daxpatterns.com</w:t>
      </w:r>
    </w:p>
    <w:p>
      <w:pPr>
        <w:pStyle w:val="ListParagraph"/>
        <w:numPr>
          <w:ilvl w:val="0"/>
          <w:numId w:val="2"/>
        </w:numPr>
        <w:spacing w:after="60" w:before="60"/>
      </w:pPr>
      <w:r>
        <w:rPr>
          <w:rFonts w:ascii="Arial" w:cs="Arial" w:eastAsia="Arial" w:hAnsi="Arial"/>
          <w:sz w:val="22"/>
          <w:szCs w:val="22"/>
        </w:rPr>
        <w:t xml:space="preserve">Guy in a Cube (YouTube Channel). Power BI Tutorials and Dashboard Design Best Practices. Available at: https://www.youtube.com/@GuyInACube</w:t>
      </w:r>
    </w:p>
    <w:p>
      <w:pPr>
        <w:pStyle w:val="ListParagraph"/>
        <w:numPr>
          <w:ilvl w:val="0"/>
          <w:numId w:val="2"/>
        </w:numPr>
        <w:spacing w:after="60" w:before="60"/>
      </w:pPr>
      <w:r>
        <w:rPr>
          <w:rFonts w:ascii="Arial" w:cs="Arial" w:eastAsia="Arial" w:hAnsi="Arial"/>
          <w:sz w:val="22"/>
          <w:szCs w:val="22"/>
        </w:rPr>
        <w:t xml:space="preserve">OpenAI. ChatGPT — AI Assistant for Prompt Engineering and Insight Generation. Available at: https://chat.openai.com</w:t>
      </w:r>
    </w:p>
    <w:p>
      <w:pPr>
        <w:pStyle w:val="ListParagraph"/>
        <w:numPr>
          <w:ilvl w:val="0"/>
          <w:numId w:val="2"/>
        </w:numPr>
        <w:spacing w:after="60" w:before="60"/>
      </w:pPr>
      <w:r>
        <w:rPr>
          <w:rFonts w:ascii="Arial" w:cs="Arial" w:eastAsia="Arial" w:hAnsi="Arial"/>
          <w:sz w:val="22"/>
          <w:szCs w:val="22"/>
        </w:rPr>
        <w:t xml:space="preserve">LinkedIn Learning. Power BI Essential Training. 2026. Available at: https://www.linkedin.com/learning</w:t>
      </w:r>
    </w:p>
    <w:p>
      <w:pPr>
        <w:spacing w:after="60" w:before="60"/>
      </w:pPr>
    </w:p>
    <w:p>
      <w:pPr>
        <w:pBdr>
          <w:bottom w:val="single" w:color="1F3864" w:sz="8" w:space="1"/>
        </w:pBdr>
        <w:spacing w:after="140" w:before="100"/>
      </w:pPr>
    </w:p>
    <w:p>
      <w:pPr>
        <w:spacing w:before="120"/>
        <w:jc w:val="center"/>
      </w:pPr>
      <w:r>
        <w:rPr>
          <w:rFonts w:ascii="Arial" w:cs="Arial" w:eastAsia="Arial" w:hAnsi="Arial"/>
          <w:i/>
          <w:iCs/>
          <w:color w:val="888888"/>
          <w:sz w:val="18"/>
          <w:szCs w:val="18"/>
        </w:rPr>
        <w:t xml:space="preserve">Khushboo Rajpoot  |  Power BI Domain  |  Graphic at Yale University  |  AICW Fellowship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2026-04-06T14:03:35.991Z</dcterms:created>
  <dcterms:modified xsi:type="dcterms:W3CDTF">2026-04-06T14:03:35.991Z</dcterms:modified>
</cp:coreProperties>
</file>

<file path=docProps/custom.xml><?xml version="1.0" encoding="utf-8"?>
<Properties xmlns="http://schemas.openxmlformats.org/officeDocument/2006/custom-properties" xmlns:vt="http://schemas.openxmlformats.org/officeDocument/2006/docPropsVTypes"/>
</file>