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sp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ED7D31"/>
          <w:sz w:val="48"/>
        </w:rPr>
        <w:t>BISP TRAININGS</w:t>
      </w:r>
    </w:p>
    <w:p>
      <w:pPr>
        <w:jc w:val="center"/>
      </w:pPr>
      <w:r>
        <w:rPr>
          <w:b/>
          <w:color w:val="2F2F2F"/>
          <w:sz w:val="34"/>
        </w:rPr>
        <w:t>CFA LEVEL I PRACTICE WORKBOOK</w:t>
      </w:r>
    </w:p>
    <w:p>
      <w:pPr>
        <w:jc w:val="center"/>
      </w:pPr>
      <w:r>
        <w:rPr>
          <w:b/>
          <w:color w:val="1F4E79"/>
          <w:sz w:val="52"/>
        </w:rPr>
        <w:t>Guidance for Standards I–VII</w:t>
      </w:r>
    </w:p>
    <w:p>
      <w:pPr>
        <w:jc w:val="center"/>
      </w:pPr>
      <w:r>
        <w:rPr>
          <w:sz w:val="22"/>
        </w:rPr>
        <w:t>Learn • Apply • Calculate • Practice • Assess • Certify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85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ndards_empha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516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ADVANCED LEARNER EDITION</w:t>
            </w:r>
          </w:p>
          <w:p>
            <w:pPr>
              <w:spacing w:after="40"/>
            </w:pPr>
            <w:r>
              <w:rPr>
                <w:sz w:val="18"/>
              </w:rPr>
              <w:t>A professional workbook focused on applying the CFA Standards I–VII guidance to realistic exam scenarios. Quantitative examples are illustrative ethics calculations; ethical conclusions still depend on facts, duties, disclosures, policies, and applicable law.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COPYRIGHT &amp; INDEPENDENCE NOTE</w:t>
            </w:r>
          </w:p>
          <w:p>
            <w:pPr>
              <w:spacing w:after="40"/>
            </w:pPr>
            <w:r>
              <w:rPr>
                <w:sz w:val="18"/>
              </w:rPr>
              <w:t>CFA Institute exam questions are proprietary. This workbook does not reproduce past questions verbatim. Historical sections use original CFA-style reconstructions of recurring tested themes. CFA® and Chartered Financial Analyst® are trademarks of CFA Institute; BISP Trainings is not affiliated with CFA Institute.</w:t>
            </w:r>
          </w:p>
        </w:tc>
      </w:tr>
    </w:tbl>
    <w:p>
      <w:r>
        <w:br w:type="page"/>
      </w:r>
    </w:p>
    <w:p>
      <w:pPr>
        <w:pStyle w:val="Heading1"/>
      </w:pPr>
      <w:r>
        <w:t>Student Information &amp; Study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8"/>
              </w:rPr>
              <w:t>Student Name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8"/>
              </w:rPr>
              <w:t>CFA Candidate / Student ID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8"/>
              </w:rPr>
              <w:t>Batch / Cohort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8"/>
              </w:rPr>
              <w:t>Trainer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8"/>
              </w:rPr>
              <w:t>Start Date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8"/>
              </w:rPr>
              <w:t>Target Exam Window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________________________________________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8"/>
              </w:rPr>
              <w:t>Diagnostic Score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8"/>
              </w:rPr>
              <w:t>_______ / 20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8"/>
              </w:rPr>
              <w:t>Final Score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8"/>
              </w:rPr>
              <w:t>_______ / 20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1"/>
          </w:tcPr>
          <w:p>
            <w:r>
              <w:rPr>
                <w:b/>
                <w:color w:val="548235"/>
                <w:sz w:val="20"/>
              </w:rPr>
              <w:t>STUDY CONTRACT</w:t>
            </w:r>
          </w:p>
          <w:p>
            <w:pPr>
              <w:spacing w:after="40"/>
            </w:pPr>
            <w:r>
              <w:rPr>
                <w:sz w:val="18"/>
              </w:rPr>
              <w:t>Attempt each scenario before reading the rationale. For every missed item, record: trigger fact, applicable Standard/substandard, required action, prohibited action, disclosure/documentation need, and the reason the tempting alternative is wrong.</w:t>
            </w:r>
          </w:p>
        </w:tc>
      </w:tr>
    </w:tbl>
    <w:p>
      <w:pPr>
        <w:pStyle w:val="Heading2"/>
      </w:pPr>
      <w:r>
        <w:t>Learning Outcomes</w:t>
      </w:r>
    </w:p>
    <w:p>
      <w:pPr>
        <w:pStyle w:val="ListBullet"/>
      </w:pPr>
      <w:r>
        <w:t>Identify the relevant Standard I–VII and substandard from scenario facts.</w:t>
      </w:r>
    </w:p>
    <w:p>
      <w:pPr>
        <w:pStyle w:val="ListBullet"/>
      </w:pPr>
      <w:r>
        <w:t>Apply guidance on law, objectivity, MNPI, client duties, employer duties, research, conflicts, and candidate conduct.</w:t>
      </w:r>
    </w:p>
    <w:p>
      <w:pPr>
        <w:pStyle w:val="ListBullet"/>
      </w:pPr>
      <w:r>
        <w:t>Use quantitative facts—fees, allocations, opportunity costs, misstatements, and performance impacts—without mistaking arithmetic for the ethical conclusion.</w:t>
      </w:r>
    </w:p>
    <w:p>
      <w:pPr>
        <w:pStyle w:val="ListBullet"/>
      </w:pPr>
      <w:r>
        <w:t>Distinguish disclosure, consent, supervision, record retention, suitability, priority, and fair-dealing requirements.</w:t>
      </w:r>
    </w:p>
    <w:p>
      <w:pPr>
        <w:pStyle w:val="ListBullet"/>
      </w:pPr>
      <w:r>
        <w:t>Connect investment-profession ethics to selected reporting/disclosure themes under IFRS/IAS and US GAAP without conflating accounting standards with the CFA Standards.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4F7FA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1. Detect</w:t>
            </w:r>
          </w:p>
          <w:p>
            <w:pPr>
              <w:jc w:val="center"/>
            </w:pPr>
            <w:r>
              <w:rPr>
                <w:sz w:val="15"/>
              </w:rPr>
              <w:t>Spot the trigger fact</w:t>
            </w:r>
          </w:p>
        </w:tc>
        <w:tc>
          <w:tcPr>
            <w:tcW w:type="dxa" w:w="1728"/>
            <w:shd w:fill="FFF3E8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2. Classify</w:t>
            </w:r>
          </w:p>
          <w:p>
            <w:pPr>
              <w:jc w:val="center"/>
            </w:pPr>
            <w:r>
              <w:rPr>
                <w:sz w:val="15"/>
              </w:rPr>
              <w:t>Choose Standard/substandard</w:t>
            </w:r>
          </w:p>
        </w:tc>
        <w:tc>
          <w:tcPr>
            <w:tcW w:type="dxa" w:w="1728"/>
            <w:shd w:fill="F4F7FA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3. Test</w:t>
            </w:r>
          </w:p>
          <w:p>
            <w:pPr>
              <w:jc w:val="center"/>
            </w:pPr>
            <w:r>
              <w:rPr>
                <w:sz w:val="15"/>
              </w:rPr>
              <w:t>Law, duty, conflict, disclosure</w:t>
            </w:r>
          </w:p>
        </w:tc>
        <w:tc>
          <w:tcPr>
            <w:tcW w:type="dxa" w:w="1728"/>
            <w:shd w:fill="FFF3E8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4. Act</w:t>
            </w:r>
          </w:p>
          <w:p>
            <w:pPr>
              <w:jc w:val="center"/>
            </w:pPr>
            <w:r>
              <w:rPr>
                <w:sz w:val="15"/>
              </w:rPr>
              <w:t>Choose compliant action</w:t>
            </w:r>
          </w:p>
        </w:tc>
        <w:tc>
          <w:tcPr>
            <w:tcW w:type="dxa" w:w="1728"/>
            <w:shd w:fill="F4F7FA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5. Document</w:t>
            </w:r>
          </w:p>
          <w:p>
            <w:pPr>
              <w:jc w:val="center"/>
            </w:pPr>
            <w:r>
              <w:rPr>
                <w:sz w:val="15"/>
              </w:rPr>
              <w:t>Retain evidence</w:t>
            </w:r>
          </w:p>
        </w:tc>
        <w:tc>
          <w:tcPr>
            <w:tcW w:type="dxa" w:w="1728"/>
            <w:shd w:fill="FFF3E8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6. Review</w:t>
            </w:r>
          </w:p>
          <w:p>
            <w:pPr>
              <w:jc w:val="center"/>
            </w:pPr>
            <w:r>
              <w:rPr>
                <w:sz w:val="15"/>
              </w:rPr>
              <w:t>Explain why alternatives fail</w:t>
            </w:r>
          </w:p>
        </w:tc>
      </w:tr>
    </w:tbl>
    <w:p>
      <w:r>
        <w:br w:type="page"/>
      </w:r>
    </w:p>
    <w:p>
      <w:pPr>
        <w:pStyle w:val="Heading1"/>
      </w:pPr>
      <w:r>
        <w:t>Workbook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Standards I–VII at a Glance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High-level map and exam triggers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Detailed Guidance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Substandards, recommended procedures, traps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Decision Views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SmartArt-style ethical decision sequences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20 Quantitative Illustrations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Basic to advanced ethics calculations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Historical CFA-Style Reconstructions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Original scenarios based on recurring themes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6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IFRS/IAS/US GAAP Context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Disclosure, valuation, performance, conflicts context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7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Practice 10/100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Randomized solved cases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8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Assessment 20/100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Randomized MCQs and explanations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9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BISP Exam Strategy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Revision and error-log workflow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10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Printable Certificate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Completion evidence</w:t>
            </w:r>
          </w:p>
        </w:tc>
      </w:tr>
    </w:tbl>
    <w:p>
      <w:r>
        <w:br w:type="page"/>
      </w:r>
    </w:p>
    <w:p>
      <w:pPr>
        <w:pStyle w:val="Heading1"/>
      </w:pPr>
      <w:r>
        <w:t>1. Standards I–VII: Guidance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Core substandards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Professionalism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Knowledge of the Law; Independence and Objectivity; Misrepresentation; Misconduct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II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Integrity of Capital Markets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Material Nonpublic Information; Market Manipulation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III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Duties to Clients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Loyalty, Prudence, and Care; Fair Dealing; Suitability; Performance Presentation; Preservation of Confidentiality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IV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Duties to Employers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Loyalty; Additional Compensation Arrangements; Responsibilities of Supervisors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V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Investment Analysis, Recommendations, and Actions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Diligence and Reasonable Basis; Communication with Clients and Prospective Clients; Record Retention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VI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Conflicts of Interest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Disclosure of Conflicts; Priority of Transactions; Referral Fees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VII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Responsibilities as a CFA Institute Member or CFA Candidate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Conduct as Participants in CFA Institute Programs; Reference to CFA Institute, the CFA Designation, and the CFA Program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EXAM METHOD</w:t>
            </w:r>
          </w:p>
          <w:p>
            <w:pPr>
              <w:spacing w:after="40"/>
            </w:pPr>
            <w:r>
              <w:rPr>
                <w:sz w:val="18"/>
              </w:rPr>
              <w:t>Do not jump directly from a keyword to an answer. First identify the duty holder and stakeholder, then the information status, conflicts, client/employer obligations, disclosures/consents, and documentation or supervisory controls.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851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qual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Standard I: Professionalism</w:t>
      </w:r>
    </w:p>
    <w:p>
      <w:pPr>
        <w:pStyle w:val="Heading2"/>
      </w:pPr>
      <w:r>
        <w:t>I(A) Knowledge of the Law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Understand and comply with applicable laws, rules, regulations and the Code/Standards; when requirements differ, follow the stricter applicable requirement. Dissociate from violations when necessary.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assuming employer instructions override law or professional obligations.</w:t>
            </w:r>
          </w:p>
        </w:tc>
      </w:tr>
    </w:tbl>
    <w:p>
      <w:pPr>
        <w:pStyle w:val="Heading2"/>
      </w:pPr>
      <w:r>
        <w:t>I(B) Independence and Objectivity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Use reasonable care and judgment to maintain independence and objectivity. Avoid gifts, benefits, pressure, or issuer relationships that could compromise analysis.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focusing only on actual bias and ignoring appearance/incentive risk.</w:t>
            </w:r>
          </w:p>
        </w:tc>
      </w:tr>
    </w:tbl>
    <w:p>
      <w:pPr>
        <w:pStyle w:val="Heading2"/>
      </w:pPr>
      <w:r>
        <w:t>I(C) Misrepresentation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Do not knowingly make misrepresentations relating to investment analysis, recommendations, actions, qualifications, services, or performance.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plagiarism, unsupported guarantees, selective facts, or false credentials.</w:t>
            </w:r>
          </w:p>
        </w:tc>
      </w:tr>
    </w:tbl>
    <w:p>
      <w:pPr>
        <w:pStyle w:val="Heading2"/>
      </w:pPr>
      <w:r>
        <w:t>I(D) Misconduct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Do not engage in professional conduct involving dishonesty, fraud, deceit, or acts reflecting adversely on professional reputation, integrity, or competence.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treating off-duty dishonesty as irrelevant when it bears on professional integrity.</w:t>
            </w:r>
          </w:p>
        </w:tc>
      </w:tr>
    </w:tbl>
    <w:p>
      <w:pPr>
        <w:pStyle w:val="Heading1"/>
      </w:pPr>
      <w:r>
        <w:t>Standard II: Integrity of Capital Markets</w:t>
      </w:r>
    </w:p>
    <w:p>
      <w:pPr>
        <w:pStyle w:val="Heading2"/>
      </w:pPr>
      <w:r>
        <w:t>II(A) Material Nonpublic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Do not act or cause others to act on material nonpublic information. Mosaic analysis may combine public and nonmaterial nonpublic information.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confusing nonmaterial pieces with MNPI or failing to restrict/monitor information flow.</w:t>
            </w:r>
          </w:p>
        </w:tc>
      </w:tr>
    </w:tbl>
    <w:p>
      <w:pPr>
        <w:pStyle w:val="Heading2"/>
      </w:pPr>
      <w:r>
        <w:t>II(B) Market Manipulation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Do not engage in practices that distort prices or artificially inflate trading volume with intent to mislead market participants.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assuming a trade is acceptable merely because it is legally executable.</w:t>
            </w:r>
          </w:p>
        </w:tc>
      </w:tr>
    </w:tbl>
    <w:p>
      <w:r>
        <w:br w:type="page"/>
      </w:r>
    </w:p>
    <w:p>
      <w:pPr>
        <w:pStyle w:val="Heading1"/>
      </w:pPr>
      <w:r>
        <w:t>Standard III: Duties to Clients</w:t>
      </w:r>
    </w:p>
    <w:p>
      <w:pPr>
        <w:pStyle w:val="Heading2"/>
      </w:pPr>
      <w:r>
        <w:t>III(A) Loyalty, Prudence, and Care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Act for the benefit of clients and place client interests before employer or personal interests where applicable. Exercise prudent judgment.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treating client brokerage, proxy voting, or soft-dollar benefits as the manager’s property.</w:t>
            </w:r>
          </w:p>
        </w:tc>
      </w:tr>
    </w:tbl>
    <w:p>
      <w:pPr>
        <w:pStyle w:val="Heading2"/>
      </w:pPr>
      <w:r>
        <w:t>III(B) Fair Dealing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Deal fairly and objectively with all clients when providing analysis, recommendations, or taking investment action. Fair does not always mean identical.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preferential dissemination or cherry-picking allocations.</w:t>
            </w:r>
          </w:p>
        </w:tc>
      </w:tr>
    </w:tbl>
    <w:p>
      <w:pPr>
        <w:pStyle w:val="Heading2"/>
      </w:pPr>
      <w:r>
        <w:t>III(C) Suitability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When in an advisory relationship, investigate client objectives, constraints, and circumstances; determine suitability in the context of the total portfolio and update information.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evaluating a security in isolation.</w:t>
            </w:r>
          </w:p>
        </w:tc>
      </w:tr>
    </w:tbl>
    <w:p>
      <w:pPr>
        <w:pStyle w:val="Heading2"/>
      </w:pPr>
      <w:r>
        <w:t>III(D) Performance Presentation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Make reasonable efforts to ensure performance information is fair, accurate, and complete.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cherry-picking accounts, periods, or gross returns without context.</w:t>
            </w:r>
          </w:p>
        </w:tc>
      </w:tr>
    </w:tbl>
    <w:p>
      <w:pPr>
        <w:pStyle w:val="Heading2"/>
      </w:pPr>
      <w:r>
        <w:t>III(E) Preservation of Confidentiality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Keep client information confidential unless it concerns illegal activity, disclosure is required by law, or client permits disclosure.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casual sharing within or outside the firm without need/authority.</w:t>
            </w:r>
          </w:p>
        </w:tc>
      </w:tr>
    </w:tbl>
    <w:p>
      <w:pPr>
        <w:pStyle w:val="Heading1"/>
      </w:pPr>
      <w:r>
        <w:t>Standard IV: Duties to Employers</w:t>
      </w:r>
    </w:p>
    <w:p>
      <w:pPr>
        <w:pStyle w:val="Heading2"/>
      </w:pPr>
      <w:r>
        <w:t>IV(A) Loyalty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Act for employer benefit in employment matters; do not deprive employer of skills, cause harm, or misuse confidential information. Preparation for departure may be allowed if it does not breach duties.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soliciting clients before departure or taking employer records.</w:t>
            </w:r>
          </w:p>
        </w:tc>
      </w:tr>
    </w:tbl>
    <w:p>
      <w:pPr>
        <w:pStyle w:val="Heading2"/>
      </w:pPr>
      <w:r>
        <w:t>IV(B) Additional Compensation Arrangements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Do not accept gifts, benefits, compensation, or consideration that could create a conflict with employer interests unless written consent is obtained from all parties involved.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disclosure without the required consent.</w:t>
            </w:r>
          </w:p>
        </w:tc>
      </w:tr>
    </w:tbl>
    <w:p>
      <w:pPr>
        <w:pStyle w:val="Heading2"/>
      </w:pPr>
      <w:r>
        <w:t>IV(C) Responsibilities of Supervisors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Make reasonable efforts to ensure persons subject to supervision comply with laws, rules, regulations, and the Code/Standards.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accepting supervisory responsibility without adequate compliance systems.</w:t>
            </w:r>
          </w:p>
        </w:tc>
      </w:tr>
    </w:tbl>
    <w:p>
      <w:r>
        <w:br w:type="page"/>
      </w:r>
    </w:p>
    <w:p>
      <w:pPr>
        <w:pStyle w:val="Heading1"/>
      </w:pPr>
      <w:r>
        <w:t>Standard V: Investment Analysis, Recommendations, and Actions</w:t>
      </w:r>
    </w:p>
    <w:p>
      <w:pPr>
        <w:pStyle w:val="Heading2"/>
      </w:pPr>
      <w:r>
        <w:t>V(A) Diligence and Reasonable Basis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Exercise diligence, independence, and thoroughness and have a reasonable and adequate basis supported by appropriate research and investigation.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relying on third-party research without assessing quality and process.</w:t>
            </w:r>
          </w:p>
        </w:tc>
      </w:tr>
    </w:tbl>
    <w:p>
      <w:pPr>
        <w:pStyle w:val="Heading2"/>
      </w:pPr>
      <w:r>
        <w:t>V(B) Communication with Clients and Prospective Clients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Disclose basic format and general principles of investment processes, material changes, significant limitations/risks, and distinguish fact from opinion.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communicating a recommendation without key assumptions and limitations.</w:t>
            </w:r>
          </w:p>
        </w:tc>
      </w:tr>
    </w:tbl>
    <w:p>
      <w:pPr>
        <w:pStyle w:val="Heading2"/>
      </w:pPr>
      <w:r>
        <w:t>V(C) Record Retention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Develop and maintain appropriate records supporting analysis, recommendations, actions, and investment-related communications.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believing personal notes automatically belong to the employee or can be taken on departure.</w:t>
            </w:r>
          </w:p>
        </w:tc>
      </w:tr>
    </w:tbl>
    <w:p>
      <w:pPr>
        <w:pStyle w:val="Heading1"/>
      </w:pPr>
      <w:r>
        <w:t>Standard VI: Conflicts of Interest</w:t>
      </w:r>
    </w:p>
    <w:p>
      <w:pPr>
        <w:pStyle w:val="Heading2"/>
      </w:pPr>
      <w:r>
        <w:t>VI(A) Disclosure of Conflicts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Make full and fair disclosure of matters that could reasonably impair independence/objectivity or interfere with duties. Ensure disclosures are prominent, in plain language, and communicate relevant information effectively.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buried or generic conflict language.</w:t>
            </w:r>
          </w:p>
        </w:tc>
      </w:tr>
    </w:tbl>
    <w:p>
      <w:pPr>
        <w:pStyle w:val="Heading2"/>
      </w:pPr>
      <w:r>
        <w:t>VI(B) Priority of Transactions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Investment transactions for clients and employers must have priority over transactions in which the member/candidate is beneficial owner.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trading personally before client orders or using client information for personal advantage.</w:t>
            </w:r>
          </w:p>
        </w:tc>
      </w:tr>
    </w:tbl>
    <w:p>
      <w:pPr>
        <w:pStyle w:val="Heading2"/>
      </w:pPr>
      <w:r>
        <w:t>VI(C) Referral Fees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Disclose to employer, clients, and prospective clients any consideration or benefit received from or paid to others for recommendations of products or services.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disclosing only the existence but not nature/consideration.</w:t>
            </w:r>
          </w:p>
        </w:tc>
      </w:tr>
    </w:tbl>
    <w:p>
      <w:r>
        <w:br w:type="page"/>
      </w:r>
    </w:p>
    <w:p>
      <w:pPr>
        <w:pStyle w:val="Heading1"/>
      </w:pPr>
      <w:r>
        <w:t>Standard VII: Responsibilities as a CFA Institute Member or CFA Candidate</w:t>
      </w:r>
    </w:p>
    <w:p>
      <w:pPr>
        <w:pStyle w:val="Heading2"/>
      </w:pPr>
      <w:r>
        <w:t>VII(A) Conduct as Participants in CFA Institute Programs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Do not engage in conduct that compromises the reputation or integrity of CFA Institute or the CFA designation, or integrity/security/validity of CFA programs.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sharing confidential exam content or violating testing rules.</w:t>
            </w:r>
          </w:p>
        </w:tc>
      </w:tr>
    </w:tbl>
    <w:p>
      <w:pPr>
        <w:pStyle w:val="Heading2"/>
      </w:pPr>
      <w:r>
        <w:t>VII(B) Reference to CFA Institute, the CFA Designation, and the CFA Program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GUIDANCE</w:t>
            </w:r>
          </w:p>
          <w:p>
            <w:pPr>
              <w:spacing w:after="40"/>
            </w:pPr>
            <w:r>
              <w:rPr>
                <w:sz w:val="18"/>
              </w:rPr>
              <w:t>Do not misrepresent or exaggerate meaning or implications of membership, designation, candidacy, or program participation.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COMMON EXAM TRAP</w:t>
            </w:r>
          </w:p>
          <w:p>
            <w:pPr>
              <w:spacing w:after="40"/>
            </w:pPr>
            <w:r>
              <w:rPr>
                <w:sz w:val="18"/>
              </w:rPr>
              <w:t>Trap: implying superior investment performance or using incorrect candidacy/designation language.</w:t>
            </w:r>
          </w:p>
        </w:tc>
      </w:tr>
    </w:tbl>
    <w:p>
      <w:r>
        <w:br w:type="page"/>
      </w:r>
    </w:p>
    <w:p>
      <w:pPr>
        <w:pStyle w:val="Heading1"/>
      </w:pPr>
      <w:r>
        <w:t>2. SmartArt-Style Decision Views</w:t>
      </w:r>
    </w:p>
    <w:p>
      <w:pPr>
        <w:pStyle w:val="Heading2"/>
      </w:pPr>
      <w:r>
        <w:t>Universal Standards I–VII Decision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4F7FA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Facts</w:t>
            </w:r>
          </w:p>
          <w:p>
            <w:pPr>
              <w:jc w:val="center"/>
            </w:pPr>
            <w:r>
              <w:rPr>
                <w:sz w:val="15"/>
              </w:rPr>
              <w:t>Who did what?</w:t>
            </w:r>
          </w:p>
        </w:tc>
        <w:tc>
          <w:tcPr>
            <w:tcW w:type="dxa" w:w="1728"/>
            <w:shd w:fill="FFF3E8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Stakeholder</w:t>
            </w:r>
          </w:p>
          <w:p>
            <w:pPr>
              <w:jc w:val="center"/>
            </w:pPr>
            <w:r>
              <w:rPr>
                <w:sz w:val="15"/>
              </w:rPr>
              <w:t>Client / employer / market / CFA Program</w:t>
            </w:r>
          </w:p>
        </w:tc>
        <w:tc>
          <w:tcPr>
            <w:tcW w:type="dxa" w:w="1728"/>
            <w:shd w:fill="F4F7FA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Information</w:t>
            </w:r>
          </w:p>
          <w:p>
            <w:pPr>
              <w:jc w:val="center"/>
            </w:pPr>
            <w:r>
              <w:rPr>
                <w:sz w:val="15"/>
              </w:rPr>
              <w:t>Public / nonpublic / material?</w:t>
            </w:r>
          </w:p>
        </w:tc>
        <w:tc>
          <w:tcPr>
            <w:tcW w:type="dxa" w:w="1728"/>
            <w:shd w:fill="FFF3E8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Duty</w:t>
            </w:r>
          </w:p>
          <w:p>
            <w:pPr>
              <w:jc w:val="center"/>
            </w:pPr>
            <w:r>
              <w:rPr>
                <w:sz w:val="15"/>
              </w:rPr>
              <w:t>Which Standard/substandard?</w:t>
            </w:r>
          </w:p>
        </w:tc>
        <w:tc>
          <w:tcPr>
            <w:tcW w:type="dxa" w:w="1728"/>
            <w:shd w:fill="F4F7FA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Conflict</w:t>
            </w:r>
          </w:p>
          <w:p>
            <w:pPr>
              <w:jc w:val="center"/>
            </w:pPr>
            <w:r>
              <w:rPr>
                <w:sz w:val="15"/>
              </w:rPr>
              <w:t>Disclosure, consent, priority?</w:t>
            </w:r>
          </w:p>
        </w:tc>
        <w:tc>
          <w:tcPr>
            <w:tcW w:type="dxa" w:w="1728"/>
            <w:shd w:fill="FFF3E8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Action</w:t>
            </w:r>
          </w:p>
          <w:p>
            <w:pPr>
              <w:jc w:val="center"/>
            </w:pPr>
            <w:r>
              <w:rPr>
                <w:sz w:val="15"/>
              </w:rPr>
              <w:t>Prevent, disclose, refuse, dissociate, document</w:t>
            </w:r>
          </w:p>
        </w:tc>
      </w:tr>
    </w:tbl>
    <w:p>
      <w:pPr>
        <w:pStyle w:val="Heading2"/>
      </w:pPr>
      <w:r>
        <w:t>MNPI Decision Tree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4F7FA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Information received</w:t>
            </w:r>
          </w:p>
          <w:p>
            <w:pPr>
              <w:jc w:val="center"/>
            </w:pPr>
            <w:r>
              <w:rPr>
                <w:sz w:val="15"/>
              </w:rPr>
              <w:t>Identify source + content</w:t>
            </w:r>
          </w:p>
        </w:tc>
        <w:tc>
          <w:tcPr>
            <w:tcW w:type="dxa" w:w="1728"/>
            <w:shd w:fill="FFF3E8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Material?</w:t>
            </w:r>
          </w:p>
          <w:p>
            <w:pPr>
              <w:jc w:val="center"/>
            </w:pPr>
            <w:r>
              <w:rPr>
                <w:sz w:val="15"/>
              </w:rPr>
              <w:t>Would a reasonable investor care?</w:t>
            </w:r>
          </w:p>
        </w:tc>
        <w:tc>
          <w:tcPr>
            <w:tcW w:type="dxa" w:w="1728"/>
            <w:shd w:fill="F4F7FA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Nonpublic?</w:t>
            </w:r>
          </w:p>
          <w:p>
            <w:pPr>
              <w:jc w:val="center"/>
            </w:pPr>
            <w:r>
              <w:rPr>
                <w:sz w:val="15"/>
              </w:rPr>
              <w:t>Broadly disseminated?</w:t>
            </w:r>
          </w:p>
        </w:tc>
        <w:tc>
          <w:tcPr>
            <w:tcW w:type="dxa" w:w="1728"/>
            <w:shd w:fill="FFF3E8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If both yes</w:t>
            </w:r>
          </w:p>
          <w:p>
            <w:pPr>
              <w:jc w:val="center"/>
            </w:pPr>
            <w:r>
              <w:rPr>
                <w:sz w:val="15"/>
              </w:rPr>
              <w:t>Do not trade/tip; restrict</w:t>
            </w:r>
          </w:p>
        </w:tc>
        <w:tc>
          <w:tcPr>
            <w:tcW w:type="dxa" w:w="1728"/>
            <w:shd w:fill="F4F7FA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Mosaic?</w:t>
            </w:r>
          </w:p>
          <w:p>
            <w:pPr>
              <w:jc w:val="center"/>
            </w:pPr>
            <w:r>
              <w:rPr>
                <w:sz w:val="15"/>
              </w:rPr>
              <w:t>Public + nonmaterial nonpublic may support analysis</w:t>
            </w:r>
          </w:p>
        </w:tc>
        <w:tc>
          <w:tcPr>
            <w:tcW w:type="dxa" w:w="1728"/>
            <w:shd w:fill="FFF3E8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Document</w:t>
            </w:r>
          </w:p>
          <w:p>
            <w:pPr>
              <w:jc w:val="center"/>
            </w:pPr>
            <w:r>
              <w:rPr>
                <w:sz w:val="15"/>
              </w:rPr>
              <w:t>Research trail + compliance escalation</w:t>
            </w:r>
          </w:p>
        </w:tc>
      </w:tr>
    </w:tbl>
    <w:p>
      <w:pPr>
        <w:pStyle w:val="Heading2"/>
      </w:pPr>
      <w:r>
        <w:t>Client Order / Personal Trade Decision Tree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F4F7FA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Client interest</w:t>
            </w:r>
          </w:p>
          <w:p>
            <w:pPr>
              <w:jc w:val="center"/>
            </w:pPr>
            <w:r>
              <w:rPr>
                <w:sz w:val="15"/>
              </w:rPr>
              <w:t>Outstanding order or recommendation?</w:t>
            </w:r>
          </w:p>
        </w:tc>
        <w:tc>
          <w:tcPr>
            <w:tcW w:type="dxa" w:w="1728"/>
            <w:shd w:fill="FFF3E8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Employee interest</w:t>
            </w:r>
          </w:p>
          <w:p>
            <w:pPr>
              <w:jc w:val="center"/>
            </w:pPr>
            <w:r>
              <w:rPr>
                <w:sz w:val="15"/>
              </w:rPr>
              <w:t>Beneficial ownership?</w:t>
            </w:r>
          </w:p>
        </w:tc>
        <w:tc>
          <w:tcPr>
            <w:tcW w:type="dxa" w:w="1728"/>
            <w:shd w:fill="F4F7FA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Priority</w:t>
            </w:r>
          </w:p>
          <w:p>
            <w:pPr>
              <w:jc w:val="center"/>
            </w:pPr>
            <w:r>
              <w:rPr>
                <w:sz w:val="15"/>
              </w:rPr>
              <w:t>Client/employer first</w:t>
            </w:r>
          </w:p>
        </w:tc>
        <w:tc>
          <w:tcPr>
            <w:tcW w:type="dxa" w:w="1728"/>
            <w:shd w:fill="FFF3E8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Allocation</w:t>
            </w:r>
          </w:p>
          <w:p>
            <w:pPr>
              <w:jc w:val="center"/>
            </w:pPr>
            <w:r>
              <w:rPr>
                <w:sz w:val="15"/>
              </w:rPr>
              <w:t>Use pre-set fair method</w:t>
            </w:r>
          </w:p>
        </w:tc>
        <w:tc>
          <w:tcPr>
            <w:tcW w:type="dxa" w:w="1728"/>
            <w:shd w:fill="F4F7FA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Disclosure</w:t>
            </w:r>
          </w:p>
          <w:p>
            <w:pPr>
              <w:jc w:val="center"/>
            </w:pPr>
            <w:r>
              <w:rPr>
                <w:sz w:val="15"/>
              </w:rPr>
              <w:t>Conflicts + holdings as required</w:t>
            </w:r>
          </w:p>
        </w:tc>
        <w:tc>
          <w:tcPr>
            <w:tcW w:type="dxa" w:w="1728"/>
            <w:shd w:fill="FFF3E8"/>
          </w:tcPr>
          <w:p>
            <w:pPr>
              <w:jc w:val="center"/>
            </w:pPr>
            <w:r>
              <w:rPr>
                <w:b/>
                <w:color w:val="ED7D31"/>
                <w:sz w:val="17"/>
              </w:rPr>
              <w:t>Monitor</w:t>
            </w:r>
          </w:p>
          <w:p>
            <w:pPr>
              <w:jc w:val="center"/>
            </w:pPr>
            <w:r>
              <w:rPr>
                <w:sz w:val="15"/>
              </w:rPr>
              <w:t>Preclearance/restricted list/post-trade review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851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r_alloc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85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3. Twenty Quantitative Ethics Illustrations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1"/>
          </w:tcPr>
          <w:p>
            <w:r>
              <w:rPr>
                <w:b/>
                <w:color w:val="548235"/>
                <w:sz w:val="20"/>
              </w:rPr>
              <w:t>IMPORTANT</w:t>
            </w:r>
          </w:p>
          <w:p>
            <w:pPr>
              <w:spacing w:after="40"/>
            </w:pPr>
            <w:r>
              <w:rPr>
                <w:sz w:val="18"/>
              </w:rPr>
              <w:t>Ethics Standards are principles-and-facts driven, not formula driven. These numericals quantify incentives, client impact, disclosure amounts, allocation fairness, fee effects, and presentation distortions. The arithmetic supports—but never replaces—the Standards analysis.</w:t>
            </w:r>
          </w:p>
        </w:tc>
      </w:tr>
    </w:tbl>
    <w:p>
      <w:pPr>
        <w:pStyle w:val="Heading2"/>
      </w:pPr>
      <w:r>
        <w:t>Example 1: Fair dealing allocation ratio</w:t>
      </w:r>
    </w:p>
    <w:p>
      <w:r>
        <w:rPr>
          <w:b/>
          <w:color w:val="ED7D31"/>
        </w:rPr>
        <w:t>Difficulty: Basic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 block trade of 10,000 shares must be allocated between Client A (60%) and Client B (40%).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Allocate 6,000 and 4,000 shares.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A portfolio manager fills two client orders together.</w:t>
            </w:r>
          </w:p>
        </w:tc>
      </w:tr>
    </w:tbl>
    <w:p>
      <w:pPr>
        <w:pStyle w:val="Heading2"/>
      </w:pPr>
      <w:r>
        <w:t>Example 2: Referral fee disclosure</w:t>
      </w:r>
    </w:p>
    <w:p>
      <w:r>
        <w:rPr>
          <w:b/>
          <w:color w:val="ED7D31"/>
        </w:rPr>
        <w:t>Difficulty: Basic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An adviser receives ₹18,000 referral compensation on ₹600,000 of referred revenue. Calculate the referral-fee rate.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18,000 / 600,000 = 3.0%.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A client should understand economic incentives behind the recommendation.</w:t>
            </w:r>
          </w:p>
        </w:tc>
      </w:tr>
    </w:tbl>
    <w:p>
      <w:pPr>
        <w:pStyle w:val="Heading2"/>
      </w:pPr>
      <w:r>
        <w:t>Example 3: Gift materiality ratio</w:t>
      </w:r>
    </w:p>
    <w:p>
      <w:r>
        <w:rPr>
          <w:b/>
          <w:color w:val="ED7D31"/>
        </w:rPr>
        <w:t>Difficulty: Basic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 vendor gift worth ₹12,000 is received by an analyst earning ₹1,200,000 annually. Express gift as % of salary.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12,000 / 1,200,000 = 1.0%.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Quantification helps compliance assess potential influence; the ethical issue still depends on facts and policy.</w:t>
            </w:r>
          </w:p>
        </w:tc>
      </w:tr>
    </w:tbl>
    <w:p>
      <w:pPr>
        <w:pStyle w:val="Heading2"/>
      </w:pPr>
      <w:r>
        <w:t>Example 4: Trade error restitution</w:t>
      </w:r>
    </w:p>
    <w:p>
      <w:r>
        <w:rPr>
          <w:b/>
          <w:color w:val="ED7D31"/>
        </w:rPr>
        <w:t>Difficulty: Basic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Client account should have bought at ₹250 but was incorrectly executed at ₹257 for 800 shares. Compute direct price difference.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(257-250)×800 = ₹5,600.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A firm investigates and corrects an avoidable execution error.</w:t>
            </w:r>
          </w:p>
        </w:tc>
      </w:tr>
    </w:tbl>
    <w:p>
      <w:pPr>
        <w:pStyle w:val="Heading2"/>
      </w:pPr>
      <w:r>
        <w:t>Example 5: Performance gross-to-net</w:t>
      </w:r>
    </w:p>
    <w:p>
      <w:r>
        <w:rPr>
          <w:b/>
          <w:color w:val="ED7D31"/>
        </w:rPr>
        <w:t>Difficulty: Basic+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Gross return is 11.2% and annual management fee is 1.4%. Approximate net return before compounding nuances.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11.2%-1.4%=9.8%.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Performance must be communicated fairly and with fee context.</w:t>
            </w:r>
          </w:p>
        </w:tc>
      </w:tr>
    </w:tbl>
    <w:p>
      <w:r>
        <w:br w:type="page"/>
      </w:r>
    </w:p>
    <w:p>
      <w:pPr>
        <w:pStyle w:val="Heading2"/>
      </w:pPr>
      <w:r>
        <w:t>Example 6: Soft-dollar benefit allocation</w:t>
      </w:r>
    </w:p>
    <w:p>
      <w:r>
        <w:rPr>
          <w:b/>
          <w:color w:val="ED7D31"/>
        </w:rPr>
        <w:t>Difficulty: Intermediate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Research cost of ₹150,000 supports 5 strategies. Strategy A uses 30% of the research. Compute attributed amount.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150,000×30%=₹45,000.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Manager documents client-brokerage benefits and research use.</w:t>
            </w:r>
          </w:p>
        </w:tc>
      </w:tr>
    </w:tbl>
    <w:p>
      <w:pPr>
        <w:pStyle w:val="Heading2"/>
      </w:pPr>
      <w:r>
        <w:t>Example 7: Personal-trade priority impact</w:t>
      </w:r>
    </w:p>
    <w:p>
      <w:r>
        <w:rPr>
          <w:b/>
          <w:color w:val="ED7D31"/>
        </w:rPr>
        <w:t>Difficulty: Intermediate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An employee buys 1,000 shares before a client order; price rises ₹4 before client execution. Illustrative client opportunity cost?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1,000×₹4=₹4,000 for the overlapping quantity.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Personal trades must not disadvantage clients.</w:t>
            </w:r>
          </w:p>
        </w:tc>
      </w:tr>
    </w:tbl>
    <w:p>
      <w:pPr>
        <w:pStyle w:val="Heading2"/>
      </w:pPr>
      <w:r>
        <w:t>Example 8: Concentration suitability test</w:t>
      </w:r>
    </w:p>
    <w:p>
      <w:r>
        <w:rPr>
          <w:b/>
          <w:color w:val="ED7D31"/>
        </w:rPr>
        <w:t>Difficulty: Intermediate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Client has ₹2,500,000 portfolio; proposed employer stock holding is ₹900,000. Find concentration.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900,000/2,500,000=36%.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Suitability review considers concentration, liquidity, objectives and constraints.</w:t>
            </w:r>
          </w:p>
        </w:tc>
      </w:tr>
    </w:tbl>
    <w:p>
      <w:pPr>
        <w:pStyle w:val="Heading2"/>
      </w:pPr>
      <w:r>
        <w:t>Example 9: Misstatement magnitude</w:t>
      </w:r>
    </w:p>
    <w:p>
      <w:r>
        <w:rPr>
          <w:b/>
          <w:color w:val="ED7D31"/>
        </w:rPr>
        <w:t>Difficulty: Intermediate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 report states AUM ₹520m; verified AUM is ₹500m. Compute overstatement %.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(520-500)/500=4.0%.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Even small quantitative exaggerations can become misrepresentation.</w:t>
            </w:r>
          </w:p>
        </w:tc>
      </w:tr>
    </w:tbl>
    <w:p>
      <w:pPr>
        <w:pStyle w:val="Heading2"/>
      </w:pPr>
      <w:r>
        <w:t>Example 10: Best-execution total cost</w:t>
      </w:r>
    </w:p>
    <w:p>
      <w:r>
        <w:rPr>
          <w:b/>
          <w:color w:val="ED7D31"/>
        </w:rPr>
        <w:t>Difficulty: Intermediate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Broker X: price ₹100.10, fee ₹0.05; Broker Y: price ₹100.00, fee ₹0.12. For 5,000 shares, compare all-in buy cost.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X=5,000×100.15=₹500,750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Y=5,000×100.12=₹500,600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3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Y cheaper by ₹150.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Best execution considers total value, not commission alone.</w:t>
            </w:r>
          </w:p>
        </w:tc>
      </w:tr>
    </w:tbl>
    <w:p>
      <w:r>
        <w:br w:type="page"/>
      </w:r>
    </w:p>
    <w:p>
      <w:pPr>
        <w:pStyle w:val="Heading2"/>
      </w:pPr>
      <w:r>
        <w:t>Example 11: Allocation after partial fill</w:t>
      </w:r>
    </w:p>
    <w:p>
      <w:r>
        <w:rPr>
          <w:b/>
          <w:color w:val="ED7D31"/>
        </w:rPr>
        <w:t>Difficulty: Intermediate+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Orders total 20,000 shares: A 10k, B 6k, C 4k. Only 15,000 filled. Pro-rata allocation?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 7,500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B 4,500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3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C 3,000.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Pre-established allocation procedures support fair dealing.</w:t>
            </w:r>
          </w:p>
        </w:tc>
      </w:tr>
    </w:tbl>
    <w:p>
      <w:pPr>
        <w:pStyle w:val="Heading2"/>
      </w:pPr>
      <w:r>
        <w:t>Example 12: Research sample error</w:t>
      </w:r>
    </w:p>
    <w:p>
      <w:r>
        <w:rPr>
          <w:b/>
          <w:color w:val="ED7D31"/>
        </w:rPr>
        <w:t>Difficulty: Intermediate+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Analyst cites 48 profitable quarters out of 60 as “90% profitable.” Compute actual %.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48/60=80%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claim overstates by 10 percentage points.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Communication must distinguish facts from inaccurate claims.</w:t>
            </w:r>
          </w:p>
        </w:tc>
      </w:tr>
    </w:tbl>
    <w:p>
      <w:pPr>
        <w:pStyle w:val="Heading2"/>
      </w:pPr>
      <w:r>
        <w:t>Example 13: Fee disclosure wealth impact</w:t>
      </w:r>
    </w:p>
    <w:p>
      <w:r>
        <w:rPr>
          <w:b/>
          <w:color w:val="ED7D31"/>
        </w:rPr>
        <w:t>Difficulty: Intermediate+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₹4,000,000 grows 8% gross for one year; fee 1.25% of ending gross assets. Compute approximate end wealth after fee.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Gross=₹4,320,000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fee=₹54,000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3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net=₹4,266,000.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Clients need transparent fee economics.</w:t>
            </w:r>
          </w:p>
        </w:tc>
      </w:tr>
    </w:tbl>
    <w:p>
      <w:pPr>
        <w:pStyle w:val="Heading2"/>
      </w:pPr>
      <w:r>
        <w:t>Example 14: Referral fee split</w:t>
      </w:r>
    </w:p>
    <w:p>
      <w:r>
        <w:rPr>
          <w:b/>
          <w:color w:val="ED7D31"/>
        </w:rPr>
        <w:t>Difficulty: Advanced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₹250,000 referral fee is shared 70/30 between firm and representative. Calculate both shares.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Firm ₹175,000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representative ₹75,000.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Disclose nature and consideration of referral arrangements.</w:t>
            </w:r>
          </w:p>
        </w:tc>
      </w:tr>
    </w:tbl>
    <w:p>
      <w:pPr>
        <w:pStyle w:val="Heading2"/>
      </w:pPr>
      <w:r>
        <w:t>Example 15: Client-vs-house IPO allocation</w:t>
      </w:r>
    </w:p>
    <w:p>
      <w:r>
        <w:rPr>
          <w:b/>
          <w:color w:val="ED7D31"/>
        </w:rPr>
        <w:t>Difficulty: Advanced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IPO fill 50,000 shares. Eligible client demand 80,000; house demand 20,000. If client priority policy fills clients first, what % client demand is satisfied?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50,000/80,000=62.5%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house gets 0 in this simplified policy.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Priority systems should protect client interests and be documented.</w:t>
            </w:r>
          </w:p>
        </w:tc>
      </w:tr>
    </w:tbl>
    <w:p>
      <w:r>
        <w:br w:type="page"/>
      </w:r>
    </w:p>
    <w:p>
      <w:pPr>
        <w:pStyle w:val="Heading2"/>
      </w:pPr>
      <w:r>
        <w:t>Example 16: Performance dispersion disclosure</w:t>
      </w:r>
    </w:p>
    <w:p>
      <w:r>
        <w:rPr>
          <w:b/>
          <w:color w:val="ED7D31"/>
        </w:rPr>
        <w:t>Difficulty: Advanced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Three accounts return 12%, 8%, and -2%. Compute simple mean and range.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Mean=(12+8-2)/3=6%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range=14 percentage points.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Selective presentation of only the 12% account would mislead.</w:t>
            </w:r>
          </w:p>
        </w:tc>
      </w:tr>
    </w:tbl>
    <w:p>
      <w:pPr>
        <w:pStyle w:val="Heading2"/>
      </w:pPr>
      <w:r>
        <w:t>Example 17: Supervisor exception rate</w:t>
      </w:r>
    </w:p>
    <w:p>
      <w:r>
        <w:rPr>
          <w:b/>
          <w:color w:val="ED7D31"/>
        </w:rPr>
        <w:t>Difficulty: Advanced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Compliance sampled 240 reports and found 9 documentation exceptions. Compute exception rate.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9/240=3.75%.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Supervisors use monitoring metrics, but a low rate does not excuse unresolved violations.</w:t>
            </w:r>
          </w:p>
        </w:tc>
      </w:tr>
    </w:tbl>
    <w:p>
      <w:pPr>
        <w:pStyle w:val="Heading2"/>
      </w:pPr>
      <w:r>
        <w:t>Example 18: MNPI trading gain proxy</w:t>
      </w:r>
    </w:p>
    <w:p>
      <w:r>
        <w:rPr>
          <w:b/>
          <w:color w:val="ED7D31"/>
        </w:rPr>
        <w:t>Difficulty: Advanced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Trader buys 3,000 shares at ₹80 before unreleased news; after release price is ₹92. Compute price gain.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3,000×₹12=₹36,000.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The number illustrates economic benefit; it does not determine whether information is material/nonpublic by itself.</w:t>
            </w:r>
          </w:p>
        </w:tc>
      </w:tr>
    </w:tbl>
    <w:p>
      <w:pPr>
        <w:pStyle w:val="Heading2"/>
      </w:pPr>
      <w:r>
        <w:t>Example 19: Composite omission effect</w:t>
      </w:r>
    </w:p>
    <w:p>
      <w:r>
        <w:rPr>
          <w:b/>
          <w:color w:val="ED7D31"/>
        </w:rPr>
        <w:t>Difficulty: Advanced+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 composite correctly includes 18 accounts but excludes 2 losing accounts returning -8% and -12%. Included-account mean is 7%. Compute equal-weight mean if all 20 included.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(18×7%-8%-12%)/20 = 5.3%.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Omitting poor accounts can materially distort performance presentation.</w:t>
            </w:r>
          </w:p>
        </w:tc>
      </w:tr>
    </w:tbl>
    <w:p>
      <w:pPr>
        <w:pStyle w:val="Heading2"/>
      </w:pPr>
      <w:r>
        <w:t>Example 20: Integrated conflict-cost case</w:t>
      </w:r>
    </w:p>
    <w:p>
      <w:r>
        <w:rPr>
          <w:b/>
          <w:color w:val="ED7D31"/>
        </w:rPr>
        <w:t>Difficulty: Advanced+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</w:t>
            </w:r>
          </w:p>
        </w:tc>
      </w:tr>
      <w:tr>
        <w:tc>
          <w:tcPr>
            <w:tcW w:type="dxa" w:w="10368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 manager routes 40,000 shares to Broker A at ₹25.06 + ₹0.02 fee instead of Broker B at ₹25.02 + ₹0.03 fee because A provides an undisclosed benefit. Compute excess all-in cost.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Calculation 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Working / result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A=₹25.08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B=₹25.05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3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difference ₹0.03×40,000=₹1,200.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Standards interpretation</w:t>
            </w:r>
          </w:p>
          <w:p>
            <w:pPr>
              <w:spacing w:after="40"/>
            </w:pPr>
            <w:r>
              <w:rPr>
                <w:sz w:val="18"/>
              </w:rPr>
              <w:t>Quantify client impact, then analyze independence, loyalty, best execution, disclosure and firm policy.</w:t>
            </w:r>
          </w:p>
        </w:tc>
      </w:tr>
    </w:tbl>
    <w:p>
      <w:r>
        <w:br w:type="page"/>
      </w:r>
    </w:p>
    <w:p>
      <w:pPr>
        <w:pStyle w:val="Heading1"/>
      </w:pPr>
      <w:r>
        <w:t>4. Historical CFA-Style Topic Reconstructions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3E8"/>
          </w:tcPr>
          <w:p>
            <w:r>
              <w:rPr>
                <w:b/>
                <w:color w:val="ED7D31"/>
                <w:sz w:val="20"/>
              </w:rPr>
              <w:t>COPYRIGHT-SAFE FORMAT</w:t>
            </w:r>
          </w:p>
          <w:p>
            <w:pPr>
              <w:spacing w:after="40"/>
            </w:pPr>
            <w:r>
              <w:rPr>
                <w:sz w:val="18"/>
              </w:rPr>
              <w:t>These are original questions reconstructed from recurring ethics themes. They are not past CFA exam questions and do not reproduce proprietary wording.</w:t>
            </w:r>
          </w:p>
        </w:tc>
      </w:tr>
    </w:tbl>
    <w:p>
      <w:pPr>
        <w:pStyle w:val="Heading2"/>
      </w:pPr>
      <w:r>
        <w:t>H1</w:t>
      </w:r>
    </w:p>
    <w:p>
      <w:r>
        <w:t>An analyst receives an issuer-paid luxury trip before publishing a report. Which concern is most directly implicated?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1"/>
          </w:tcPr>
          <w:p>
            <w:r>
              <w:rPr>
                <w:b/>
                <w:color w:val="548235"/>
                <w:sz w:val="20"/>
              </w:rPr>
              <w:t>Answer &amp; rationale</w:t>
            </w:r>
          </w:p>
          <w:p>
            <w:pPr>
              <w:spacing w:after="40"/>
            </w:pPr>
            <w:r>
              <w:rPr>
                <w:sz w:val="18"/>
              </w:rPr>
              <w:t>I(B) Independence and Objectivity. The analyst should evaluate whether the benefit could compromise or appear to compromise objective judgment.</w:t>
            </w:r>
          </w:p>
        </w:tc>
      </w:tr>
    </w:tbl>
    <w:p>
      <w:pPr>
        <w:pStyle w:val="Heading2"/>
      </w:pPr>
      <w:r>
        <w:t>H2</w:t>
      </w:r>
    </w:p>
    <w:p>
      <w:r>
        <w:t>A candidate learns from a supplier that a listed company lost a major contract; the information is both material and not public. What is the best action?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1"/>
          </w:tcPr>
          <w:p>
            <w:r>
              <w:rPr>
                <w:b/>
                <w:color w:val="548235"/>
                <w:sz w:val="20"/>
              </w:rPr>
              <w:t>Answer &amp; rationale</w:t>
            </w:r>
          </w:p>
          <w:p>
            <w:pPr>
              <w:spacing w:after="40"/>
            </w:pPr>
            <w:r>
              <w:rPr>
                <w:sz w:val="18"/>
              </w:rPr>
              <w:t>Do not trade or cause others to trade; escalate according to firm procedures under II(A).</w:t>
            </w:r>
          </w:p>
        </w:tc>
      </w:tr>
    </w:tbl>
    <w:p>
      <w:pPr>
        <w:pStyle w:val="Heading2"/>
      </w:pPr>
      <w:r>
        <w:t>H3</w:t>
      </w:r>
    </w:p>
    <w:p>
      <w:r>
        <w:t>A portfolio manager gives a favored institutional client a new recommendation two hours before retail clients receive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1"/>
          </w:tcPr>
          <w:p>
            <w:r>
              <w:rPr>
                <w:b/>
                <w:color w:val="548235"/>
                <w:sz w:val="20"/>
              </w:rPr>
              <w:t>Answer &amp; rationale</w:t>
            </w:r>
          </w:p>
          <w:p>
            <w:pPr>
              <w:spacing w:after="40"/>
            </w:pPr>
            <w:r>
              <w:rPr>
                <w:sz w:val="18"/>
              </w:rPr>
              <w:t>III(B) Fair Dealing is the key concern; dissemination procedures should provide fair opportunity.</w:t>
            </w:r>
          </w:p>
        </w:tc>
      </w:tr>
    </w:tbl>
    <w:p>
      <w:pPr>
        <w:pStyle w:val="Heading2"/>
      </w:pPr>
      <w:r>
        <w:t>H4</w:t>
      </w:r>
    </w:p>
    <w:p>
      <w:r>
        <w:t>A client wants a speculative security that violates the client’s written IPS. The adviser has discretionary authority.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1"/>
          </w:tcPr>
          <w:p>
            <w:r>
              <w:rPr>
                <w:b/>
                <w:color w:val="548235"/>
                <w:sz w:val="20"/>
              </w:rPr>
              <w:t>Answer &amp; rationale</w:t>
            </w:r>
          </w:p>
          <w:p>
            <w:pPr>
              <w:spacing w:after="40"/>
            </w:pPr>
            <w:r>
              <w:rPr>
                <w:sz w:val="18"/>
              </w:rPr>
              <w:t>III(C) Suitability: do not execute merely because the idea could be profitable; act consistently with objectives/constraints or update IPS through proper process.</w:t>
            </w:r>
          </w:p>
        </w:tc>
      </w:tr>
    </w:tbl>
    <w:p>
      <w:pPr>
        <w:pStyle w:val="Heading2"/>
      </w:pPr>
      <w:r>
        <w:t>H5</w:t>
      </w:r>
    </w:p>
    <w:p>
      <w:r>
        <w:t>A departing employee downloads the employer’s client contact database to use after resignation.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1"/>
          </w:tcPr>
          <w:p>
            <w:r>
              <w:rPr>
                <w:b/>
                <w:color w:val="548235"/>
                <w:sz w:val="20"/>
              </w:rPr>
              <w:t>Answer &amp; rationale</w:t>
            </w:r>
          </w:p>
          <w:p>
            <w:pPr>
              <w:spacing w:after="40"/>
            </w:pPr>
            <w:r>
              <w:rPr>
                <w:sz w:val="18"/>
              </w:rPr>
              <w:t>IV(A) Loyalty and V(C) Record Retention concerns; employer records should not be misappropriated.</w:t>
            </w:r>
          </w:p>
        </w:tc>
      </w:tr>
    </w:tbl>
    <w:p>
      <w:pPr>
        <w:pStyle w:val="Heading2"/>
      </w:pPr>
      <w:r>
        <w:t>H6</w:t>
      </w:r>
    </w:p>
    <w:p>
      <w:r>
        <w:t>A research report relies on a third-party model but the analyst never evaluates assumptions or source quality.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1"/>
          </w:tcPr>
          <w:p>
            <w:r>
              <w:rPr>
                <w:b/>
                <w:color w:val="548235"/>
                <w:sz w:val="20"/>
              </w:rPr>
              <w:t>Answer &amp; rationale</w:t>
            </w:r>
          </w:p>
          <w:p>
            <w:pPr>
              <w:spacing w:after="40"/>
            </w:pPr>
            <w:r>
              <w:rPr>
                <w:sz w:val="18"/>
              </w:rPr>
              <w:t>V(A) Diligence and Reasonable Basis.</w:t>
            </w:r>
          </w:p>
        </w:tc>
      </w:tr>
    </w:tbl>
    <w:p>
      <w:pPr>
        <w:pStyle w:val="Heading2"/>
      </w:pPr>
      <w:r>
        <w:t>H7</w:t>
      </w:r>
    </w:p>
    <w:p>
      <w:r>
        <w:t>An adviser owns shares in a company strongly recommended to clients but the ownership is hidden in fine print.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1"/>
          </w:tcPr>
          <w:p>
            <w:r>
              <w:rPr>
                <w:b/>
                <w:color w:val="548235"/>
                <w:sz w:val="20"/>
              </w:rPr>
              <w:t>Answer &amp; rationale</w:t>
            </w:r>
          </w:p>
          <w:p>
            <w:pPr>
              <w:spacing w:after="40"/>
            </w:pPr>
            <w:r>
              <w:rPr>
                <w:sz w:val="18"/>
              </w:rPr>
              <w:t>VI(A) requires full, fair, prominent conflict disclosure.</w:t>
            </w:r>
          </w:p>
        </w:tc>
      </w:tr>
    </w:tbl>
    <w:p>
      <w:pPr>
        <w:pStyle w:val="Heading2"/>
      </w:pPr>
      <w:r>
        <w:t>H8</w:t>
      </w:r>
    </w:p>
    <w:p>
      <w:r>
        <w:t>A representative buys shares personally after deciding to recommend them but before client orders are placed.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1"/>
          </w:tcPr>
          <w:p>
            <w:r>
              <w:rPr>
                <w:b/>
                <w:color w:val="548235"/>
                <w:sz w:val="20"/>
              </w:rPr>
              <w:t>Answer &amp; rationale</w:t>
            </w:r>
          </w:p>
          <w:p>
            <w:pPr>
              <w:spacing w:after="40"/>
            </w:pPr>
            <w:r>
              <w:rPr>
                <w:sz w:val="18"/>
              </w:rPr>
              <w:t>VI(B) Priority of Transactions; client/employer transactions take priority.</w:t>
            </w:r>
          </w:p>
        </w:tc>
      </w:tr>
    </w:tbl>
    <w:p>
      <w:pPr>
        <w:pStyle w:val="Heading2"/>
      </w:pPr>
      <w:r>
        <w:t>H9</w:t>
      </w:r>
    </w:p>
    <w:p>
      <w:r>
        <w:t>A wealth manager receives a cash fee for every client sent to a tax specialist but does not tell clients.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1"/>
          </w:tcPr>
          <w:p>
            <w:r>
              <w:rPr>
                <w:b/>
                <w:color w:val="548235"/>
                <w:sz w:val="20"/>
              </w:rPr>
              <w:t>Answer &amp; rationale</w:t>
            </w:r>
          </w:p>
          <w:p>
            <w:pPr>
              <w:spacing w:after="40"/>
            </w:pPr>
            <w:r>
              <w:rPr>
                <w:sz w:val="18"/>
              </w:rPr>
              <w:t>VI(C) Referral Fees; disclose the arrangement and consideration.</w:t>
            </w:r>
          </w:p>
        </w:tc>
      </w:tr>
    </w:tbl>
    <w:p>
      <w:pPr>
        <w:pStyle w:val="Heading2"/>
      </w:pPr>
      <w:r>
        <w:t>H10</w:t>
      </w:r>
    </w:p>
    <w:p>
      <w:r>
        <w:t>A Level I candidate writes on social media that passing Level I proves superior stock-picking 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1"/>
          </w:tcPr>
          <w:p>
            <w:r>
              <w:rPr>
                <w:b/>
                <w:color w:val="548235"/>
                <w:sz w:val="20"/>
              </w:rPr>
              <w:t>Answer &amp; rationale</w:t>
            </w:r>
          </w:p>
          <w:p>
            <w:pPr>
              <w:spacing w:after="40"/>
            </w:pPr>
            <w:r>
              <w:rPr>
                <w:sz w:val="18"/>
              </w:rPr>
              <w:t>VII(B) Reference to CFA Institute, the CFA Designation, and the CFA Program; the claim exaggerates the implication of program participation.</w:t>
            </w:r>
          </w:p>
        </w:tc>
      </w:tr>
    </w:tbl>
    <w:p>
      <w:r>
        <w:br w:type="page"/>
      </w:r>
    </w:p>
    <w:p>
      <w:pPr>
        <w:pStyle w:val="Heading1"/>
      </w:pPr>
      <w:r>
        <w:t>5. IAS / IFRS / US GAAP Context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SCOPE NOTE</w:t>
            </w:r>
          </w:p>
          <w:p>
            <w:pPr>
              <w:spacing w:after="40"/>
            </w:pPr>
            <w:r>
              <w:rPr>
                <w:sz w:val="18"/>
              </w:rPr>
              <w:t>The CFA Standards govern professional conduct. IAS/IFRS and US GAAP govern financial reporting. The link below is contextual: ethical analysis may require accurate use of reported information, transparent performance communication, appropriate valuation inputs, and conflict disclosure. Accounting rules do not replace the CFA Standards.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Topic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Ethics linkage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Relevant CFA Standards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IFRS 7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Financial Instruments: Disclosures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Risk and financial-instrument disclosures can be inputs to diligent analysis and clear communication.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V(A), V(B), I(C)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IFRS 9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Financial Instruments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Classification, measurement, impairment, and hedge accounting affect reported numbers analysts may rely upon.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V(A), V(B)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IFRS 13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Fair Value Measurement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Valuation hierarchy and assumptions illustrate why model limitations and inputs matter.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V(A), V(B), I(C)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IAS 1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Presentation of Financial Statements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Fair presentation and material information reinforce the need to distinguish facts, assumptions, and omissions in analysis.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I(C), V(B)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IAS 24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Related Party Disclosures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Related-party information can be relevant to conflicts, governance, and diligence.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VI(A), V(A)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IAS 33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Earnings per Share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Analysts should calculate/communicate per-share measures accurately and consistently.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I(C), V(B)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US GAAP ASC 820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Fair Value Measurement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Comparable valuation context to IFRS 13 for diligence and communication.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V(A), V(B)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US GAAP ASC 825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Financial Instruments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Disclosure/measurement context for financial instruments.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V(A), V(B)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US GAAP ASC 850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Related Party Disclosures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Conflict/governance information may be relevant to investment analysis.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VI(A), V(A)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US GAAP ASC 260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Earnings Per Share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Accurate use and presentation of EPS-related facts in recommendations.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I(C), V(B)</w:t>
            </w:r>
          </w:p>
        </w:tc>
      </w:tr>
    </w:tbl>
    <w:p>
      <w:r>
        <w:br w:type="page"/>
      </w:r>
    </w:p>
    <w:p>
      <w:pPr>
        <w:pStyle w:val="Heading1"/>
      </w:pPr>
      <w:r>
        <w:t>6. Practice Bank Blueprint: 100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 family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guidance area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Difficulty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C001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Client confidentiality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III(C) Suitability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C002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MNPI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III(B) Fair Dealing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C003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Market integrity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I(D) Misconduct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C004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Personal trading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VI(A) Disclosure of Conflicts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C005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MNPI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II(A) Material Nonpublic Information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C006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Supervision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VII(B) Reference to CFA Institute, the CFA Designation, and the CFA Program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C007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Disclosure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III(C) Suitability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C008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Market integrity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V(B) Communication with Clients and Prospective Clients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C009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Client confidentiality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III(A) Loyalty, Prudence, and Care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C010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Market integrity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IV(B) Additional Compensation Arrangements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C011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Performance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III(E) Preservation of Confidentiality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C012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Trade allocation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VI(A) Disclosure of Conflicts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C013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Referral fee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V(B) Communication with Clients and Prospective Clients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C014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MNPI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III(A) Loyalty, Prudence, and Care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C015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Trade allocation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III(A) Loyalty, Prudence, and Care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C016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Referral fee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V(A) Diligence and Reasonable Basis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C017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Misrepresentation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VI(A) Disclosure of Conflicts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C018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Trade allocation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III(A) Loyalty, Prudence, and Care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C019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Performance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I(C) Misrepresentation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C020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CFA Program conduct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V(A) Diligence and Reasonable Basis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C021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Client confidentiality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VI(A) Disclosure of Conflicts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C022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Suitability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V(A) Diligence and Reasonable Basis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C023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Client confidentiality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VI(A) Disclosure of Conflicts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C024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Performance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V(C) Record Retention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C025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Market integrity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IV(B) Additional Compensation Arrangements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 family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guidance area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Difficulty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C026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CFA Program conduct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V(C) Record Retention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C027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MNPI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VI(B) Priority of Transactions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C028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Employer duty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II(A) Material Nonpublic Information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C029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I(B) Independence and Objectivity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C030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Personal trading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VII(A) Conduct as Participants in CFA Institute Programs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C031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Misrepresentation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IV(A) Loyalty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C032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Trade allocation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III(C) Suitability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C033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CFA Program conduct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V(B) Communication with Clients and Prospective Clients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C034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Supervision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V(B) Communication with Clients and Prospective Clients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C035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Supervision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I(D) Misconduct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C036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Suitability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V(C) Record Retention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C037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V(B) Communication with Clients and Prospective Clients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C038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Market integrity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IV(C) Responsibilities of Supervisors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C039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I(B) Independence and Objectivity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C040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Research diligence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I(A) Knowledge of the Law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C041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III(B) Fair Dealing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C042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Supervision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V(A) Diligence and Reasonable Basis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C043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Market integrity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IV(B) Additional Compensation Arrangements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C044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Trade allocation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II(A) Material Nonpublic Information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C045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Suitability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III(A) Loyalty, Prudence, and Care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C046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Research diligence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II(B) Market Manipulation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C047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I(B) Independence and Objectivity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C048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Supervision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V(C) Record Retention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C049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CFA Program conduct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VI(C) Referral Fees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C050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Personal trading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V(C) Record Retention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 family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guidance area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Difficulty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C051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CFA Program conduct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I(D) Misconduct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C052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CFA Program conduct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IV(C) Responsibilities of Supervisors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C053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Referral fee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III(C) Suitability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C054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Personal trading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III(A) Loyalty, Prudence, and Care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C055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CFA Program conduct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V(B) Communication with Clients and Prospective Clients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C056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I(A) Knowledge of the Law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C057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Research diligence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I(A) Knowledge of the Law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C058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Supervision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I(D) Misconduct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C059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MNPI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VII(B) Reference to CFA Institute, the CFA Designation, and the CFA Program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C060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Client confidentiality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IV(C) Responsibilities of Supervisors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C061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Trade allocation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VII(B) Reference to CFA Institute, the CFA Designation, and the CFA Program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C062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Suitability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V(A) Diligence and Reasonable Basis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C063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Referral fee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IV(B) Additional Compensation Arrangements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C064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Market integrity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VII(A) Conduct as Participants in CFA Institute Programs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C065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Market integrity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III(C) Suitability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C066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Market integrity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I(C) Misrepresentation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C067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Performance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III(E) Preservation of Confidentiality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C068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Client confidentiality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III(C) Suitability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C069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Client confidentiality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VII(B) Reference to CFA Institute, the CFA Designation, and the CFA Program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C070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Misrepresentation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VII(A) Conduct as Participants in CFA Institute Programs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C071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Employer duty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V(C) Record Retention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C072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Employer duty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III(C) Suitability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C073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Misrepresentation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VI(A) Disclosure of Conflicts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C074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Supervision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III(D) Performance Presentation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C075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Suitability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VII(B) Reference to CFA Institute, the CFA Designation, and the CFA Program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Case ID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Scenario family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guidance area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Difficulty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C076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Research diligence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II(A) Material Nonpublic Information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C077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Client confidentiality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I(B) Independence and Objectivity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C078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Market integrity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VI(B) Priority of Transactions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C079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Referral fee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VI(C) Referral Fees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C080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CFA Program conduct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I(B) Independence and Objectivity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C081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VI(B) Priority of Transactions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C082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Supervision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II(A) Material Nonpublic Information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C083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Client confidentiality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II(B) Market Manipulation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C084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Performance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I(B) Independence and Objectivity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C085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Referral fee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VI(C) Referral Fees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C086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Employer duty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I(C) Misrepresentation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C087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Suitability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I(C) Misrepresentation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C088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Personal trading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VII(A) Conduct as Participants in CFA Institute Programs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C089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Misrepresentation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I(A) Knowledge of the Law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C090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Personal trading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II(A) Material Nonpublic Information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C091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Employer duty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VI(A) Disclosure of Conflicts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C092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Employer duty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I(A) Knowledge of the Law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C093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IV(B) Additional Compensation Arrangements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C094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Disclosure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VII(A) Conduct as Participants in CFA Institute Programs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C095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Market integrity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VI(C) Referral Fees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C096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Supervision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II(B) Market Manipulation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C097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Supervision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I(C) Misrepresentation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C098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Disclosure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VI(A) Disclosure of Conflicts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C099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Employer duty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V(C) Record Retention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C100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Trade allocation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II(B) Market Manipulation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</w:tbl>
    <w:p>
      <w:r>
        <w:br w:type="page"/>
      </w:r>
    </w:p>
    <w:p>
      <w:pPr>
        <w:pStyle w:val="Heading1"/>
      </w:pPr>
      <w:r>
        <w:t>7. Practice 10/100 — Random Selection with Full Solutions</w:t>
      </w:r>
    </w:p>
    <w:p>
      <w:pPr>
        <w:pStyle w:val="Heading2"/>
      </w:pPr>
      <w:r>
        <w:t>C007</w:t>
      </w:r>
    </w:p>
    <w:p>
      <w:r>
        <w:t>A manager receives 12,000 shares against eligible client demand of 20,000 shares: A 8k, B 7k, C 5k. Allocate pro rata.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Identify quantities and required output.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A=4,800; B=4,200; C=3,000.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3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III(B) Fair Dealing. Use a pre-established equitable allocation method and document it.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Exam takeaway</w:t>
            </w:r>
          </w:p>
          <w:p>
            <w:pPr>
              <w:spacing w:after="40"/>
            </w:pPr>
            <w:r>
              <w:rPr>
                <w:sz w:val="18"/>
              </w:rPr>
              <w:t>Compute carefully, then separately identify the duty, disclosure/consent requirements, priority rule, and compliant action.</w:t>
            </w:r>
          </w:p>
        </w:tc>
      </w:tr>
    </w:tbl>
    <w:p>
      <w:pPr>
        <w:pStyle w:val="Heading2"/>
      </w:pPr>
      <w:r>
        <w:t>C014</w:t>
      </w:r>
    </w:p>
    <w:p>
      <w:r>
        <w:t>A referral partner is paid ₹45,000 on ₹1,500,000 of referred advisory revenue. Compute fee rate and state required ethical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Identify quantities and required output.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45,000/1,500,000=3.0%.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3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VI(C): disclose the referral arrangement and consideration to relevant parties.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Exam takeaway</w:t>
            </w:r>
          </w:p>
          <w:p>
            <w:pPr>
              <w:spacing w:after="40"/>
            </w:pPr>
            <w:r>
              <w:rPr>
                <w:sz w:val="18"/>
              </w:rPr>
              <w:t>Compute carefully, then separately identify the duty, disclosure/consent requirements, priority rule, and compliant action.</w:t>
            </w:r>
          </w:p>
        </w:tc>
      </w:tr>
    </w:tbl>
    <w:p>
      <w:pPr>
        <w:pStyle w:val="Heading2"/>
      </w:pPr>
      <w:r>
        <w:t>C023</w:t>
      </w:r>
    </w:p>
    <w:p>
      <w:r>
        <w:t>An account is reported as earning 14% gross. Management fee is 1.5% and transaction costs are 0.4%. Approximate net return.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Identify quantities and required output.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14%-1.5%-0.4%=12.1%.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3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III(D)/V(B): clearly describe methodology, fee basis, and material limitations.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Exam takeaway</w:t>
            </w:r>
          </w:p>
          <w:p>
            <w:pPr>
              <w:spacing w:after="40"/>
            </w:pPr>
            <w:r>
              <w:rPr>
                <w:sz w:val="18"/>
              </w:rPr>
              <w:t>Compute carefully, then separately identify the duty, disclosure/consent requirements, priority rule, and compliant action.</w:t>
            </w:r>
          </w:p>
        </w:tc>
      </w:tr>
    </w:tbl>
    <w:p>
      <w:pPr>
        <w:pStyle w:val="Heading2"/>
      </w:pPr>
      <w:r>
        <w:t>C031</w:t>
      </w:r>
    </w:p>
    <w:p>
      <w:r>
        <w:t>A personal trade of 2,000 shares precedes a client trade; price increases from ₹50 to ₹51.20. Quantify overlapping price impact.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Identify quantities and required output.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2,000×₹1.20=₹2,400.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3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VI(B): clients/employer must have priority; quantify impact but analyze the conduct independently of amount.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Exam takeaway</w:t>
            </w:r>
          </w:p>
          <w:p>
            <w:pPr>
              <w:spacing w:after="40"/>
            </w:pPr>
            <w:r>
              <w:rPr>
                <w:sz w:val="18"/>
              </w:rPr>
              <w:t>Compute carefully, then separately identify the duty, disclosure/consent requirements, priority rule, and compliant action.</w:t>
            </w:r>
          </w:p>
        </w:tc>
      </w:tr>
    </w:tbl>
    <w:p>
      <w:r>
        <w:br w:type="page"/>
      </w:r>
    </w:p>
    <w:p>
      <w:pPr>
        <w:pStyle w:val="Heading2"/>
      </w:pPr>
      <w:r>
        <w:t>C046</w:t>
      </w:r>
    </w:p>
    <w:p>
      <w:r>
        <w:t>A report says 27 of 30 recommendations outperformed and calls this “95%.” Compute correct 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Identify quantities and required output.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27/30=90%; overstatement is 5 percentage points.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3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I(C): do not misrepresent track record.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Exam takeaway</w:t>
            </w:r>
          </w:p>
          <w:p>
            <w:pPr>
              <w:spacing w:after="40"/>
            </w:pPr>
            <w:r>
              <w:rPr>
                <w:sz w:val="18"/>
              </w:rPr>
              <w:t>Compute carefully, then separately identify the duty, disclosure/consent requirements, priority rule, and compliant action.</w:t>
            </w:r>
          </w:p>
        </w:tc>
      </w:tr>
    </w:tbl>
    <w:p>
      <w:pPr>
        <w:pStyle w:val="Heading2"/>
      </w:pPr>
      <w:r>
        <w:t>C058</w:t>
      </w:r>
    </w:p>
    <w:p>
      <w:r>
        <w:t>Client portfolio is ₹6m; proposed illiquid position is ₹1.8m. Find concentration.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Identify quantities and required output.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1.8/6.0=30%.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3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III(C): assess suitability in total portfolio, liquidity needs, risk tolerance, and constraints.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Exam takeaway</w:t>
            </w:r>
          </w:p>
          <w:p>
            <w:pPr>
              <w:spacing w:after="40"/>
            </w:pPr>
            <w:r>
              <w:rPr>
                <w:sz w:val="18"/>
              </w:rPr>
              <w:t>Compute carefully, then separately identify the duty, disclosure/consent requirements, priority rule, and compliant action.</w:t>
            </w:r>
          </w:p>
        </w:tc>
      </w:tr>
    </w:tbl>
    <w:p>
      <w:pPr>
        <w:pStyle w:val="Heading2"/>
      </w:pPr>
      <w:r>
        <w:t>C064</w:t>
      </w:r>
    </w:p>
    <w:p>
      <w:r>
        <w:t>Research service costs ₹240k; 35% supports client brokerage research and 65% supports general firm operations. Quantify each.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Identify quantities and required output.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Client-related ₹84k; firm-related ₹156k.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3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III(A): client brokerage benefits should serve clients; mixed-use items require careful allocation and policy compliance.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Exam takeaway</w:t>
            </w:r>
          </w:p>
          <w:p>
            <w:pPr>
              <w:spacing w:after="40"/>
            </w:pPr>
            <w:r>
              <w:rPr>
                <w:sz w:val="18"/>
              </w:rPr>
              <w:t>Compute carefully, then separately identify the duty, disclosure/consent requirements, priority rule, and compliant action.</w:t>
            </w:r>
          </w:p>
        </w:tc>
      </w:tr>
    </w:tbl>
    <w:p>
      <w:r>
        <w:br w:type="page"/>
      </w:r>
    </w:p>
    <w:p>
      <w:pPr>
        <w:pStyle w:val="Heading2"/>
      </w:pPr>
      <w:r>
        <w:t>C072</w:t>
      </w:r>
    </w:p>
    <w:p>
      <w:r>
        <w:t>A composite mean is 8% for 9 accounts; a tenth excluded account returned -10%. Equal-weight mean if included?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Identify quantities and required output.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(9×8%-10%)/10 = 6.2%.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3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III(D): exclusion of poor performers may make presentation unfair/incomplete.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Exam takeaway</w:t>
            </w:r>
          </w:p>
          <w:p>
            <w:pPr>
              <w:spacing w:after="40"/>
            </w:pPr>
            <w:r>
              <w:rPr>
                <w:sz w:val="18"/>
              </w:rPr>
              <w:t>Compute carefully, then separately identify the duty, disclosure/consent requirements, priority rule, and compliant action.</w:t>
            </w:r>
          </w:p>
        </w:tc>
      </w:tr>
    </w:tbl>
    <w:p>
      <w:pPr>
        <w:pStyle w:val="Heading2"/>
      </w:pPr>
      <w:r>
        <w:t>C089</w:t>
      </w:r>
    </w:p>
    <w:p>
      <w:r>
        <w:t>A supervisor reviews 160 employee trades and finds 8 preclearance failures. Compute rate.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Identify quantities and required output.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8/160=5%.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3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IV(C): a supervisor must reasonably prevent/detect violations and respond to deficiencies.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Exam takeaway</w:t>
            </w:r>
          </w:p>
          <w:p>
            <w:pPr>
              <w:spacing w:after="40"/>
            </w:pPr>
            <w:r>
              <w:rPr>
                <w:sz w:val="18"/>
              </w:rPr>
              <w:t>Compute carefully, then separately identify the duty, disclosure/consent requirements, priority rule, and compliant action.</w:t>
            </w:r>
          </w:p>
        </w:tc>
      </w:tr>
    </w:tbl>
    <w:p>
      <w:r>
        <w:br w:type="page"/>
      </w:r>
    </w:p>
    <w:p>
      <w:pPr>
        <w:pStyle w:val="Heading2"/>
      </w:pPr>
      <w:r>
        <w:t>C097</w:t>
      </w:r>
    </w:p>
    <w:p>
      <w:r>
        <w:t>An analyst receives 4 nonmaterial data points and 6 public data points supporting a thesis. Does the count determine legality?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1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Identify quantities and required output.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Step 2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No. Arithmetic is not dispositive.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Step 3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II(A): mosaic theory depends on whether any information is material and nonpublic, not on number of data points.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Exam takeaway</w:t>
            </w:r>
          </w:p>
          <w:p>
            <w:pPr>
              <w:spacing w:after="40"/>
            </w:pPr>
            <w:r>
              <w:rPr>
                <w:sz w:val="18"/>
              </w:rPr>
              <w:t>Compute carefully, then separately identify the duty, disclosure/consent requirements, priority rule, and compliant action.</w:t>
            </w:r>
          </w:p>
        </w:tc>
      </w:tr>
    </w:tbl>
    <w:p>
      <w:r>
        <w:br w:type="page"/>
      </w:r>
    </w:p>
    <w:p>
      <w:pPr>
        <w:pStyle w:val="Heading1"/>
      </w:pPr>
      <w:r>
        <w:t>8. Assessment Bank Blueprint: 100 MCQs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Question ID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Standard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Difficulty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Q001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recommended procedure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Q002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Q003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least likely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Q004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recommended procedure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Q005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Q006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priority/suitability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Q007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Q008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priority/suitability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Q009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Q010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priority/suitability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Q011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priority/suitability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Q012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priority/suitability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Q013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Q014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Q015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least likely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Q016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recommended procedure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Q017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priority/suitability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Q018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least likely violation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Q019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least likely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Q020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recommended procedure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Q021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Q022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identify violation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Q023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recommended procedure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Q024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Q025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Question ID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Standard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Difficulty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Q026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Q027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Q028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Q029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Q030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recommended procedure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Q031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Q032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Q033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Q034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Q035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Q036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identify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Q037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Q038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priority/suitability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Q039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Q040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least likely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Q041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Q042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recommended procedure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Q043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Q044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least likely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Q045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least likely violation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Q046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least likely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Q047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identify violation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Q048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identify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Q049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Q050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priority/suitability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Question ID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Standard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Difficulty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Q051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identify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Q052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Q053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identify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Q054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priority/suitability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Q055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Q056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Q057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recommended procedure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Q058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Q059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Q060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priority/suitability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Q061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Q062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recommended procedure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Q063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Q064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least likely violation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Q065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priority/suitability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Q066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identify violation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Q067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least likely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Q068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priority/suitability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Q069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recommended procedure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Q070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Q071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Q072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Q073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least likely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Q074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priority/suitability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Q075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least likely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Question ID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Standard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592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Difficulty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Q076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priority/suitability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Q077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Q078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least likely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Q079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identify violation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Q080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Q081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Q082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Q083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priority/suitability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Q084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Q085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Q086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recommended procedure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Q087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recommended procedure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Q088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least likely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Q089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Q090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required disclosure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Q091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recommended procedure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Q092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Q093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recommended procedure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Q094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Q095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III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Q096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identify violation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Q097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Advanced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Q098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supervisory control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Q099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Standard I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recommended procedure</w:t>
            </w:r>
          </w:p>
        </w:tc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4"/>
              </w:rPr>
              <w:t>Moderate</w:t>
            </w:r>
          </w:p>
        </w:tc>
      </w:tr>
      <w:tr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Q100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Standard IV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communication</w:t>
            </w:r>
          </w:p>
        </w:tc>
        <w:tc>
          <w:tcPr>
            <w:tcW w:type="dxa" w:w="2592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4"/>
              </w:rPr>
              <w:t>Basic</w:t>
            </w:r>
          </w:p>
        </w:tc>
      </w:tr>
    </w:tbl>
    <w:p>
      <w:r>
        <w:br w:type="page"/>
      </w:r>
    </w:p>
    <w:p>
      <w:pPr>
        <w:pStyle w:val="Heading1"/>
      </w:pPr>
      <w:r>
        <w:t>9. Assessment 20/100 — Randomized MCQs</w:t>
      </w:r>
    </w:p>
    <w:p>
      <w:pPr>
        <w:pStyle w:val="Heading2"/>
      </w:pPr>
      <w:r>
        <w:t>Q004</w:t>
      </w:r>
    </w:p>
    <w:p>
      <w:r>
        <w:t>An analyst is pressured by an issuer to change a recommendation after receiving valuable hospitality. The MOST relevant Standard is:</w:t>
      </w:r>
    </w:p>
    <w:p>
      <w:r>
        <w:t>A. I(B) Independence and Objectivity</w:t>
      </w:r>
    </w:p>
    <w:p>
      <w:r>
        <w:t>B. III(C) Suitability</w:t>
      </w:r>
    </w:p>
    <w:p>
      <w:r>
        <w:t>C. VI(C) Referral Fees</w:t>
      </w:r>
    </w:p>
    <w:p>
      <w:pPr>
        <w:pStyle w:val="Heading2"/>
      </w:pPr>
      <w:r>
        <w:t>Q009</w:t>
      </w:r>
    </w:p>
    <w:p>
      <w:r>
        <w:t>A member knows local law is less strict than the CFA Standards. Which should the member follow?</w:t>
      </w:r>
    </w:p>
    <w:p>
      <w:r>
        <w:t>A. Local law only</w:t>
      </w:r>
    </w:p>
    <w:p>
      <w:r>
        <w:t>B. The stricter requirement</w:t>
      </w:r>
    </w:p>
    <w:p>
      <w:r>
        <w:t>C. Employer policy only</w:t>
      </w:r>
    </w:p>
    <w:p>
      <w:pPr>
        <w:pStyle w:val="Heading2"/>
      </w:pPr>
      <w:r>
        <w:t>Q013</w:t>
      </w:r>
    </w:p>
    <w:p>
      <w:r>
        <w:t>A manager gives one large client a recommendation before all other clients without a justified service-level arrangement. This MOST likely concerns:</w:t>
      </w:r>
    </w:p>
    <w:p>
      <w:r>
        <w:t>A. III(B) Fair Dealing</w:t>
      </w:r>
    </w:p>
    <w:p>
      <w:r>
        <w:t>B. V(C) Record Retention</w:t>
      </w:r>
    </w:p>
    <w:p>
      <w:r>
        <w:t>C. VII(B) CFA references</w:t>
      </w:r>
    </w:p>
    <w:p>
      <w:pPr>
        <w:pStyle w:val="Heading2"/>
      </w:pPr>
      <w:r>
        <w:t>Q018</w:t>
      </w:r>
    </w:p>
    <w:p>
      <w:r>
        <w:t>Which action is MOST appropriate after receiving material nonpublic information?</w:t>
      </w:r>
    </w:p>
    <w:p>
      <w:r>
        <w:t>A. Trade if the source is reliable</w:t>
      </w:r>
    </w:p>
    <w:p>
      <w:r>
        <w:t>B. Avoid trading/tipping and escalate under firm procedures</w:t>
      </w:r>
    </w:p>
    <w:p>
      <w:r>
        <w:t>C. Trade only in client accounts</w:t>
      </w:r>
    </w:p>
    <w:p>
      <w:pPr>
        <w:pStyle w:val="Heading2"/>
      </w:pPr>
      <w:r>
        <w:t>Q024</w:t>
      </w:r>
    </w:p>
    <w:p>
      <w:r>
        <w:t>A portfolio manager evaluates a risky security only by its standalone volatility for a diversified client. This is MOST likely deficient under:</w:t>
      </w:r>
    </w:p>
    <w:p>
      <w:r>
        <w:t>A. III(C) Suitability</w:t>
      </w:r>
    </w:p>
    <w:p>
      <w:r>
        <w:t>B. VI(C) Referral Fees</w:t>
      </w:r>
    </w:p>
    <w:p>
      <w:r>
        <w:t>C. IV(B) Additional Compensation</w:t>
      </w:r>
    </w:p>
    <w:p>
      <w:pPr>
        <w:pStyle w:val="Heading2"/>
      </w:pPr>
      <w:r>
        <w:t>Q029</w:t>
      </w:r>
    </w:p>
    <w:p>
      <w:r>
        <w:t>A departing employee takes employer-created research files to use at a new firm without permission. MOST relevant:</w:t>
      </w:r>
    </w:p>
    <w:p>
      <w:r>
        <w:t>A. IV(A) Loyalty / V(C) Record Retention</w:t>
      </w:r>
    </w:p>
    <w:p>
      <w:r>
        <w:t>B. II(B) Market Manipulation</w:t>
      </w:r>
    </w:p>
    <w:p>
      <w:r>
        <w:t>C. VII(A) Program Conduct</w:t>
      </w:r>
    </w:p>
    <w:p>
      <w:pPr>
        <w:pStyle w:val="Heading2"/>
      </w:pPr>
      <w:r>
        <w:t>Q034</w:t>
      </w:r>
    </w:p>
    <w:p>
      <w:r>
        <w:t>A member accepts outside compensation that could conflict with employer interests. What is required?</w:t>
      </w:r>
    </w:p>
    <w:p>
      <w:r>
        <w:t>A. Oral notice after payment</w:t>
      </w:r>
    </w:p>
    <w:p>
      <w:r>
        <w:t>B. Written consent from all parties involved</w:t>
      </w:r>
    </w:p>
    <w:p>
      <w:r>
        <w:t>C. No action if client benefits</w:t>
      </w:r>
    </w:p>
    <w:p>
      <w:pPr>
        <w:pStyle w:val="Heading2"/>
      </w:pPr>
      <w:r>
        <w:t>Q038</w:t>
      </w:r>
    </w:p>
    <w:p>
      <w:r>
        <w:t>A supervisor discovers the firm has no adequate system to prevent repeated violations. MOST appropriate first principle?</w:t>
      </w:r>
    </w:p>
    <w:p>
      <w:r>
        <w:t>A. Accept the weakness if violations are rare</w:t>
      </w:r>
    </w:p>
    <w:p>
      <w:r>
        <w:t>B. Make reasonable efforts to establish/enforce adequate procedures</w:t>
      </w:r>
    </w:p>
    <w:p>
      <w:r>
        <w:t>C. Delegate all responsibility</w:t>
      </w:r>
    </w:p>
    <w:p>
      <w:pPr>
        <w:pStyle w:val="Heading2"/>
      </w:pPr>
      <w:r>
        <w:t>Q043</w:t>
      </w:r>
    </w:p>
    <w:p>
      <w:r>
        <w:t>An analyst relies on third-party research. What is MOST important?</w:t>
      </w:r>
    </w:p>
    <w:p>
      <w:r>
        <w:t>A. Third-party brand recognition alone</w:t>
      </w:r>
    </w:p>
    <w:p>
      <w:r>
        <w:t>B. Assess quality, assumptions, process, and reasonable basis</w:t>
      </w:r>
    </w:p>
    <w:p>
      <w:r>
        <w:t>C. Ignore source documentation</w:t>
      </w:r>
    </w:p>
    <w:p>
      <w:pPr>
        <w:pStyle w:val="Heading2"/>
      </w:pPr>
      <w:r>
        <w:t>Q047</w:t>
      </w:r>
    </w:p>
    <w:p>
      <w:r>
        <w:t>Which is MOST consistent with V(B)?</w:t>
      </w:r>
    </w:p>
    <w:p>
      <w:r>
        <w:t>A. Present opinions as facts</w:t>
      </w:r>
    </w:p>
    <w:p>
      <w:r>
        <w:t>B. Disclose key process principles, changes, risks, and distinguish fact from opinion</w:t>
      </w:r>
    </w:p>
    <w:p>
      <w:r>
        <w:t>C. Avoid discussing limitations</w:t>
      </w:r>
    </w:p>
    <w:p>
      <w:pPr>
        <w:pStyle w:val="Heading2"/>
      </w:pPr>
      <w:r>
        <w:t>Q052</w:t>
      </w:r>
    </w:p>
    <w:p>
      <w:r>
        <w:t>A member owns stock in a company she recommends. MOST appropriate?</w:t>
      </w:r>
    </w:p>
    <w:p>
      <w:r>
        <w:t>A. Hide holding unless asked</w:t>
      </w:r>
    </w:p>
    <w:p>
      <w:r>
        <w:t>B. Make full and fair prominent disclosure</w:t>
      </w:r>
    </w:p>
    <w:p>
      <w:r>
        <w:t>C. Sell immediately in every case</w:t>
      </w:r>
    </w:p>
    <w:p>
      <w:pPr>
        <w:pStyle w:val="Heading2"/>
      </w:pPr>
      <w:r>
        <w:t>Q056</w:t>
      </w:r>
    </w:p>
    <w:p>
      <w:r>
        <w:t>Personal trades should generally occur:</w:t>
      </w:r>
    </w:p>
    <w:p>
      <w:r>
        <w:t>A. Before client transactions</w:t>
      </w:r>
    </w:p>
    <w:p>
      <w:r>
        <w:t>B. After client and employer transactions have priority</w:t>
      </w:r>
    </w:p>
    <w:p>
      <w:r>
        <w:t>C. At the same time regardless of policy</w:t>
      </w:r>
    </w:p>
    <w:p>
      <w:pPr>
        <w:pStyle w:val="Heading2"/>
      </w:pPr>
      <w:r>
        <w:t>Q061</w:t>
      </w:r>
    </w:p>
    <w:p>
      <w:r>
        <w:t>Referral compensation is received from a service provider. The member should:</w:t>
      </w:r>
    </w:p>
    <w:p>
      <w:r>
        <w:t>A. Disclose the arrangement and consideration</w:t>
      </w:r>
    </w:p>
    <w:p>
      <w:r>
        <w:t>B. Disclose only if fee exceeds 5%</w:t>
      </w:r>
    </w:p>
    <w:p>
      <w:r>
        <w:t>C. Keep it confidential</w:t>
      </w:r>
    </w:p>
    <w:p>
      <w:pPr>
        <w:pStyle w:val="Heading2"/>
      </w:pPr>
      <w:r>
        <w:t>Q066</w:t>
      </w:r>
    </w:p>
    <w:p>
      <w:r>
        <w:t>A candidate posts remembered confidential exam questions online. MOST likely violation?</w:t>
      </w:r>
    </w:p>
    <w:p>
      <w:r>
        <w:t>A. VII(A)</w:t>
      </w:r>
    </w:p>
    <w:p>
      <w:r>
        <w:t>B. III(E)</w:t>
      </w:r>
    </w:p>
    <w:p>
      <w:r>
        <w:t>C. V(A)</w:t>
      </w:r>
    </w:p>
    <w:p>
      <w:pPr>
        <w:pStyle w:val="Heading2"/>
      </w:pPr>
      <w:r>
        <w:t>Q071</w:t>
      </w:r>
    </w:p>
    <w:p>
      <w:r>
        <w:t>A candidate writes “Passed Level I, therefore I am a CFA.” MOST likely issue?</w:t>
      </w:r>
    </w:p>
    <w:p>
      <w:r>
        <w:t>A. VII(B)</w:t>
      </w:r>
    </w:p>
    <w:p>
      <w:r>
        <w:t>B. II(B)</w:t>
      </w:r>
    </w:p>
    <w:p>
      <w:r>
        <w:t>C. IV(A)</w:t>
      </w:r>
    </w:p>
    <w:p>
      <w:pPr>
        <w:pStyle w:val="Heading2"/>
      </w:pPr>
      <w:r>
        <w:t>Q075</w:t>
      </w:r>
    </w:p>
    <w:p>
      <w:r>
        <w:t>A member selects only winning accounts for a performance presentation. MOST relevant:</w:t>
      </w:r>
    </w:p>
    <w:p>
      <w:r>
        <w:t>A. III(D)</w:t>
      </w:r>
    </w:p>
    <w:p>
      <w:r>
        <w:t>B. IV(B)</w:t>
      </w:r>
    </w:p>
    <w:p>
      <w:r>
        <w:t>C. VI(C)</w:t>
      </w:r>
    </w:p>
    <w:p>
      <w:pPr>
        <w:pStyle w:val="Heading2"/>
      </w:pPr>
      <w:r>
        <w:t>Q081</w:t>
      </w:r>
    </w:p>
    <w:p>
      <w:r>
        <w:t>Client information may be disclosed without client permission when:</w:t>
      </w:r>
    </w:p>
    <w:p>
      <w:r>
        <w:t>A. It is interesting to colleagues</w:t>
      </w:r>
    </w:p>
    <w:p>
      <w:r>
        <w:t>B. Disclosure is required by law or concerns illegal activity under applicable conditions</w:t>
      </w:r>
    </w:p>
    <w:p>
      <w:r>
        <w:t>C. A friend asks</w:t>
      </w:r>
    </w:p>
    <w:p>
      <w:pPr>
        <w:pStyle w:val="Heading2"/>
      </w:pPr>
      <w:r>
        <w:t>Q086</w:t>
      </w:r>
    </w:p>
    <w:p>
      <w:r>
        <w:t>Plagiarizing a third-party research paragraph without attribution MOST directly violates:</w:t>
      </w:r>
    </w:p>
    <w:p>
      <w:r>
        <w:t>A. I(C) Misrepresentation</w:t>
      </w:r>
    </w:p>
    <w:p>
      <w:r>
        <w:t>B. VI(B) Priority</w:t>
      </w:r>
    </w:p>
    <w:p>
      <w:r>
        <w:t>C. III(C) Suitability</w:t>
      </w:r>
    </w:p>
    <w:p>
      <w:pPr>
        <w:pStyle w:val="Heading2"/>
      </w:pPr>
      <w:r>
        <w:t>Q092</w:t>
      </w:r>
    </w:p>
    <w:p>
      <w:r>
        <w:t>Placing trades solely to create artificial volume MOST directly implicates:</w:t>
      </w:r>
    </w:p>
    <w:p>
      <w:r>
        <w:t>A. II(B) Market Manipulation</w:t>
      </w:r>
    </w:p>
    <w:p>
      <w:r>
        <w:t>B. V(C) Record Retention</w:t>
      </w:r>
    </w:p>
    <w:p>
      <w:r>
        <w:t>C. VII(B)</w:t>
      </w:r>
    </w:p>
    <w:p>
      <w:pPr>
        <w:pStyle w:val="Heading2"/>
      </w:pPr>
      <w:r>
        <w:t>Q099</w:t>
      </w:r>
    </w:p>
    <w:p>
      <w:r>
        <w:t>A manager has public information plus nonmaterial nonpublic insights and forms an investment view. This is generally called:</w:t>
      </w:r>
    </w:p>
    <w:p>
      <w:r>
        <w:t>A. Mosaic analysis</w:t>
      </w:r>
    </w:p>
    <w:p>
      <w:r>
        <w:t>B. Market manipulation</w:t>
      </w:r>
    </w:p>
    <w:p>
      <w:r>
        <w:t>C. Misrepresentation</w:t>
      </w:r>
    </w:p>
    <w:p>
      <w:r>
        <w:br w:type="page"/>
      </w:r>
    </w:p>
    <w:p>
      <w:pPr>
        <w:pStyle w:val="Heading1"/>
      </w:pPr>
      <w:r>
        <w:t>Assessment Answer Key &amp; Explanations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Answer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Q004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Benefits and pressure can compromise independence/objectivity.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Q009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B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Under I(A), comply with the stricter applicable requirement.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Q013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Recommendations should be disseminated fairly and objectively.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Q018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B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II(A) prohibits acting or causing others to act on MNPI.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Q024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Suitability is assessed in context of the total portfolio and client circumstances.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Q029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Employer records should not be misappropriated.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Q034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B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IV(B) requires written consent.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Q038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B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IV(C) requires reasonable supervisory efforts.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Q043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B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V(A) requires diligence and reasonable basis.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Q047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B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Communication should be clear about process and limitations.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Q052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B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VI(A) focuses on effective conflict disclosure.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Q056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B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VI(B) requires priority for clients/employer.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Q061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VI(C) requires disclosure of referral benefits/consideration.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Q066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Program security/integrity is protected by VII(A).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Q071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The CFA designation/candidacy must not be misrepresented.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Q075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Performance should be fair, accurate, and complete.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Q081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B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III(E) provides limited exceptions to confidentiality.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Q086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Plagiarism is a form of misrepresentation.</w:t>
            </w:r>
          </w:p>
        </w:tc>
      </w:tr>
      <w:tr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Q092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3456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5"/>
              </w:rPr>
              <w:t>Intentional distortion of market activity is prohibited.</w:t>
            </w:r>
          </w:p>
        </w:tc>
      </w:tr>
      <w:tr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Q099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A</w:t>
            </w:r>
          </w:p>
        </w:tc>
        <w:tc>
          <w:tcPr>
            <w:tcW w:type="dxa" w:w="345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5"/>
              </w:rPr>
              <w:t>Mosaic analysis may combine public and nonmaterial nonpublic information, provided no material nonpublic information is used.</w:t>
            </w:r>
          </w:p>
        </w:tc>
      </w:tr>
    </w:tbl>
    <w:p>
      <w:r>
        <w:br w:type="page"/>
      </w:r>
    </w:p>
    <w:p>
      <w:pPr>
        <w:pStyle w:val="Heading1"/>
      </w:pPr>
      <w:r>
        <w:t>10. How BISP Can Help You Crack CFA Level I Ethics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BISP support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 benefit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Trigger-word drills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Practice identifying the single fact that changes the Standard.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Standards matrix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Map every substandard to duties, prohibited acts, recommended procedures, and classic traps.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Timed vignettes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Solve short ethics scenarios under exam timing and review the tempting distractor.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Error log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Classify misses as knowledge, reading, conflict, priority, disclosure, or exception errors.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Calculation discipline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Use quantitative data to support ethics reasoning without letting arithmetic replace the rule.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Revision cadence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7"/>
              </w:rPr>
              <w:t>Reattempt missed questions after 48 hours and again one week later.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Mock assessment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Use mixed Standards I–VII sets so recall is not topic-cued.</w:t>
            </w:r>
          </w:p>
        </w:tc>
      </w:tr>
    </w:tbl>
    <w:p>
      <w:pPr>
        <w:pStyle w:val="Heading2"/>
      </w:pPr>
      <w:r>
        <w:t>7-Day Standards I–VII Revision Sprint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Day 1</w:t>
            </w:r>
          </w:p>
          <w:p>
            <w:pPr>
              <w:spacing w:after="40"/>
            </w:pPr>
            <w:r>
              <w:rPr>
                <w:sz w:val="18"/>
              </w:rPr>
              <w:t>Standard I + 20 trigger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Day 2</w:t>
            </w:r>
          </w:p>
          <w:p>
            <w:pPr>
              <w:spacing w:after="40"/>
            </w:pPr>
            <w:r>
              <w:rPr>
                <w:sz w:val="18"/>
              </w:rPr>
              <w:t>Standards II–III + 15 scenario drills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Day 3</w:t>
            </w:r>
          </w:p>
          <w:p>
            <w:pPr>
              <w:spacing w:after="40"/>
            </w:pPr>
            <w:r>
              <w:rPr>
                <w:sz w:val="18"/>
              </w:rPr>
              <w:t>Standards IV–V + supervisor/research cases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Day 4</w:t>
            </w:r>
          </w:p>
          <w:p>
            <w:pPr>
              <w:spacing w:after="40"/>
            </w:pPr>
            <w:r>
              <w:rPr>
                <w:sz w:val="18"/>
              </w:rPr>
              <w:t>Standards VI–VII + conflicts/referrals/CFA references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Day 5</w:t>
            </w:r>
          </w:p>
          <w:p>
            <w:pPr>
              <w:spacing w:after="40"/>
            </w:pPr>
            <w:r>
              <w:rPr>
                <w:sz w:val="18"/>
              </w:rPr>
              <w:t>20 numericals + 10 practice cases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Day 6</w:t>
            </w:r>
          </w:p>
          <w:p>
            <w:pPr>
              <w:spacing w:after="40"/>
            </w:pPr>
            <w:r>
              <w:rPr>
                <w:sz w:val="18"/>
              </w:rPr>
              <w:t>20-MCQ assessment + error-log rebuild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7FA"/>
          </w:tcPr>
          <w:p>
            <w:r>
              <w:rPr>
                <w:b/>
                <w:color w:val="1F4E79"/>
                <w:sz w:val="20"/>
              </w:rPr>
              <w:t>Day 7</w:t>
            </w:r>
          </w:p>
          <w:p>
            <w:pPr>
              <w:spacing w:after="40"/>
            </w:pPr>
            <w:r>
              <w:rPr>
                <w:sz w:val="18"/>
              </w:rPr>
              <w:t>Mixed reattempt + one-page trigger sheet + rest</w:t>
            </w:r>
          </w:p>
        </w:tc>
      </w:tr>
    </w:tbl>
    <w:p>
      <w:r>
        <w:br w:type="page"/>
      </w:r>
    </w:p>
    <w:p>
      <w:pPr>
        <w:pStyle w:val="Heading1"/>
      </w:pPr>
      <w:r>
        <w:t>Quick Reference: Trigger → Standard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5184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guidance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Law conflict / dissociation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I(A)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Gifts / issuer pressure / objectivity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I(B)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Plagiarism / guarantees / false claims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I(C)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Dishonest conduct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I(D)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MNPI / mosaic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II(A)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Artificial price/volume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II(B)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Client loyalty / brokerage / proxy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III(A)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Dissemination / allocation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III(B)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IPS / total portfolio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III(C)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Performance fairness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III(D)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Confidential client data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III(E)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Departure / employer resources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IV(A)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Outside compensation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IV(B)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Compliance systems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IV(C)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Research quality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V(A)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Assumptions / limitations / fact vs opinion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V(B)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Research records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V(C)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Ownership / conflicts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VI(A)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Client priority / personal trades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VI(B)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Referral benefits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VI(C)</w:t>
            </w:r>
          </w:p>
        </w:tc>
      </w:tr>
      <w:tr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Exam/program conduct</w:t>
            </w:r>
          </w:p>
        </w:tc>
        <w:tc>
          <w:tcPr>
            <w:tcW w:type="dxa" w:w="5184"/>
            <w:vAlign w:val="center"/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VII(A)</w:t>
            </w:r>
          </w:p>
        </w:tc>
      </w:tr>
      <w:tr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CFA designation/candidacy language</w:t>
            </w:r>
          </w:p>
        </w:tc>
        <w:tc>
          <w:tcPr>
            <w:tcW w:type="dxa" w:w="5184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sz w:val="16"/>
              </w:rPr>
              <w:t>VII(B)</w:t>
            </w:r>
          </w:p>
        </w:tc>
      </w:tr>
    </w:tbl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sp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F4E79"/>
          <w:sz w:val="52"/>
        </w:rPr>
        <w:t>CERTIFICATE OF COMPLETION</w:t>
      </w:r>
    </w:p>
    <w:p>
      <w:pPr>
        <w:jc w:val="center"/>
      </w:pPr>
      <w:r>
        <w:rPr>
          <w:b/>
          <w:color w:val="ED7D31"/>
          <w:sz w:val="32"/>
        </w:rPr>
        <w:t>CFA Level I Practice – Guidance for Standards I–VII</w:t>
      </w:r>
    </w:p>
    <w:p>
      <w:pPr>
        <w:jc w:val="center"/>
      </w:pPr>
      <w:r>
        <w:br/>
        <w:t>This certifies that</w:t>
        <w:br/>
      </w:r>
    </w:p>
    <w:p>
      <w:pPr>
        <w:jc w:val="center"/>
      </w:pPr>
      <w:r>
        <w:t>____________________________________________</w:t>
      </w:r>
    </w:p>
    <w:p>
      <w:pPr>
        <w:jc w:val="center"/>
      </w:pPr>
      <w:r>
        <w:t>has completed the BISP Trainings practice workbook, including 20 quantitative illustrations, Practice 10/100, and Assessment 20/100.</w:t>
      </w:r>
    </w:p>
    <w:p>
      <w:pPr>
        <w:jc w:val="center"/>
      </w:pPr>
      <w:r>
        <w:br/>
        <w:t>Score: ______ / 20      Date: ______________      Trainer Signature: 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E1"/>
          </w:tcPr>
          <w:p>
            <w:r>
              <w:rPr>
                <w:b/>
                <w:color w:val="548235"/>
                <w:sz w:val="20"/>
              </w:rPr>
              <w:t>Completion standard</w:t>
            </w:r>
          </w:p>
          <w:p>
            <w:pPr>
              <w:spacing w:after="40"/>
            </w:pPr>
            <w:r>
              <w:rPr>
                <w:sz w:val="18"/>
              </w:rPr>
              <w:t>Recommended: at least 80% on the mixed assessment plus written rationale for every missed item.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5"/>
      </w:rPr>
      <w:t>www.bisptrainings.com   |   Call / WhatsApp: +91 769-4095-404   |   Educational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502920" cy="502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isp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4E79"/>
        <w:sz w:val="16"/>
      </w:rPr>
      <w:t xml:space="preserve">  BISP TRAININGS  |  CFA Level I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ED7D3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2F2F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