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1440"/>
        <w:jc w:val="center"/>
      </w:pPr>
      <w:r>
        <w:rPr>
          <w:rFonts w:ascii="Arial" w:cs="Arial" w:eastAsia="Arial" w:hAnsi="Arial"/>
          <w:b/>
          <w:bCs/>
          <w:color w:val="1F3864"/>
          <w:sz w:val="52"/>
          <w:szCs w:val="52"/>
        </w:rPr>
        <w:t xml:space="preserve">AUTONOMOUS CLOUD SOC</w:t>
      </w:r>
    </w:p>
    <w:p>
      <w:pPr>
        <w:spacing w:after="160" w:before="0"/>
        <w:jc w:val="center"/>
      </w:pPr>
      <w:r>
        <w:rPr>
          <w:rFonts w:ascii="Arial" w:cs="Arial" w:eastAsia="Arial" w:hAnsi="Arial"/>
          <w:color w:val="2E75B6"/>
          <w:sz w:val="28"/>
          <w:szCs w:val="28"/>
        </w:rPr>
        <w:t xml:space="preserve">Incident Response Plan  •  Security Policy  •  Legal &amp; Ethical Compliance</w:t>
      </w:r>
    </w:p>
    <w:p>
      <w:pPr>
        <w:spacing w:after="600" w:before="0"/>
        <w:jc w:val="center"/>
      </w:pPr>
      <w:r>
        <w:rPr>
          <w:rFonts w:ascii="Arial" w:cs="Arial" w:eastAsia="Arial" w:hAnsi="Arial"/>
          <w:color w:val="595959"/>
          <w:sz w:val="24"/>
          <w:szCs w:val="24"/>
        </w:rPr>
        <w:t xml:space="preserve">Cloud-Native Threat Intelligence System  —  Oracle Cloud Infrastructure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Student</w:t>
            </w:r>
          </w:p>
          <w:p>
            <w:r>
              <w:rPr>
                <w:rFonts w:ascii="Arial" w:cs="Arial" w:eastAsia="Arial" w:hAnsi="Arial"/>
                <w:sz w:val="22"/>
                <w:szCs w:val="22"/>
              </w:rPr>
              <w:t xml:space="preserve">Khushbu Jalan</w:t>
            </w:r>
          </w:p>
        </w:tc>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Program</w:t>
            </w:r>
          </w:p>
          <w:p>
            <w:r>
              <w:rPr>
                <w:rFonts w:ascii="Arial" w:cs="Arial" w:eastAsia="Arial" w:hAnsi="Arial"/>
                <w:sz w:val="22"/>
                <w:szCs w:val="22"/>
              </w:rPr>
              <w:t xml:space="preserve">DAE Cybersecurity</w:t>
            </w:r>
          </w:p>
        </w:tc>
      </w:tr>
      <w:tr>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sz w:val="22"/>
                <w:szCs w:val="22"/>
              </w:rPr>
              <w:t xml:space="preserve">Document Version</w:t>
            </w:r>
          </w:p>
          <w:p>
            <w:r>
              <w:rPr>
                <w:rFonts w:ascii="Arial" w:cs="Arial" w:eastAsia="Arial" w:hAnsi="Arial"/>
                <w:sz w:val="22"/>
                <w:szCs w:val="22"/>
              </w:rPr>
              <w:t xml:space="preserve">1.0 — April 2026</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sz w:val="22"/>
                <w:szCs w:val="22"/>
              </w:rPr>
              <w:t xml:space="preserve">Rubric Coverage</w:t>
            </w:r>
          </w:p>
          <w:p>
            <w:r>
              <w:rPr>
                <w:rFonts w:ascii="Arial" w:cs="Arial" w:eastAsia="Arial" w:hAnsi="Arial"/>
                <w:sz w:val="22"/>
                <w:szCs w:val="22"/>
              </w:rPr>
              <w:t xml:space="preserve">R1a · R1b · R1d</w:t>
            </w:r>
          </w:p>
        </w:tc>
      </w:tr>
      <w:tr>
        <w:tc>
          <w:tcPr>
            <w:tcW w:type="dxa" w:w="36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r>
              <w:rPr>
                <w:rFonts w:ascii="Arial" w:cs="Arial" w:eastAsia="Arial" w:hAnsi="Arial"/>
                <w:b/>
                <w:bCs/>
                <w:sz w:val="22"/>
                <w:szCs w:val="22"/>
              </w:rPr>
              <w:t xml:space="preserve">Infrastructure</w:t>
            </w:r>
          </w:p>
          <w:p>
            <w:r>
              <w:rPr>
                <w:rFonts w:ascii="Arial" w:cs="Arial" w:eastAsia="Arial" w:hAnsi="Arial"/>
                <w:sz w:val="22"/>
                <w:szCs w:val="22"/>
              </w:rPr>
              <w:t xml:space="preserve">OCI A1 Ampere VM</w:t>
            </w:r>
          </w:p>
        </w:tc>
        <w:tc>
          <w:tcPr>
            <w:tcW w:type="dxa" w:w="36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r>
              <w:rPr>
                <w:rFonts w:ascii="Arial" w:cs="Arial" w:eastAsia="Arial" w:hAnsi="Arial"/>
                <w:b/>
                <w:bCs/>
                <w:sz w:val="22"/>
                <w:szCs w:val="22"/>
              </w:rPr>
              <w:t xml:space="preserve">Status</w:t>
            </w:r>
          </w:p>
          <w:p>
            <w:r>
              <w:rPr>
                <w:rFonts w:ascii="Arial" w:cs="Arial" w:eastAsia="Arial" w:hAnsi="Arial"/>
                <w:sz w:val="22"/>
                <w:szCs w:val="22"/>
              </w:rPr>
              <w:t xml:space="preserve">Semester 1 — Research &amp; Planning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FF2CC" w:val="clear"/>
            <w:tcMar>
              <w:top w:type="dxa" w:w="100"/>
              <w:left w:type="dxa" w:w="200"/>
              <w:bottom w:type="dxa" w:w="100"/>
              <w:right w:type="dxa" w:w="200"/>
            </w:tcMar>
          </w:tcPr>
          <w:p>
            <w:r>
              <w:rPr>
                <w:rFonts w:ascii="Arial" w:cs="Arial" w:eastAsia="Arial" w:hAnsi="Arial"/>
                <w:b/>
                <w:bCs/>
                <w:color w:val="2E75B6"/>
                <w:sz w:val="20"/>
                <w:szCs w:val="20"/>
              </w:rPr>
              <w:t xml:space="preserve">⚠  SEMESTER 1 SCOPE</w:t>
            </w:r>
          </w:p>
          <w:p>
            <w:r>
              <w:rPr>
                <w:rFonts w:ascii="Arial" w:cs="Arial" w:eastAsia="Arial" w:hAnsi="Arial"/>
                <w:sz w:val="20"/>
                <w:szCs w:val="20"/>
              </w:rPr>
              <w:t xml:space="preserve">This document is a structured research and planning deliverable for Semester 1. Live Wazuh agent testing, real honeypot attack simulation, and full SOAR pipeline automation are scheduled for Semester 2. All procedures described represent planned system behaviour.</w:t>
            </w:r>
          </w:p>
        </w:tc>
      </w:tr>
    </w:tbl>
    <w:p>
      <w:r>
        <w:br w:type="page"/>
      </w:r>
    </w:p>
    <w:p>
      <w:pPr>
        <w:pStyle w:val="Heading1"/>
        <w:shd w:fill="1F3864" w:val="clear"/>
        <w:spacing w:after="160" w:before="320"/>
        <w:ind w:left="200" w:right="200"/>
      </w:pPr>
      <w:r>
        <w:rPr>
          <w:rFonts w:ascii="Arial" w:cs="Arial" w:eastAsia="Arial" w:hAnsi="Arial"/>
          <w:b/>
          <w:bCs/>
          <w:color w:val="FFFFFF"/>
          <w:sz w:val="32"/>
          <w:szCs w:val="32"/>
        </w:rPr>
        <w:t xml:space="preserve">PART 1 — INCIDENT RESPONSE PLAN  (Rubric R1a)</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1.1  Purpose &amp; Scope</w:t>
      </w:r>
    </w:p>
    <w:p>
      <w:pPr>
        <w:spacing w:after="80" w:before="80"/>
      </w:pPr>
      <w:r>
        <w:rPr>
          <w:rFonts w:ascii="Arial" w:cs="Arial" w:eastAsia="Arial" w:hAnsi="Arial"/>
          <w:sz w:val="22"/>
          <w:szCs w:val="22"/>
        </w:rPr>
        <w:t xml:space="preserve">This Incident Response Plan (IRP) defines structured procedures for detecting, containing, eradicating, and recovering from security incidents affecting the Autonomous Cloud SOC infrastructure hosted on Oracle Cloud Infrastructure (OCI). The plan covers four primary attack vectors: Brute-Force / Credential Stuffing, Malware / Ransomware, Phishing, and Denial of Service (DoS/DDoS).</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IRP-1  —  Brute-Force &amp; Credential Stuffing</w:t>
      </w:r>
    </w:p>
    <w:p>
      <w:pPr>
        <w:spacing w:after="80" w:before="180"/>
      </w:pPr>
      <w:r>
        <w:rPr>
          <w:rFonts w:ascii="Arial" w:cs="Arial" w:eastAsia="Arial" w:hAnsi="Arial"/>
          <w:b/>
          <w:bCs/>
          <w:color w:val="2E75B6"/>
          <w:sz w:val="22"/>
          <w:szCs w:val="22"/>
        </w:rPr>
        <w:t xml:space="preserve">Attack Overview</w:t>
      </w:r>
    </w:p>
    <w:p>
      <w:pPr>
        <w:spacing w:after="80" w:before="80"/>
      </w:pPr>
      <w:r>
        <w:rPr>
          <w:rFonts w:ascii="Arial" w:cs="Arial" w:eastAsia="Arial" w:hAnsi="Arial"/>
          <w:sz w:val="22"/>
          <w:szCs w:val="22"/>
        </w:rPr>
        <w:t xml:space="preserve">Classification: Network / Authentication Attack  |  MITRE ATT&amp;CK: T1110 — Brute Force  |  T1021.001 — Remote Desktop Protocol</w:t>
      </w:r>
    </w:p>
    <w:p>
      <w:pPr>
        <w:spacing w:after="80" w:before="80"/>
      </w:pPr>
      <w:r>
        <w:rPr>
          <w:rFonts w:ascii="Arial" w:cs="Arial" w:eastAsia="Arial" w:hAnsi="Arial"/>
          <w:sz w:val="22"/>
          <w:szCs w:val="22"/>
        </w:rPr>
        <w:t xml:space="preserve">A brute-force attack systematically tries large numbers of username/password combinations to gain unauthorised access. Credential stuffing uses leaked real credentials from prior breaches, making it highly effective against systems with no known vulnerabilities. The Windows Honeypot VM exposes RDP (port 3389) to the public internet; each failed login generates Windows Event ID 4625 in the Security Event Log — the primary detection signal for this SOC.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200"/>
              <w:bottom w:type="dxa" w:w="100"/>
              <w:right w:type="dxa" w:w="200"/>
            </w:tcMar>
          </w:tcPr>
          <w:p>
            <w:r>
              <w:rPr>
                <w:rFonts w:ascii="Arial" w:cs="Arial" w:eastAsia="Arial" w:hAnsi="Arial"/>
                <w:b/>
                <w:bCs/>
                <w:color w:val="2E75B6"/>
                <w:sz w:val="20"/>
                <w:szCs w:val="20"/>
              </w:rPr>
              <w:t xml:space="preserve">📊  WHY IT MATTERS</w:t>
            </w:r>
          </w:p>
          <w:p>
            <w:r>
              <w:rPr>
                <w:rFonts w:ascii="Arial" w:cs="Arial" w:eastAsia="Arial" w:hAnsi="Arial"/>
                <w:sz w:val="20"/>
                <w:szCs w:val="20"/>
              </w:rPr>
              <w:t xml:space="preserve">According to the 2023 Verizon DBIR, 86% of web application breaches involved stolen or brute-forced credentials. A successful brute-force against an exposed RDP endpoint gives an attacker full interactive control of the Windows machine.</w:t>
            </w:r>
          </w:p>
        </w:tc>
      </w:tr>
    </w:tbl>
    <w:p>
      <w:pPr>
        <w:spacing w:after="80" w:before="80"/>
      </w:pPr>
    </w:p>
    <w:p>
      <w:pPr>
        <w:spacing w:after="80" w:before="180"/>
      </w:pPr>
      <w:r>
        <w:rPr>
          <w:rFonts w:ascii="Arial" w:cs="Arial" w:eastAsia="Arial" w:hAnsi="Arial"/>
          <w:b/>
          <w:bCs/>
          <w:color w:val="2E75B6"/>
          <w:sz w:val="22"/>
          <w:szCs w:val="22"/>
        </w:rPr>
        <w:t xml:space="preserve">Detection</w:t>
      </w:r>
    </w:p>
    <w:p>
      <w:pPr>
        <w:pStyle w:val="ListParagraph"/>
        <w:numPr>
          <w:ilvl w:val="0"/>
          <w:numId w:val="2"/>
        </w:numPr>
        <w:spacing w:after="40" w:before="40"/>
      </w:pPr>
      <w:r>
        <w:rPr>
          <w:rFonts w:ascii="Arial" w:cs="Arial" w:eastAsia="Arial" w:hAnsi="Arial"/>
          <w:b w:val="false"/>
          <w:bCs w:val="false"/>
          <w:sz w:val="22"/>
          <w:szCs w:val="22"/>
        </w:rPr>
        <w:t xml:space="preserve">Wazuh monitors Windows Security Event Log for Event ID 4625 (Failed Logon)</w:t>
      </w:r>
    </w:p>
    <w:p>
      <w:pPr>
        <w:pStyle w:val="ListParagraph"/>
        <w:numPr>
          <w:ilvl w:val="0"/>
          <w:numId w:val="2"/>
        </w:numPr>
        <w:spacing w:after="40" w:before="40"/>
      </w:pPr>
      <w:r>
        <w:rPr>
          <w:rFonts w:ascii="Arial" w:cs="Arial" w:eastAsia="Arial" w:hAnsi="Arial"/>
          <w:b w:val="false"/>
          <w:bCs w:val="false"/>
          <w:sz w:val="22"/>
          <w:szCs w:val="22"/>
        </w:rPr>
        <w:t xml:space="preserve">Detection rule triggers at Level 10 alert when 5 or more failures occur within 60 seconds from the same source IP</w:t>
      </w:r>
    </w:p>
    <w:p>
      <w:pPr>
        <w:pStyle w:val="ListParagraph"/>
        <w:numPr>
          <w:ilvl w:val="0"/>
          <w:numId w:val="2"/>
        </w:numPr>
        <w:spacing w:after="40" w:before="40"/>
      </w:pPr>
      <w:r>
        <w:rPr>
          <w:rFonts w:ascii="Arial" w:cs="Arial" w:eastAsia="Arial" w:hAnsi="Arial"/>
          <w:b w:val="false"/>
          <w:bCs w:val="false"/>
          <w:sz w:val="22"/>
          <w:szCs w:val="22"/>
        </w:rPr>
        <w:t xml:space="preserve">Detection KPI: Alert generated within 10 seconds of threshold breach</w:t>
      </w:r>
    </w:p>
    <w:p>
      <w:pPr>
        <w:spacing w:after="80" w:before="80"/>
      </w:pPr>
    </w:p>
    <w:p>
      <w:pPr>
        <w:spacing w:after="80" w:before="180"/>
      </w:pPr>
      <w:r>
        <w:rPr>
          <w:rFonts w:ascii="Arial" w:cs="Arial" w:eastAsia="Arial" w:hAnsi="Arial"/>
          <w:b/>
          <w:bCs/>
          <w:color w:val="2E75B6"/>
          <w:sz w:val="22"/>
          <w:szCs w:val="22"/>
        </w:rPr>
        <w:t xml:space="preserve">Containment</w:t>
      </w:r>
    </w:p>
    <w:p>
      <w:pPr>
        <w:pStyle w:val="ListParagraph"/>
        <w:numPr>
          <w:ilvl w:val="0"/>
          <w:numId w:val="2"/>
        </w:numPr>
        <w:spacing w:after="40" w:before="40"/>
      </w:pPr>
      <w:r>
        <w:rPr>
          <w:rFonts w:ascii="Arial" w:cs="Arial" w:eastAsia="Arial" w:hAnsi="Arial"/>
          <w:b w:val="false"/>
          <w:bCs w:val="false"/>
          <w:sz w:val="22"/>
          <w:szCs w:val="22"/>
        </w:rPr>
        <w:t xml:space="preserve">n8n SOAR workflow receives Wazuh webhook payload within seconds of alert</w:t>
      </w:r>
    </w:p>
    <w:p>
      <w:pPr>
        <w:pStyle w:val="ListParagraph"/>
        <w:numPr>
          <w:ilvl w:val="0"/>
          <w:numId w:val="2"/>
        </w:numPr>
        <w:spacing w:after="40" w:before="40"/>
      </w:pPr>
      <w:r>
        <w:rPr>
          <w:rFonts w:ascii="Arial" w:cs="Arial" w:eastAsia="Arial" w:hAnsi="Arial"/>
          <w:b w:val="false"/>
          <w:bCs w:val="false"/>
          <w:sz w:val="22"/>
          <w:szCs w:val="22"/>
        </w:rPr>
        <w:t xml:space="preserve">n8n queries AbuseIPDB API to confirm IP reputation before blocking</w:t>
      </w:r>
    </w:p>
    <w:p>
      <w:pPr>
        <w:pStyle w:val="ListParagraph"/>
        <w:numPr>
          <w:ilvl w:val="0"/>
          <w:numId w:val="2"/>
        </w:numPr>
        <w:spacing w:after="40" w:before="40"/>
      </w:pPr>
      <w:r>
        <w:rPr>
          <w:rFonts w:ascii="Arial" w:cs="Arial" w:eastAsia="Arial" w:hAnsi="Arial"/>
          <w:b w:val="false"/>
          <w:bCs w:val="false"/>
          <w:sz w:val="22"/>
          <w:szCs w:val="22"/>
        </w:rPr>
        <w:t xml:space="preserve">Confirmed malicious IP is added to OCI Network Security Group (NSG) Deny List</w:t>
      </w:r>
    </w:p>
    <w:p>
      <w:pPr>
        <w:pStyle w:val="ListParagraph"/>
        <w:numPr>
          <w:ilvl w:val="0"/>
          <w:numId w:val="2"/>
        </w:numPr>
        <w:spacing w:after="40" w:before="40"/>
      </w:pPr>
      <w:r>
        <w:rPr>
          <w:rFonts w:ascii="Arial" w:cs="Arial" w:eastAsia="Arial" w:hAnsi="Arial"/>
          <w:b w:val="false"/>
          <w:bCs w:val="false"/>
          <w:sz w:val="22"/>
          <w:szCs w:val="22"/>
        </w:rPr>
        <w:t xml:space="preserve">Containment KPI: IP blocked via OCI NSG within 30 seconds of alert</w:t>
      </w:r>
    </w:p>
    <w:p>
      <w:pPr>
        <w:spacing w:after="80" w:before="80"/>
      </w:pPr>
    </w:p>
    <w:p>
      <w:pPr>
        <w:spacing w:after="80" w:before="180"/>
      </w:pPr>
      <w:r>
        <w:rPr>
          <w:rFonts w:ascii="Arial" w:cs="Arial" w:eastAsia="Arial" w:hAnsi="Arial"/>
          <w:b/>
          <w:bCs/>
          <w:color w:val="2E75B6"/>
          <w:sz w:val="22"/>
          <w:szCs w:val="22"/>
        </w:rPr>
        <w:t xml:space="preserve">Eradication</w:t>
      </w:r>
    </w:p>
    <w:p>
      <w:pPr>
        <w:pStyle w:val="ListParagraph"/>
        <w:numPr>
          <w:ilvl w:val="0"/>
          <w:numId w:val="2"/>
        </w:numPr>
        <w:spacing w:after="40" w:before="40"/>
      </w:pPr>
      <w:r>
        <w:rPr>
          <w:rFonts w:ascii="Arial" w:cs="Arial" w:eastAsia="Arial" w:hAnsi="Arial"/>
          <w:b w:val="false"/>
          <w:bCs w:val="false"/>
          <w:sz w:val="22"/>
          <w:szCs w:val="22"/>
        </w:rPr>
        <w:t xml:space="preserve">Verify the block is active by checking OCI NSG rules and confirming no further Event ID 4625 entries from the blocked IP</w:t>
      </w:r>
    </w:p>
    <w:p>
      <w:pPr>
        <w:pStyle w:val="ListParagraph"/>
        <w:numPr>
          <w:ilvl w:val="0"/>
          <w:numId w:val="2"/>
        </w:numPr>
        <w:spacing w:after="40" w:before="40"/>
      </w:pPr>
      <w:r>
        <w:rPr>
          <w:rFonts w:ascii="Arial" w:cs="Arial" w:eastAsia="Arial" w:hAnsi="Arial"/>
          <w:b w:val="false"/>
          <w:bCs w:val="false"/>
          <w:sz w:val="22"/>
          <w:szCs w:val="22"/>
        </w:rPr>
        <w:t xml:space="preserve">Run Wazuh File Integrity Monitoring (FIM) check on the honeypot to confirm no files were modified during the attack window</w:t>
      </w:r>
    </w:p>
    <w:p>
      <w:pPr>
        <w:pStyle w:val="ListParagraph"/>
        <w:numPr>
          <w:ilvl w:val="0"/>
          <w:numId w:val="2"/>
        </w:numPr>
        <w:spacing w:after="40" w:before="40"/>
      </w:pPr>
      <w:r>
        <w:rPr>
          <w:rFonts w:ascii="Arial" w:cs="Arial" w:eastAsia="Arial" w:hAnsi="Arial"/>
          <w:b w:val="false"/>
          <w:bCs w:val="false"/>
          <w:sz w:val="22"/>
          <w:szCs w:val="22"/>
        </w:rPr>
        <w:t xml:space="preserve">Review Wazuh detection rule for any required tuning to reduce false positives or lower the detection threshold</w:t>
      </w:r>
    </w:p>
    <w:p>
      <w:pPr>
        <w:spacing w:after="80" w:before="80"/>
      </w:pPr>
    </w:p>
    <w:p>
      <w:pPr>
        <w:spacing w:after="80" w:before="180"/>
      </w:pPr>
      <w:r>
        <w:rPr>
          <w:rFonts w:ascii="Arial" w:cs="Arial" w:eastAsia="Arial" w:hAnsi="Arial"/>
          <w:b/>
          <w:bCs/>
          <w:color w:val="2E75B6"/>
          <w:sz w:val="22"/>
          <w:szCs w:val="22"/>
        </w:rPr>
        <w:t xml:space="preserve">Recovery</w:t>
      </w:r>
    </w:p>
    <w:p>
      <w:pPr>
        <w:pStyle w:val="ListParagraph"/>
        <w:numPr>
          <w:ilvl w:val="0"/>
          <w:numId w:val="2"/>
        </w:numPr>
        <w:spacing w:after="40" w:before="40"/>
      </w:pPr>
      <w:r>
        <w:rPr>
          <w:rFonts w:ascii="Arial" w:cs="Arial" w:eastAsia="Arial" w:hAnsi="Arial"/>
          <w:b w:val="false"/>
          <w:bCs w:val="false"/>
          <w:sz w:val="22"/>
          <w:szCs w:val="22"/>
        </w:rPr>
        <w:t xml:space="preserve">Review the most recent OCI snapshot of the Windows Honeypot VM to confirm clean state</w:t>
      </w:r>
    </w:p>
    <w:p>
      <w:pPr>
        <w:pStyle w:val="ListParagraph"/>
        <w:numPr>
          <w:ilvl w:val="0"/>
          <w:numId w:val="2"/>
        </w:numPr>
        <w:spacing w:after="40" w:before="40"/>
      </w:pPr>
      <w:r>
        <w:rPr>
          <w:rFonts w:ascii="Arial" w:cs="Arial" w:eastAsia="Arial" w:hAnsi="Arial"/>
          <w:b w:val="false"/>
          <w:bCs w:val="false"/>
          <w:sz w:val="22"/>
          <w:szCs w:val="22"/>
        </w:rPr>
        <w:t xml:space="preserve">NSG block rule is retained for 7 days before review for removal</w:t>
      </w:r>
    </w:p>
    <w:p>
      <w:pPr>
        <w:pStyle w:val="ListParagraph"/>
        <w:numPr>
          <w:ilvl w:val="0"/>
          <w:numId w:val="2"/>
        </w:numPr>
        <w:spacing w:after="40" w:before="40"/>
      </w:pPr>
      <w:r>
        <w:rPr>
          <w:rFonts w:ascii="Arial" w:cs="Arial" w:eastAsia="Arial" w:hAnsi="Arial"/>
          <w:b w:val="false"/>
          <w:bCs w:val="false"/>
          <w:sz w:val="22"/>
          <w:szCs w:val="22"/>
        </w:rPr>
        <w:t xml:space="preserve">Document the incident in the risk register and submit a post-incident report</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IRP-2  —  Malware / Ransomware</w:t>
      </w:r>
    </w:p>
    <w:p>
      <w:pPr>
        <w:spacing w:after="80" w:before="180"/>
      </w:pPr>
      <w:r>
        <w:rPr>
          <w:rFonts w:ascii="Arial" w:cs="Arial" w:eastAsia="Arial" w:hAnsi="Arial"/>
          <w:b/>
          <w:bCs/>
          <w:color w:val="2E75B6"/>
          <w:sz w:val="22"/>
          <w:szCs w:val="22"/>
        </w:rPr>
        <w:t xml:space="preserve">Attack Overview</w:t>
      </w:r>
    </w:p>
    <w:p>
      <w:pPr>
        <w:spacing w:after="80" w:before="80"/>
      </w:pPr>
      <w:r>
        <w:rPr>
          <w:rFonts w:ascii="Arial" w:cs="Arial" w:eastAsia="Arial" w:hAnsi="Arial"/>
          <w:sz w:val="22"/>
          <w:szCs w:val="22"/>
        </w:rPr>
        <w:t xml:space="preserve">Classification: Endpoint Attack / Data Destruction Attack  |  MITRE ATT&amp;CK: T1486 — Data Encrypted for Impact  |  T1204 — User Execution</w:t>
      </w:r>
    </w:p>
    <w:p>
      <w:pPr>
        <w:spacing w:after="80" w:before="80"/>
      </w:pPr>
      <w:r>
        <w:rPr>
          <w:rFonts w:ascii="Arial" w:cs="Arial" w:eastAsia="Arial" w:hAnsi="Arial"/>
          <w:sz w:val="22"/>
          <w:szCs w:val="22"/>
        </w:rPr>
        <w:t xml:space="preserve">Ransomware is a form of malware that encrypts victim files and demands payment for decryption keys. Modern ransomware (e.g., LockBit, Cl0p) typically uses AES-256 for file encryption and RSA-2048 for key encryption. Attackers often deliver ransomware through phishing emails or exploit unpatched vulnerabilities. File Integrity Monitoring is the primary detection method — mass file changes in a short window are a strong ransomware indicator.</w:t>
      </w:r>
    </w:p>
    <w:p>
      <w:pPr>
        <w:spacing w:after="80" w:before="80"/>
      </w:pPr>
    </w:p>
    <w:p>
      <w:pPr>
        <w:spacing w:after="80" w:before="180"/>
      </w:pPr>
      <w:r>
        <w:rPr>
          <w:rFonts w:ascii="Arial" w:cs="Arial" w:eastAsia="Arial" w:hAnsi="Arial"/>
          <w:b/>
          <w:bCs/>
          <w:color w:val="2E75B6"/>
          <w:sz w:val="22"/>
          <w:szCs w:val="22"/>
        </w:rPr>
        <w:t xml:space="preserve">Detection</w:t>
      </w:r>
    </w:p>
    <w:p>
      <w:pPr>
        <w:pStyle w:val="ListParagraph"/>
        <w:numPr>
          <w:ilvl w:val="0"/>
          <w:numId w:val="2"/>
        </w:numPr>
        <w:spacing w:after="40" w:before="40"/>
      </w:pPr>
      <w:r>
        <w:rPr>
          <w:rFonts w:ascii="Arial" w:cs="Arial" w:eastAsia="Arial" w:hAnsi="Arial"/>
          <w:b w:val="false"/>
          <w:bCs w:val="false"/>
          <w:sz w:val="22"/>
          <w:szCs w:val="22"/>
        </w:rPr>
        <w:t xml:space="preserve">Wazuh FIM monitors the honeypot for mass file modifications (&gt;50 files changed within 60 seconds)</w:t>
      </w:r>
    </w:p>
    <w:p>
      <w:pPr>
        <w:pStyle w:val="ListParagraph"/>
        <w:numPr>
          <w:ilvl w:val="0"/>
          <w:numId w:val="2"/>
        </w:numPr>
        <w:spacing w:after="40" w:before="40"/>
      </w:pPr>
      <w:r>
        <w:rPr>
          <w:rFonts w:ascii="Arial" w:cs="Arial" w:eastAsia="Arial" w:hAnsi="Arial"/>
          <w:b w:val="false"/>
          <w:bCs w:val="false"/>
          <w:sz w:val="22"/>
          <w:szCs w:val="22"/>
        </w:rPr>
        <w:t xml:space="preserve">VirusTotal hash check is used to confirm if a suspicious executable matches known ransomware signatures</w:t>
      </w:r>
    </w:p>
    <w:p>
      <w:pPr>
        <w:pStyle w:val="ListParagraph"/>
        <w:numPr>
          <w:ilvl w:val="0"/>
          <w:numId w:val="2"/>
        </w:numPr>
        <w:spacing w:after="40" w:before="40"/>
      </w:pPr>
      <w:r>
        <w:rPr>
          <w:rFonts w:ascii="Arial" w:cs="Arial" w:eastAsia="Arial" w:hAnsi="Arial"/>
          <w:b w:val="false"/>
          <w:bCs w:val="false"/>
          <w:sz w:val="22"/>
          <w:szCs w:val="22"/>
        </w:rPr>
        <w:t xml:space="preserve">Detection KPI: FIM mass-change alert generated within 15 seconds of initial encryption activity</w:t>
      </w:r>
    </w:p>
    <w:p>
      <w:pPr>
        <w:spacing w:after="80" w:before="80"/>
      </w:pPr>
    </w:p>
    <w:p>
      <w:pPr>
        <w:spacing w:after="80" w:before="180"/>
      </w:pPr>
      <w:r>
        <w:rPr>
          <w:rFonts w:ascii="Arial" w:cs="Arial" w:eastAsia="Arial" w:hAnsi="Arial"/>
          <w:b/>
          <w:bCs/>
          <w:color w:val="2E75B6"/>
          <w:sz w:val="22"/>
          <w:szCs w:val="22"/>
        </w:rPr>
        <w:t xml:space="preserve">Containment</w:t>
      </w:r>
    </w:p>
    <w:p>
      <w:pPr>
        <w:pStyle w:val="ListParagraph"/>
        <w:numPr>
          <w:ilvl w:val="0"/>
          <w:numId w:val="2"/>
        </w:numPr>
        <w:spacing w:after="40" w:before="40"/>
      </w:pPr>
      <w:r>
        <w:rPr>
          <w:rFonts w:ascii="Arial" w:cs="Arial" w:eastAsia="Arial" w:hAnsi="Arial"/>
          <w:b w:val="false"/>
          <w:bCs w:val="false"/>
          <w:sz w:val="22"/>
          <w:szCs w:val="22"/>
        </w:rPr>
        <w:t xml:space="preserve">Immediately isolate the infected VM by applying an OCI NSG rule blocking ALL inbound and outbound traffic</w:t>
      </w:r>
    </w:p>
    <w:p>
      <w:pPr>
        <w:pStyle w:val="ListParagraph"/>
        <w:numPr>
          <w:ilvl w:val="0"/>
          <w:numId w:val="2"/>
        </w:numPr>
        <w:spacing w:after="40" w:before="40"/>
      </w:pPr>
      <w:r>
        <w:rPr>
          <w:rFonts w:ascii="Arial" w:cs="Arial" w:eastAsia="Arial" w:hAnsi="Arial"/>
          <w:b w:val="false"/>
          <w:bCs w:val="false"/>
          <w:sz w:val="22"/>
          <w:szCs w:val="22"/>
        </w:rPr>
        <w:t xml:space="preserve">Containment KPI: Network isolation via OCI NSG applied within 2 minutes of detection</w:t>
      </w:r>
    </w:p>
    <w:p>
      <w:pPr>
        <w:pStyle w:val="ListParagraph"/>
        <w:numPr>
          <w:ilvl w:val="0"/>
          <w:numId w:val="2"/>
        </w:numPr>
        <w:spacing w:after="40" w:before="40"/>
      </w:pPr>
      <w:r>
        <w:rPr>
          <w:rFonts w:ascii="Arial" w:cs="Arial" w:eastAsia="Arial" w:hAnsi="Arial"/>
          <w:b w:val="false"/>
          <w:bCs w:val="false"/>
          <w:sz w:val="22"/>
          <w:szCs w:val="22"/>
        </w:rPr>
        <w:t xml:space="preserve">Do NOT shut down the VM — volatile memory may contain encryption keys useful for forensic recovery</w:t>
      </w:r>
    </w:p>
    <w:p>
      <w:pPr>
        <w:spacing w:after="80" w:before="80"/>
      </w:pPr>
    </w:p>
    <w:p>
      <w:pPr>
        <w:spacing w:after="80" w:before="180"/>
      </w:pPr>
      <w:r>
        <w:rPr>
          <w:rFonts w:ascii="Arial" w:cs="Arial" w:eastAsia="Arial" w:hAnsi="Arial"/>
          <w:b/>
          <w:bCs/>
          <w:color w:val="2E75B6"/>
          <w:sz w:val="22"/>
          <w:szCs w:val="22"/>
        </w:rPr>
        <w:t xml:space="preserve">Eradication</w:t>
      </w:r>
    </w:p>
    <w:p>
      <w:pPr>
        <w:pStyle w:val="ListParagraph"/>
        <w:numPr>
          <w:ilvl w:val="0"/>
          <w:numId w:val="2"/>
        </w:numPr>
        <w:spacing w:after="40" w:before="40"/>
      </w:pPr>
      <w:r>
        <w:rPr>
          <w:rFonts w:ascii="Arial" w:cs="Arial" w:eastAsia="Arial" w:hAnsi="Arial"/>
          <w:b w:val="false"/>
          <w:bCs w:val="false"/>
          <w:sz w:val="22"/>
          <w:szCs w:val="22"/>
        </w:rPr>
        <w:t xml:space="preserve">Take a forensic snapshot of the infected VM for analysis before any remediation steps</w:t>
      </w:r>
    </w:p>
    <w:p>
      <w:pPr>
        <w:pStyle w:val="ListParagraph"/>
        <w:numPr>
          <w:ilvl w:val="0"/>
          <w:numId w:val="2"/>
        </w:numPr>
        <w:spacing w:after="40" w:before="40"/>
      </w:pPr>
      <w:r>
        <w:rPr>
          <w:rFonts w:ascii="Arial" w:cs="Arial" w:eastAsia="Arial" w:hAnsi="Arial"/>
          <w:b w:val="false"/>
          <w:bCs w:val="false"/>
          <w:sz w:val="22"/>
          <w:szCs w:val="22"/>
        </w:rPr>
        <w:t xml:space="preserve">Upload a sample of the encrypted file to ID Ransomware (id-ransomware.malwarehunterteam.com) to identify the ransomware family</w:t>
      </w:r>
    </w:p>
    <w:p>
      <w:pPr>
        <w:pStyle w:val="ListParagraph"/>
        <w:numPr>
          <w:ilvl w:val="0"/>
          <w:numId w:val="2"/>
        </w:numPr>
        <w:spacing w:after="40" w:before="40"/>
      </w:pPr>
      <w:r>
        <w:rPr>
          <w:rFonts w:ascii="Arial" w:cs="Arial" w:eastAsia="Arial" w:hAnsi="Arial"/>
          <w:b w:val="false"/>
          <w:bCs w:val="false"/>
          <w:sz w:val="22"/>
          <w:szCs w:val="22"/>
        </w:rPr>
        <w:t xml:space="preserve">Check No More Ransom Project (nomoreransom.org) for any available decryptor</w:t>
      </w:r>
    </w:p>
    <w:p>
      <w:pPr>
        <w:pStyle w:val="ListParagraph"/>
        <w:numPr>
          <w:ilvl w:val="0"/>
          <w:numId w:val="2"/>
        </w:numPr>
        <w:spacing w:after="40" w:before="40"/>
      </w:pPr>
      <w:r>
        <w:rPr>
          <w:rFonts w:ascii="Arial" w:cs="Arial" w:eastAsia="Arial" w:hAnsi="Arial"/>
          <w:b w:val="false"/>
          <w:bCs w:val="false"/>
          <w:sz w:val="22"/>
          <w:szCs w:val="22"/>
        </w:rPr>
        <w:t xml:space="preserve">Remove all malicious executables and persistence mechanisms (scheduled tasks, registry run keys)</w:t>
      </w:r>
    </w:p>
    <w:p>
      <w:pPr>
        <w:spacing w:after="80" w:before="80"/>
      </w:pPr>
    </w:p>
    <w:p>
      <w:pPr>
        <w:spacing w:after="80" w:before="180"/>
      </w:pPr>
      <w:r>
        <w:rPr>
          <w:rFonts w:ascii="Arial" w:cs="Arial" w:eastAsia="Arial" w:hAnsi="Arial"/>
          <w:b/>
          <w:bCs/>
          <w:color w:val="2E75B6"/>
          <w:sz w:val="22"/>
          <w:szCs w:val="22"/>
        </w:rPr>
        <w:t xml:space="preserve">Recovery</w:t>
      </w:r>
    </w:p>
    <w:p>
      <w:pPr>
        <w:pStyle w:val="ListParagraph"/>
        <w:numPr>
          <w:ilvl w:val="0"/>
          <w:numId w:val="2"/>
        </w:numPr>
        <w:spacing w:after="40" w:before="40"/>
      </w:pPr>
      <w:r>
        <w:rPr>
          <w:rFonts w:ascii="Arial" w:cs="Arial" w:eastAsia="Arial" w:hAnsi="Arial"/>
          <w:b w:val="false"/>
          <w:bCs w:val="false"/>
          <w:sz w:val="22"/>
          <w:szCs w:val="22"/>
        </w:rPr>
        <w:t xml:space="preserve">Rebuild the honeypot from the most recent clean OCI snapshot taken prior to the infection</w:t>
      </w:r>
    </w:p>
    <w:p>
      <w:pPr>
        <w:pStyle w:val="ListParagraph"/>
        <w:numPr>
          <w:ilvl w:val="0"/>
          <w:numId w:val="2"/>
        </w:numPr>
        <w:spacing w:after="40" w:before="40"/>
      </w:pPr>
      <w:r>
        <w:rPr>
          <w:rFonts w:ascii="Arial" w:cs="Arial" w:eastAsia="Arial" w:hAnsi="Arial"/>
          <w:b w:val="false"/>
          <w:bCs w:val="false"/>
          <w:sz w:val="22"/>
          <w:szCs w:val="22"/>
        </w:rPr>
        <w:t xml:space="preserve">Update Wazuh FIM rules to monitor additional sensitive directories</w:t>
      </w:r>
    </w:p>
    <w:p>
      <w:pPr>
        <w:pStyle w:val="ListParagraph"/>
        <w:numPr>
          <w:ilvl w:val="0"/>
          <w:numId w:val="2"/>
        </w:numPr>
        <w:spacing w:after="40" w:before="40"/>
      </w:pPr>
      <w:r>
        <w:rPr>
          <w:rFonts w:ascii="Arial" w:cs="Arial" w:eastAsia="Arial" w:hAnsi="Arial"/>
          <w:b w:val="false"/>
          <w:bCs w:val="false"/>
          <w:sz w:val="22"/>
          <w:szCs w:val="22"/>
        </w:rPr>
        <w:t xml:space="preserve">Document the full attack chain and update the risk register</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IRP-3  —  Phishing</w:t>
      </w:r>
    </w:p>
    <w:p>
      <w:pPr>
        <w:spacing w:after="80" w:before="180"/>
      </w:pPr>
      <w:r>
        <w:rPr>
          <w:rFonts w:ascii="Arial" w:cs="Arial" w:eastAsia="Arial" w:hAnsi="Arial"/>
          <w:b/>
          <w:bCs/>
          <w:color w:val="2E75B6"/>
          <w:sz w:val="22"/>
          <w:szCs w:val="22"/>
        </w:rPr>
        <w:t xml:space="preserve">Attack Overview</w:t>
      </w:r>
    </w:p>
    <w:p>
      <w:pPr>
        <w:spacing w:after="80" w:before="80"/>
      </w:pPr>
      <w:r>
        <w:rPr>
          <w:rFonts w:ascii="Arial" w:cs="Arial" w:eastAsia="Arial" w:hAnsi="Arial"/>
          <w:sz w:val="22"/>
          <w:szCs w:val="22"/>
        </w:rPr>
        <w:t xml:space="preserve">Classification: Social Engineering / Credential Theft  |  MITRE ATT&amp;CK: T1566 — Phishing  |  T1078 — Valid Accounts</w:t>
      </w:r>
    </w:p>
    <w:p>
      <w:pPr>
        <w:spacing w:after="80" w:before="80"/>
      </w:pPr>
      <w:r>
        <w:rPr>
          <w:rFonts w:ascii="Arial" w:cs="Arial" w:eastAsia="Arial" w:hAnsi="Arial"/>
          <w:sz w:val="22"/>
          <w:szCs w:val="22"/>
        </w:rPr>
        <w:t xml:space="preserve">Phishing attacks use deceptive emails or websites to trick users into revealing credentials or executing malicious payloads. Spear phishing targets specific individuals using personalised information. In this project, a phishing template was created using the Social Engineering Toolkit (SET) in Kali Linux to demonstrate how convincing phishing attacks are constructed — this is used for educational analysis only.</w:t>
      </w:r>
    </w:p>
    <w:p>
      <w:pPr>
        <w:spacing w:after="80" w:before="80"/>
      </w:pPr>
    </w:p>
    <w:p>
      <w:pPr>
        <w:spacing w:after="80" w:before="180"/>
      </w:pPr>
      <w:r>
        <w:rPr>
          <w:rFonts w:ascii="Arial" w:cs="Arial" w:eastAsia="Arial" w:hAnsi="Arial"/>
          <w:b/>
          <w:bCs/>
          <w:color w:val="2E75B6"/>
          <w:sz w:val="22"/>
          <w:szCs w:val="22"/>
        </w:rPr>
        <w:t xml:space="preserve">Detection</w:t>
      </w:r>
    </w:p>
    <w:p>
      <w:pPr>
        <w:pStyle w:val="ListParagraph"/>
        <w:numPr>
          <w:ilvl w:val="0"/>
          <w:numId w:val="2"/>
        </w:numPr>
        <w:spacing w:after="40" w:before="40"/>
      </w:pPr>
      <w:r>
        <w:rPr>
          <w:rFonts w:ascii="Arial" w:cs="Arial" w:eastAsia="Arial" w:hAnsi="Arial"/>
          <w:b w:val="false"/>
          <w:bCs w:val="false"/>
          <w:sz w:val="22"/>
          <w:szCs w:val="22"/>
        </w:rPr>
        <w:t xml:space="preserve">Email gateway inspects SPF, DKIM, and DMARC records to identify email spoofing</w:t>
      </w:r>
    </w:p>
    <w:p>
      <w:pPr>
        <w:pStyle w:val="ListParagraph"/>
        <w:numPr>
          <w:ilvl w:val="0"/>
          <w:numId w:val="2"/>
        </w:numPr>
        <w:spacing w:after="40" w:before="40"/>
      </w:pPr>
      <w:r>
        <w:rPr>
          <w:rFonts w:ascii="Arial" w:cs="Arial" w:eastAsia="Arial" w:hAnsi="Arial"/>
          <w:b w:val="false"/>
          <w:bCs w:val="false"/>
          <w:sz w:val="22"/>
          <w:szCs w:val="22"/>
        </w:rPr>
        <w:t xml:space="preserve">Wazuh monitors browser process activity for unusual child processes (cmd.exe, powershell.exe spawned from browser)</w:t>
      </w:r>
    </w:p>
    <w:p>
      <w:pPr>
        <w:pStyle w:val="ListParagraph"/>
        <w:numPr>
          <w:ilvl w:val="0"/>
          <w:numId w:val="2"/>
        </w:numPr>
        <w:spacing w:after="40" w:before="40"/>
      </w:pPr>
      <w:r>
        <w:rPr>
          <w:rFonts w:ascii="Arial" w:cs="Arial" w:eastAsia="Arial" w:hAnsi="Arial"/>
          <w:b w:val="false"/>
          <w:bCs w:val="false"/>
          <w:sz w:val="22"/>
          <w:szCs w:val="22"/>
        </w:rPr>
        <w:t xml:space="preserve">Detection KPI: Phishing email identified and blocked before user click</w:t>
      </w:r>
    </w:p>
    <w:p>
      <w:pPr>
        <w:spacing w:after="80" w:before="80"/>
      </w:pPr>
    </w:p>
    <w:p>
      <w:pPr>
        <w:spacing w:after="80" w:before="180"/>
      </w:pPr>
      <w:r>
        <w:rPr>
          <w:rFonts w:ascii="Arial" w:cs="Arial" w:eastAsia="Arial" w:hAnsi="Arial"/>
          <w:b/>
          <w:bCs/>
          <w:color w:val="2E75B6"/>
          <w:sz w:val="22"/>
          <w:szCs w:val="22"/>
        </w:rPr>
        <w:t xml:space="preserve">Containment</w:t>
      </w:r>
    </w:p>
    <w:p>
      <w:pPr>
        <w:pStyle w:val="ListParagraph"/>
        <w:numPr>
          <w:ilvl w:val="0"/>
          <w:numId w:val="2"/>
        </w:numPr>
        <w:spacing w:after="40" w:before="40"/>
      </w:pPr>
      <w:r>
        <w:rPr>
          <w:rFonts w:ascii="Arial" w:cs="Arial" w:eastAsia="Arial" w:hAnsi="Arial"/>
          <w:b w:val="false"/>
          <w:bCs w:val="false"/>
          <w:sz w:val="22"/>
          <w:szCs w:val="22"/>
        </w:rPr>
        <w:t xml:space="preserve">Disable the potentially compromised user account immediately in Active Directory / OCI Identity</w:t>
      </w:r>
    </w:p>
    <w:p>
      <w:pPr>
        <w:pStyle w:val="ListParagraph"/>
        <w:numPr>
          <w:ilvl w:val="0"/>
          <w:numId w:val="2"/>
        </w:numPr>
        <w:spacing w:after="40" w:before="40"/>
      </w:pPr>
      <w:r>
        <w:rPr>
          <w:rFonts w:ascii="Arial" w:cs="Arial" w:eastAsia="Arial" w:hAnsi="Arial"/>
          <w:b w:val="false"/>
          <w:bCs w:val="false"/>
          <w:sz w:val="22"/>
          <w:szCs w:val="22"/>
        </w:rPr>
        <w:t xml:space="preserve">Block the phishing URL at the network level via OCI Web Application Firewall or DNS sinkholing</w:t>
      </w:r>
    </w:p>
    <w:p>
      <w:pPr>
        <w:pStyle w:val="ListParagraph"/>
        <w:numPr>
          <w:ilvl w:val="0"/>
          <w:numId w:val="2"/>
        </w:numPr>
        <w:spacing w:after="40" w:before="40"/>
      </w:pPr>
      <w:r>
        <w:rPr>
          <w:rFonts w:ascii="Arial" w:cs="Arial" w:eastAsia="Arial" w:hAnsi="Arial"/>
          <w:b w:val="false"/>
          <w:bCs w:val="false"/>
          <w:sz w:val="22"/>
          <w:szCs w:val="22"/>
        </w:rPr>
        <w:t xml:space="preserve">Preserve the original phishing email as evidence (.eml format) before any deletion</w:t>
      </w:r>
    </w:p>
    <w:p>
      <w:pPr>
        <w:pStyle w:val="ListParagraph"/>
        <w:numPr>
          <w:ilvl w:val="0"/>
          <w:numId w:val="2"/>
        </w:numPr>
        <w:spacing w:after="40" w:before="40"/>
      </w:pPr>
      <w:r>
        <w:rPr>
          <w:rFonts w:ascii="Arial" w:cs="Arial" w:eastAsia="Arial" w:hAnsi="Arial"/>
          <w:b w:val="false"/>
          <w:bCs w:val="false"/>
          <w:sz w:val="22"/>
          <w:szCs w:val="22"/>
        </w:rPr>
        <w:t xml:space="preserve">Containment KPI: Compromised account disabled within 15 minutes of detection</w:t>
      </w:r>
    </w:p>
    <w:p>
      <w:pPr>
        <w:spacing w:after="80" w:before="80"/>
      </w:pPr>
    </w:p>
    <w:p>
      <w:pPr>
        <w:spacing w:after="80" w:before="180"/>
      </w:pPr>
      <w:r>
        <w:rPr>
          <w:rFonts w:ascii="Arial" w:cs="Arial" w:eastAsia="Arial" w:hAnsi="Arial"/>
          <w:b/>
          <w:bCs/>
          <w:color w:val="2E75B6"/>
          <w:sz w:val="22"/>
          <w:szCs w:val="22"/>
        </w:rPr>
        <w:t xml:space="preserve">Eradication</w:t>
      </w:r>
    </w:p>
    <w:p>
      <w:pPr>
        <w:pStyle w:val="ListParagraph"/>
        <w:numPr>
          <w:ilvl w:val="0"/>
          <w:numId w:val="2"/>
        </w:numPr>
        <w:spacing w:after="40" w:before="40"/>
      </w:pPr>
      <w:r>
        <w:rPr>
          <w:rFonts w:ascii="Arial" w:cs="Arial" w:eastAsia="Arial" w:hAnsi="Arial"/>
          <w:b w:val="false"/>
          <w:bCs w:val="false"/>
          <w:sz w:val="22"/>
          <w:szCs w:val="22"/>
        </w:rPr>
        <w:t xml:space="preserve">Analyse email headers to trace the origin and identify the phishing infrastructure</w:t>
      </w:r>
    </w:p>
    <w:p>
      <w:pPr>
        <w:pStyle w:val="ListParagraph"/>
        <w:numPr>
          <w:ilvl w:val="0"/>
          <w:numId w:val="2"/>
        </w:numPr>
        <w:spacing w:after="40" w:before="40"/>
      </w:pPr>
      <w:r>
        <w:rPr>
          <w:rFonts w:ascii="Arial" w:cs="Arial" w:eastAsia="Arial" w:hAnsi="Arial"/>
          <w:b w:val="false"/>
          <w:bCs w:val="false"/>
          <w:sz w:val="22"/>
          <w:szCs w:val="22"/>
        </w:rPr>
        <w:t xml:space="preserve">Search mail server logs for any other users who received the same phishing campaign</w:t>
      </w:r>
    </w:p>
    <w:p>
      <w:pPr>
        <w:pStyle w:val="ListParagraph"/>
        <w:numPr>
          <w:ilvl w:val="0"/>
          <w:numId w:val="2"/>
        </w:numPr>
        <w:spacing w:after="40" w:before="40"/>
      </w:pPr>
      <w:r>
        <w:rPr>
          <w:rFonts w:ascii="Arial" w:cs="Arial" w:eastAsia="Arial" w:hAnsi="Arial"/>
          <w:b w:val="false"/>
          <w:bCs w:val="false"/>
          <w:sz w:val="22"/>
          <w:szCs w:val="22"/>
        </w:rPr>
        <w:t xml:space="preserve">Check for persistence mechanisms — new email forwarding rules, OAuth token grants, or browser extensions installed</w:t>
      </w:r>
    </w:p>
    <w:p>
      <w:pPr>
        <w:pStyle w:val="ListParagraph"/>
        <w:numPr>
          <w:ilvl w:val="0"/>
          <w:numId w:val="2"/>
        </w:numPr>
        <w:spacing w:after="40" w:before="40"/>
      </w:pPr>
      <w:r>
        <w:rPr>
          <w:rFonts w:ascii="Arial" w:cs="Arial" w:eastAsia="Arial" w:hAnsi="Arial"/>
          <w:b w:val="false"/>
          <w:bCs w:val="false"/>
          <w:sz w:val="22"/>
          <w:szCs w:val="22"/>
        </w:rPr>
        <w:t xml:space="preserve">Submit phishing domain to Google Safe Browsing, Microsoft, and the Anti-Phishing Working Group (APWG)</w:t>
      </w:r>
    </w:p>
    <w:p>
      <w:pPr>
        <w:spacing w:after="80" w:before="80"/>
      </w:pPr>
    </w:p>
    <w:p>
      <w:pPr>
        <w:spacing w:after="80" w:before="180"/>
      </w:pPr>
      <w:r>
        <w:rPr>
          <w:rFonts w:ascii="Arial" w:cs="Arial" w:eastAsia="Arial" w:hAnsi="Arial"/>
          <w:b/>
          <w:bCs/>
          <w:color w:val="2E75B6"/>
          <w:sz w:val="22"/>
          <w:szCs w:val="22"/>
        </w:rPr>
        <w:t xml:space="preserve">Recovery</w:t>
      </w:r>
    </w:p>
    <w:p>
      <w:pPr>
        <w:pStyle w:val="ListParagraph"/>
        <w:numPr>
          <w:ilvl w:val="0"/>
          <w:numId w:val="2"/>
        </w:numPr>
        <w:spacing w:after="40" w:before="40"/>
      </w:pPr>
      <w:r>
        <w:rPr>
          <w:rFonts w:ascii="Arial" w:cs="Arial" w:eastAsia="Arial" w:hAnsi="Arial"/>
          <w:b w:val="false"/>
          <w:bCs w:val="false"/>
          <w:sz w:val="22"/>
          <w:szCs w:val="22"/>
        </w:rPr>
        <w:t xml:space="preserve">Restore account access with mandatory MFA enrollment before re-enabling</w:t>
      </w:r>
    </w:p>
    <w:p>
      <w:pPr>
        <w:pStyle w:val="ListParagraph"/>
        <w:numPr>
          <w:ilvl w:val="0"/>
          <w:numId w:val="2"/>
        </w:numPr>
        <w:spacing w:after="40" w:before="40"/>
      </w:pPr>
      <w:r>
        <w:rPr>
          <w:rFonts w:ascii="Arial" w:cs="Arial" w:eastAsia="Arial" w:hAnsi="Arial"/>
          <w:b w:val="false"/>
          <w:bCs w:val="false"/>
          <w:sz w:val="22"/>
          <w:szCs w:val="22"/>
        </w:rPr>
        <w:t xml:space="preserve">Notify the affected user and provide security awareness training</w:t>
      </w:r>
    </w:p>
    <w:p>
      <w:pPr>
        <w:pStyle w:val="ListParagraph"/>
        <w:numPr>
          <w:ilvl w:val="0"/>
          <w:numId w:val="2"/>
        </w:numPr>
        <w:spacing w:after="40" w:before="40"/>
      </w:pPr>
      <w:r>
        <w:rPr>
          <w:rFonts w:ascii="Arial" w:cs="Arial" w:eastAsia="Arial" w:hAnsi="Arial"/>
          <w:b w:val="false"/>
          <w:bCs w:val="false"/>
          <w:sz w:val="22"/>
          <w:szCs w:val="22"/>
        </w:rPr>
        <w:t xml:space="preserve">Recovery KPI: User account restored with MFA within 4 hours</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IRP-4  —  Denial of Service (DoS / DDoS)</w:t>
      </w:r>
    </w:p>
    <w:p>
      <w:pPr>
        <w:spacing w:after="80" w:before="180"/>
      </w:pPr>
      <w:r>
        <w:rPr>
          <w:rFonts w:ascii="Arial" w:cs="Arial" w:eastAsia="Arial" w:hAnsi="Arial"/>
          <w:b/>
          <w:bCs/>
          <w:color w:val="2E75B6"/>
          <w:sz w:val="22"/>
          <w:szCs w:val="22"/>
        </w:rPr>
        <w:t xml:space="preserve">Attack Overview</w:t>
      </w:r>
    </w:p>
    <w:p>
      <w:pPr>
        <w:spacing w:after="80" w:before="80"/>
      </w:pPr>
      <w:r>
        <w:rPr>
          <w:rFonts w:ascii="Arial" w:cs="Arial" w:eastAsia="Arial" w:hAnsi="Arial"/>
          <w:sz w:val="22"/>
          <w:szCs w:val="22"/>
        </w:rPr>
        <w:t xml:space="preserve">Classification: Availability Attack / Network Flood  |  MITRE ATT&amp;CK: T1498 — Network Denial of Service  |  T1499 — Endpoint Denial of Service</w:t>
      </w:r>
    </w:p>
    <w:p>
      <w:pPr>
        <w:spacing w:after="80" w:before="80"/>
      </w:pPr>
      <w:r>
        <w:rPr>
          <w:rFonts w:ascii="Arial" w:cs="Arial" w:eastAsia="Arial" w:hAnsi="Arial"/>
          <w:sz w:val="22"/>
          <w:szCs w:val="22"/>
        </w:rPr>
        <w:t xml:space="preserve">A DoS attack overwhelms a system to prevent legitimate use. DDoS uses botnets of thousands of compromised machines to amplify the attack. Attack types include volumetric floods (SYN, UDP, ICMP), protocol attacks (Ping of Death), and application-layer attacks (Slowloris, HTTP GET flood). This attack targets the 'A' (Availability) pillar of the CIA Triad.</w:t>
      </w:r>
    </w:p>
    <w:p>
      <w:pPr>
        <w:spacing w:after="80" w:before="80"/>
      </w:pPr>
    </w:p>
    <w:p>
      <w:pPr>
        <w:spacing w:after="80" w:before="180"/>
      </w:pPr>
      <w:r>
        <w:rPr>
          <w:rFonts w:ascii="Arial" w:cs="Arial" w:eastAsia="Arial" w:hAnsi="Arial"/>
          <w:b/>
          <w:bCs/>
          <w:color w:val="2E75B6"/>
          <w:sz w:val="22"/>
          <w:szCs w:val="22"/>
        </w:rPr>
        <w:t xml:space="preserve">Detection</w:t>
      </w:r>
    </w:p>
    <w:p>
      <w:pPr>
        <w:pStyle w:val="ListParagraph"/>
        <w:numPr>
          <w:ilvl w:val="0"/>
          <w:numId w:val="2"/>
        </w:numPr>
        <w:spacing w:after="40" w:before="40"/>
      </w:pPr>
      <w:r>
        <w:rPr>
          <w:rFonts w:ascii="Arial" w:cs="Arial" w:eastAsia="Arial" w:hAnsi="Arial"/>
          <w:b w:val="false"/>
          <w:bCs w:val="false"/>
          <w:sz w:val="22"/>
          <w:szCs w:val="22"/>
        </w:rPr>
        <w:t xml:space="preserve">OCI network metrics monitor for abnormal inbound traffic volume</w:t>
      </w:r>
    </w:p>
    <w:p>
      <w:pPr>
        <w:pStyle w:val="ListParagraph"/>
        <w:numPr>
          <w:ilvl w:val="0"/>
          <w:numId w:val="2"/>
        </w:numPr>
        <w:spacing w:after="40" w:before="40"/>
      </w:pPr>
      <w:r>
        <w:rPr>
          <w:rFonts w:ascii="Arial" w:cs="Arial" w:eastAsia="Arial" w:hAnsi="Arial"/>
          <w:b w:val="false"/>
          <w:bCs w:val="false"/>
          <w:sz w:val="22"/>
          <w:szCs w:val="22"/>
        </w:rPr>
        <w:t xml:space="preserve">Wazuh detects TCP flood patterns (high-frequency SYN packets from single or rotating IPs)</w:t>
      </w:r>
    </w:p>
    <w:p>
      <w:pPr>
        <w:pStyle w:val="ListParagraph"/>
        <w:numPr>
          <w:ilvl w:val="0"/>
          <w:numId w:val="2"/>
        </w:numPr>
        <w:spacing w:after="40" w:before="40"/>
      </w:pPr>
      <w:r>
        <w:rPr>
          <w:rFonts w:ascii="Arial" w:cs="Arial" w:eastAsia="Arial" w:hAnsi="Arial"/>
          <w:b w:val="false"/>
          <w:bCs w:val="false"/>
          <w:sz w:val="22"/>
          <w:szCs w:val="22"/>
        </w:rPr>
        <w:t xml:space="preserve">Grafana dashboards alert on CPU and bandwidth spikes exceeding defined thresholds</w:t>
      </w:r>
    </w:p>
    <w:p>
      <w:pPr>
        <w:pStyle w:val="ListParagraph"/>
        <w:numPr>
          <w:ilvl w:val="0"/>
          <w:numId w:val="2"/>
        </w:numPr>
        <w:spacing w:after="40" w:before="40"/>
      </w:pPr>
      <w:r>
        <w:rPr>
          <w:rFonts w:ascii="Arial" w:cs="Arial" w:eastAsia="Arial" w:hAnsi="Arial"/>
          <w:b w:val="false"/>
          <w:bCs w:val="false"/>
          <w:sz w:val="22"/>
          <w:szCs w:val="22"/>
        </w:rPr>
        <w:t xml:space="preserve">Detection KPI: Traffic anomaly detected within 30 seconds of attack start</w:t>
      </w:r>
    </w:p>
    <w:p>
      <w:pPr>
        <w:spacing w:after="80" w:before="80"/>
      </w:pPr>
    </w:p>
    <w:p>
      <w:pPr>
        <w:spacing w:after="80" w:before="180"/>
      </w:pPr>
      <w:r>
        <w:rPr>
          <w:rFonts w:ascii="Arial" w:cs="Arial" w:eastAsia="Arial" w:hAnsi="Arial"/>
          <w:b/>
          <w:bCs/>
          <w:color w:val="2E75B6"/>
          <w:sz w:val="22"/>
          <w:szCs w:val="22"/>
        </w:rPr>
        <w:t xml:space="preserve">Containment</w:t>
      </w:r>
    </w:p>
    <w:p>
      <w:pPr>
        <w:pStyle w:val="ListParagraph"/>
        <w:numPr>
          <w:ilvl w:val="0"/>
          <w:numId w:val="2"/>
        </w:numPr>
        <w:spacing w:after="40" w:before="40"/>
      </w:pPr>
      <w:r>
        <w:rPr>
          <w:rFonts w:ascii="Arial" w:cs="Arial" w:eastAsia="Arial" w:hAnsi="Arial"/>
          <w:b w:val="false"/>
          <w:bCs w:val="false"/>
          <w:sz w:val="22"/>
          <w:szCs w:val="22"/>
        </w:rPr>
        <w:t xml:space="preserve">Apply OCI rate-limiting rules to throttle inbound traffic from attack source IPs</w:t>
      </w:r>
    </w:p>
    <w:p>
      <w:pPr>
        <w:pStyle w:val="ListParagraph"/>
        <w:numPr>
          <w:ilvl w:val="0"/>
          <w:numId w:val="2"/>
        </w:numPr>
        <w:spacing w:after="40" w:before="40"/>
      </w:pPr>
      <w:r>
        <w:rPr>
          <w:rFonts w:ascii="Arial" w:cs="Arial" w:eastAsia="Arial" w:hAnsi="Arial"/>
          <w:b w:val="false"/>
          <w:bCs w:val="false"/>
          <w:sz w:val="22"/>
          <w:szCs w:val="22"/>
        </w:rPr>
        <w:t xml:space="preserve">Enable geo-blocking on OCI if attack traffic originates from specific regions</w:t>
      </w:r>
    </w:p>
    <w:p>
      <w:pPr>
        <w:pStyle w:val="ListParagraph"/>
        <w:numPr>
          <w:ilvl w:val="0"/>
          <w:numId w:val="2"/>
        </w:numPr>
        <w:spacing w:after="40" w:before="40"/>
      </w:pPr>
      <w:r>
        <w:rPr>
          <w:rFonts w:ascii="Arial" w:cs="Arial" w:eastAsia="Arial" w:hAnsi="Arial"/>
          <w:b w:val="false"/>
          <w:bCs w:val="false"/>
          <w:sz w:val="22"/>
          <w:szCs w:val="22"/>
        </w:rPr>
        <w:t xml:space="preserve">Contact OCI support to engage network-level DDoS scrubbing if attack volume exceeds VM capacity</w:t>
      </w:r>
    </w:p>
    <w:p>
      <w:pPr>
        <w:pStyle w:val="ListParagraph"/>
        <w:numPr>
          <w:ilvl w:val="0"/>
          <w:numId w:val="2"/>
        </w:numPr>
        <w:spacing w:after="40" w:before="40"/>
      </w:pPr>
      <w:r>
        <w:rPr>
          <w:rFonts w:ascii="Arial" w:cs="Arial" w:eastAsia="Arial" w:hAnsi="Arial"/>
          <w:b w:val="false"/>
          <w:bCs w:val="false"/>
          <w:sz w:val="22"/>
          <w:szCs w:val="22"/>
        </w:rPr>
        <w:t xml:space="preserve">Containment KPI: OCI rate-limiting rules applied within 5 minutes of detection</w:t>
      </w:r>
    </w:p>
    <w:p>
      <w:pPr>
        <w:spacing w:after="80" w:before="80"/>
      </w:pPr>
    </w:p>
    <w:p>
      <w:pPr>
        <w:spacing w:after="80" w:before="180"/>
      </w:pPr>
      <w:r>
        <w:rPr>
          <w:rFonts w:ascii="Arial" w:cs="Arial" w:eastAsia="Arial" w:hAnsi="Arial"/>
          <w:b/>
          <w:bCs/>
          <w:color w:val="2E75B6"/>
          <w:sz w:val="22"/>
          <w:szCs w:val="22"/>
        </w:rPr>
        <w:t xml:space="preserve">Eradication</w:t>
      </w:r>
    </w:p>
    <w:p>
      <w:pPr>
        <w:pStyle w:val="ListParagraph"/>
        <w:numPr>
          <w:ilvl w:val="0"/>
          <w:numId w:val="2"/>
        </w:numPr>
        <w:spacing w:after="40" w:before="40"/>
      </w:pPr>
      <w:r>
        <w:rPr>
          <w:rFonts w:ascii="Arial" w:cs="Arial" w:eastAsia="Arial" w:hAnsi="Arial"/>
          <w:b w:val="false"/>
          <w:bCs w:val="false"/>
          <w:sz w:val="22"/>
          <w:szCs w:val="22"/>
        </w:rPr>
        <w:t xml:space="preserve">Analyse OCI VCN Flow Logs to identify all source IPs and add them to the blocklist</w:t>
      </w:r>
    </w:p>
    <w:p>
      <w:pPr>
        <w:pStyle w:val="ListParagraph"/>
        <w:numPr>
          <w:ilvl w:val="0"/>
          <w:numId w:val="2"/>
        </w:numPr>
        <w:spacing w:after="40" w:before="40"/>
      </w:pPr>
      <w:r>
        <w:rPr>
          <w:rFonts w:ascii="Arial" w:cs="Arial" w:eastAsia="Arial" w:hAnsi="Arial"/>
          <w:b w:val="false"/>
          <w:bCs w:val="false"/>
          <w:sz w:val="22"/>
          <w:szCs w:val="22"/>
        </w:rPr>
        <w:t xml:space="preserve">Patch any exposed UDP or ICMP protocols that may be amplifying the attack</w:t>
      </w:r>
    </w:p>
    <w:p>
      <w:pPr>
        <w:pStyle w:val="ListParagraph"/>
        <w:numPr>
          <w:ilvl w:val="0"/>
          <w:numId w:val="2"/>
        </w:numPr>
        <w:spacing w:after="40" w:before="40"/>
      </w:pPr>
      <w:r>
        <w:rPr>
          <w:rFonts w:ascii="Arial" w:cs="Arial" w:eastAsia="Arial" w:hAnsi="Arial"/>
          <w:b w:val="false"/>
          <w:bCs w:val="false"/>
          <w:sz w:val="22"/>
          <w:szCs w:val="22"/>
        </w:rPr>
        <w:t xml:space="preserve">Review and harden OCI Security Lists — management ports (Wazuh 443, n8n 5678, Grafana 3000) are already restricted to admin IP</w:t>
      </w:r>
    </w:p>
    <w:p>
      <w:pPr>
        <w:spacing w:after="80" w:before="80"/>
      </w:pPr>
    </w:p>
    <w:p>
      <w:pPr>
        <w:spacing w:after="80" w:before="180"/>
      </w:pPr>
      <w:r>
        <w:rPr>
          <w:rFonts w:ascii="Arial" w:cs="Arial" w:eastAsia="Arial" w:hAnsi="Arial"/>
          <w:b/>
          <w:bCs/>
          <w:color w:val="2E75B6"/>
          <w:sz w:val="22"/>
          <w:szCs w:val="22"/>
        </w:rPr>
        <w:t xml:space="preserve">Recovery</w:t>
      </w:r>
    </w:p>
    <w:p>
      <w:pPr>
        <w:pStyle w:val="ListParagraph"/>
        <w:numPr>
          <w:ilvl w:val="0"/>
          <w:numId w:val="2"/>
        </w:numPr>
        <w:spacing w:after="40" w:before="40"/>
      </w:pPr>
      <w:r>
        <w:rPr>
          <w:rFonts w:ascii="Arial" w:cs="Arial" w:eastAsia="Arial" w:hAnsi="Arial"/>
          <w:b w:val="false"/>
          <w:bCs w:val="false"/>
          <w:sz w:val="22"/>
          <w:szCs w:val="22"/>
        </w:rPr>
        <w:t xml:space="preserve">Gradually restore full service availability, monitoring for residual attack traffic</w:t>
      </w:r>
    </w:p>
    <w:p>
      <w:pPr>
        <w:pStyle w:val="ListParagraph"/>
        <w:numPr>
          <w:ilvl w:val="0"/>
          <w:numId w:val="2"/>
        </w:numPr>
        <w:spacing w:after="40" w:before="40"/>
      </w:pPr>
      <w:r>
        <w:rPr>
          <w:rFonts w:ascii="Arial" w:cs="Arial" w:eastAsia="Arial" w:hAnsi="Arial"/>
          <w:b w:val="false"/>
          <w:bCs w:val="false"/>
          <w:sz w:val="22"/>
          <w:szCs w:val="22"/>
        </w:rPr>
        <w:t xml:space="preserve">Maintain 24-48 hour enhanced monitoring after attack subsides</w:t>
      </w:r>
    </w:p>
    <w:p>
      <w:pPr>
        <w:pStyle w:val="ListParagraph"/>
        <w:numPr>
          <w:ilvl w:val="0"/>
          <w:numId w:val="2"/>
        </w:numPr>
        <w:spacing w:after="40" w:before="40"/>
      </w:pPr>
      <w:r>
        <w:rPr>
          <w:rFonts w:ascii="Arial" w:cs="Arial" w:eastAsia="Arial" w:hAnsi="Arial"/>
          <w:b w:val="false"/>
          <w:bCs w:val="false"/>
          <w:sz w:val="22"/>
          <w:szCs w:val="22"/>
        </w:rPr>
        <w:t xml:space="preserve">Recovery KPI: Full service availability restored within 30 minutes</w:t>
      </w:r>
    </w:p>
    <w:p>
      <w:pPr>
        <w:pStyle w:val="ListParagraph"/>
        <w:numPr>
          <w:ilvl w:val="0"/>
          <w:numId w:val="2"/>
        </w:numPr>
        <w:spacing w:after="40" w:before="40"/>
      </w:pPr>
      <w:r>
        <w:rPr>
          <w:rFonts w:ascii="Arial" w:cs="Arial" w:eastAsia="Arial" w:hAnsi="Arial"/>
          <w:b w:val="false"/>
          <w:bCs w:val="false"/>
          <w:sz w:val="22"/>
          <w:szCs w:val="22"/>
        </w:rPr>
        <w:t xml:space="preserve">Submit post-incident report — document total downtime, impact on availability KPI, and any additional OCI resource costs</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IRP Master Summary — All Four Attack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Type</w:t>
            </w:r>
          </w:p>
        </w:tc>
        <w:tc>
          <w:tcPr>
            <w:tcW w:type="dxa" w:w="189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189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Containment</w:t>
            </w:r>
          </w:p>
        </w:tc>
        <w:tc>
          <w:tcPr>
            <w:tcW w:type="dxa" w:w="189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Eradication</w:t>
            </w:r>
          </w:p>
        </w:tc>
        <w:tc>
          <w:tcPr>
            <w:tcW w:type="dxa" w:w="189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Brute-Force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Event ID 4625, ≥5 in 60s → Level 10 alert</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 → OCI NSG block &lt;30s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block, FIM check, rule update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Snapshot review, NSG rule 7 days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Malware / Ransomware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Wazuh FIM mass-change alert, VirusTotal hash check</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OCI NSG isolate VM &lt;2 min</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Forensic snapshot, ID Ransomware, No More Ransom</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Rebuild from clean snapshot, update FIM</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Phishing</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gateway SPF/DKIM/DMARC, Wazuh browser monitoring</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 account, block URL, preserve .eml</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Analyse headers, find campaign, check persistence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MFA enforced, user notified, training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DoS / DDoS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OCI metrics, Wazuh TCP flood, Grafana CPU/BW spikes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OCI rate-limiting, geo-block, OCI support</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Flow log analysis, IP blocklist, protocol patch</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Gradual restore, 24-48h monitoring</w:t>
            </w:r>
          </w:p>
        </w:tc>
      </w:tr>
    </w:tbl>
    <w:p>
      <w:pPr>
        <w:spacing w:after="80" w:before="80"/>
      </w:pPr>
    </w:p>
    <w:p>
      <w:r>
        <w:br w:type="page"/>
      </w:r>
    </w:p>
    <w:p>
      <w:pPr>
        <w:pStyle w:val="Heading1"/>
        <w:shd w:fill="1F3864" w:val="clear"/>
        <w:spacing w:after="160" w:before="320"/>
        <w:ind w:left="200" w:right="200"/>
      </w:pPr>
      <w:r>
        <w:rPr>
          <w:rFonts w:ascii="Arial" w:cs="Arial" w:eastAsia="Arial" w:hAnsi="Arial"/>
          <w:b/>
          <w:bCs/>
          <w:color w:val="FFFFFF"/>
          <w:sz w:val="32"/>
          <w:szCs w:val="32"/>
        </w:rPr>
        <w:t xml:space="preserve">PART 2 — COMPREHENSIVE SECURITY POLICY  (Rubric R1b)</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2.1  Policy Purpose &amp; Scope</w:t>
      </w:r>
    </w:p>
    <w:p>
      <w:pPr>
        <w:spacing w:after="80" w:before="80"/>
      </w:pPr>
      <w:r>
        <w:rPr>
          <w:rFonts w:ascii="Arial" w:cs="Arial" w:eastAsia="Arial" w:hAnsi="Arial"/>
          <w:sz w:val="22"/>
          <w:szCs w:val="22"/>
        </w:rPr>
        <w:t xml:space="preserve">This Security Policy governs all systems, data, and personnel associated with the Autonomous Cloud SOC &amp; Threat Intelligence System. It applies to the OCI Linux VM, Windows Honeypot VM, Wazuh SIEM, n8n SOAR, OpenCTI, Grafana, and all network infrastructure within the OCI Virtual Cloud Network (VCN).</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2.2  Security Rules &amp; Guidelines</w:t>
      </w:r>
    </w:p>
    <w:p>
      <w:pPr>
        <w:spacing w:after="80" w:before="180"/>
      </w:pPr>
      <w:r>
        <w:rPr>
          <w:rFonts w:ascii="Arial" w:cs="Arial" w:eastAsia="Arial" w:hAnsi="Arial"/>
          <w:b/>
          <w:bCs/>
          <w:color w:val="2E75B6"/>
          <w:sz w:val="22"/>
          <w:szCs w:val="22"/>
        </w:rPr>
        <w:t xml:space="preserve">Rule 1 — Access Control &amp; Least Privilege</w:t>
      </w:r>
    </w:p>
    <w:p>
      <w:pPr>
        <w:pStyle w:val="ListParagraph"/>
        <w:numPr>
          <w:ilvl w:val="0"/>
          <w:numId w:val="2"/>
        </w:numPr>
        <w:spacing w:after="40" w:before="40"/>
      </w:pPr>
      <w:r>
        <w:rPr>
          <w:rFonts w:ascii="Arial" w:cs="Arial" w:eastAsia="Arial" w:hAnsi="Arial"/>
          <w:b w:val="false"/>
          <w:bCs w:val="false"/>
          <w:sz w:val="22"/>
          <w:szCs w:val="22"/>
        </w:rPr>
        <w:t xml:space="preserve">All administrative access to the OCI console, Wazuh Dashboard, n8n, and Grafana must be authenticated with strong passwords (minimum 16 characters, mixed case, numbers, and symbols) and MFA enabled</w:t>
      </w:r>
    </w:p>
    <w:p>
      <w:pPr>
        <w:pStyle w:val="ListParagraph"/>
        <w:numPr>
          <w:ilvl w:val="0"/>
          <w:numId w:val="2"/>
        </w:numPr>
        <w:spacing w:after="40" w:before="40"/>
      </w:pPr>
      <w:r>
        <w:rPr>
          <w:rFonts w:ascii="Arial" w:cs="Arial" w:eastAsia="Arial" w:hAnsi="Arial"/>
          <w:b w:val="false"/>
          <w:bCs w:val="false"/>
          <w:sz w:val="22"/>
          <w:szCs w:val="22"/>
        </w:rPr>
        <w:t xml:space="preserve">Management service ports (Wazuh 443, n8n 5678, Grafana 3000) are restricted to the administrator's registered public IP address via OCI Security Lists — no public access is permitted</w:t>
      </w:r>
    </w:p>
    <w:p>
      <w:pPr>
        <w:pStyle w:val="ListParagraph"/>
        <w:numPr>
          <w:ilvl w:val="0"/>
          <w:numId w:val="2"/>
        </w:numPr>
        <w:spacing w:after="40" w:before="40"/>
      </w:pPr>
      <w:r>
        <w:rPr>
          <w:rFonts w:ascii="Arial" w:cs="Arial" w:eastAsia="Arial" w:hAnsi="Arial"/>
          <w:b w:val="false"/>
          <w:bCs w:val="false"/>
          <w:sz w:val="22"/>
          <w:szCs w:val="22"/>
        </w:rPr>
        <w:t xml:space="preserve">The Windows Honeypot VM is intentionally exposed on RDP port 3389 for research purposes only. No production data or real credentials are stored on this VM</w:t>
      </w:r>
    </w:p>
    <w:p>
      <w:pPr>
        <w:pStyle w:val="ListParagraph"/>
        <w:numPr>
          <w:ilvl w:val="0"/>
          <w:numId w:val="2"/>
        </w:numPr>
        <w:spacing w:after="40" w:before="40"/>
      </w:pPr>
      <w:r>
        <w:rPr>
          <w:rFonts w:ascii="Arial" w:cs="Arial" w:eastAsia="Arial" w:hAnsi="Arial"/>
          <w:b w:val="false"/>
          <w:bCs w:val="false"/>
          <w:sz w:val="22"/>
          <w:szCs w:val="22"/>
        </w:rPr>
        <w:t xml:space="preserve">SSH access to the OCI Linux VM uses key-based authentication only; password-based SSH is disabled</w:t>
      </w:r>
    </w:p>
    <w:p>
      <w:pPr>
        <w:pStyle w:val="ListParagraph"/>
        <w:numPr>
          <w:ilvl w:val="0"/>
          <w:numId w:val="2"/>
        </w:numPr>
        <w:spacing w:after="40" w:before="40"/>
      </w:pPr>
      <w:r>
        <w:rPr>
          <w:rFonts w:ascii="Arial" w:cs="Arial" w:eastAsia="Arial" w:hAnsi="Arial"/>
          <w:b w:val="false"/>
          <w:bCs w:val="false"/>
          <w:sz w:val="22"/>
          <w:szCs w:val="22"/>
        </w:rPr>
        <w:t xml:space="preserve">API keys and secrets (OCI API key, AbuseIPDB key, VirusTotal key) are stored as environment variables, never hardcoded in scripts or committed to public repositories</w:t>
      </w:r>
    </w:p>
    <w:p>
      <w:pPr>
        <w:spacing w:after="80" w:before="80"/>
      </w:pPr>
    </w:p>
    <w:p>
      <w:pPr>
        <w:spacing w:after="80" w:before="180"/>
      </w:pPr>
      <w:r>
        <w:rPr>
          <w:rFonts w:ascii="Arial" w:cs="Arial" w:eastAsia="Arial" w:hAnsi="Arial"/>
          <w:b/>
          <w:bCs/>
          <w:color w:val="2E75B6"/>
          <w:sz w:val="22"/>
          <w:szCs w:val="22"/>
        </w:rPr>
        <w:t xml:space="preserve">Rule 2 — Data Integrity &amp; Encryption</w:t>
      </w:r>
    </w:p>
    <w:p>
      <w:pPr>
        <w:pStyle w:val="ListParagraph"/>
        <w:numPr>
          <w:ilvl w:val="0"/>
          <w:numId w:val="2"/>
        </w:numPr>
        <w:spacing w:after="40" w:before="40"/>
      </w:pPr>
      <w:r>
        <w:rPr>
          <w:rFonts w:ascii="Arial" w:cs="Arial" w:eastAsia="Arial" w:hAnsi="Arial"/>
          <w:b w:val="false"/>
          <w:bCs w:val="false"/>
          <w:sz w:val="22"/>
          <w:szCs w:val="22"/>
        </w:rPr>
        <w:t xml:space="preserve">All data at rest on the OCI VM is protected using OCI Block Volume encryption (AES-256), enabled by default on all OCI storage volumes</w:t>
      </w:r>
    </w:p>
    <w:p>
      <w:pPr>
        <w:pStyle w:val="ListParagraph"/>
        <w:numPr>
          <w:ilvl w:val="0"/>
          <w:numId w:val="2"/>
        </w:numPr>
        <w:spacing w:after="40" w:before="40"/>
      </w:pPr>
      <w:r>
        <w:rPr>
          <w:rFonts w:ascii="Arial" w:cs="Arial" w:eastAsia="Arial" w:hAnsi="Arial"/>
          <w:b w:val="false"/>
          <w:bCs w:val="false"/>
          <w:sz w:val="22"/>
          <w:szCs w:val="22"/>
        </w:rPr>
        <w:t xml:space="preserve">All data in transit between system components uses TLS 1.2 or higher; unencrypted HTTP connections are not permitted for management interfaces</w:t>
      </w:r>
    </w:p>
    <w:p>
      <w:pPr>
        <w:pStyle w:val="ListParagraph"/>
        <w:numPr>
          <w:ilvl w:val="0"/>
          <w:numId w:val="2"/>
        </w:numPr>
        <w:spacing w:after="40" w:before="40"/>
      </w:pPr>
      <w:r>
        <w:rPr>
          <w:rFonts w:ascii="Arial" w:cs="Arial" w:eastAsia="Arial" w:hAnsi="Arial"/>
          <w:b w:val="false"/>
          <w:bCs w:val="false"/>
          <w:sz w:val="22"/>
          <w:szCs w:val="22"/>
        </w:rPr>
        <w:t xml:space="preserve">Incident evidence files, log exports, and threat intelligence data are stored in a dedicated GitHub repository with commit signing enabled</w:t>
      </w:r>
    </w:p>
    <w:p>
      <w:pPr>
        <w:pStyle w:val="ListParagraph"/>
        <w:numPr>
          <w:ilvl w:val="0"/>
          <w:numId w:val="2"/>
        </w:numPr>
        <w:spacing w:after="40" w:before="40"/>
      </w:pPr>
      <w:r>
        <w:rPr>
          <w:rFonts w:ascii="Arial" w:cs="Arial" w:eastAsia="Arial" w:hAnsi="Arial"/>
          <w:b w:val="false"/>
          <w:bCs w:val="false"/>
          <w:sz w:val="22"/>
          <w:szCs w:val="22"/>
        </w:rPr>
        <w:t xml:space="preserve">System snapshots are taken weekly and before any major configuration change; snapshots are retained for a minimum of 30 days</w:t>
      </w:r>
    </w:p>
    <w:p>
      <w:pPr>
        <w:pStyle w:val="ListParagraph"/>
        <w:numPr>
          <w:ilvl w:val="0"/>
          <w:numId w:val="2"/>
        </w:numPr>
        <w:spacing w:after="40" w:before="40"/>
      </w:pPr>
      <w:r>
        <w:rPr>
          <w:rFonts w:ascii="Arial" w:cs="Arial" w:eastAsia="Arial" w:hAnsi="Arial"/>
          <w:b w:val="false"/>
          <w:bCs w:val="false"/>
          <w:sz w:val="22"/>
          <w:szCs w:val="22"/>
        </w:rPr>
        <w:t xml:space="preserve">Wazuh log retention is set to 14 days to balance forensic capability with storage constraints (200GB OCI boot volume)</w:t>
      </w:r>
    </w:p>
    <w:p>
      <w:pPr>
        <w:spacing w:after="80" w:before="80"/>
      </w:pPr>
    </w:p>
    <w:p>
      <w:pPr>
        <w:spacing w:after="80" w:before="180"/>
      </w:pPr>
      <w:r>
        <w:rPr>
          <w:rFonts w:ascii="Arial" w:cs="Arial" w:eastAsia="Arial" w:hAnsi="Arial"/>
          <w:b/>
          <w:bCs/>
          <w:color w:val="2E75B6"/>
          <w:sz w:val="22"/>
          <w:szCs w:val="22"/>
        </w:rPr>
        <w:t xml:space="preserve">Rule 3 — Vulnerability Management &amp; Patching</w:t>
      </w:r>
    </w:p>
    <w:p>
      <w:pPr>
        <w:pStyle w:val="ListParagraph"/>
        <w:numPr>
          <w:ilvl w:val="0"/>
          <w:numId w:val="2"/>
        </w:numPr>
        <w:spacing w:after="40" w:before="40"/>
      </w:pPr>
      <w:r>
        <w:rPr>
          <w:rFonts w:ascii="Arial" w:cs="Arial" w:eastAsia="Arial" w:hAnsi="Arial"/>
          <w:b w:val="false"/>
          <w:bCs w:val="false"/>
          <w:sz w:val="22"/>
          <w:szCs w:val="22"/>
        </w:rPr>
        <w:t xml:space="preserve">Operating system security patches are applied to the OCI Linux VM on a monthly cycle; critical (CVSS 9.0+) patches are applied within 72 hours of release</w:t>
      </w:r>
    </w:p>
    <w:p>
      <w:pPr>
        <w:pStyle w:val="ListParagraph"/>
        <w:numPr>
          <w:ilvl w:val="0"/>
          <w:numId w:val="2"/>
        </w:numPr>
        <w:spacing w:after="40" w:before="40"/>
      </w:pPr>
      <w:r>
        <w:rPr>
          <w:rFonts w:ascii="Arial" w:cs="Arial" w:eastAsia="Arial" w:hAnsi="Arial"/>
          <w:b w:val="false"/>
          <w:bCs w:val="false"/>
          <w:sz w:val="22"/>
          <w:szCs w:val="22"/>
        </w:rPr>
        <w:t xml:space="preserve">Nmap vulnerability scans are conducted against the OCI VM on a monthly basis to identify newly exposed services or misconfigurations; scans against external systems are only performed against authorised targets (scanme.nmap.org)</w:t>
      </w:r>
    </w:p>
    <w:p>
      <w:pPr>
        <w:pStyle w:val="ListParagraph"/>
        <w:numPr>
          <w:ilvl w:val="0"/>
          <w:numId w:val="2"/>
        </w:numPr>
        <w:spacing w:after="40" w:before="40"/>
      </w:pPr>
      <w:r>
        <w:rPr>
          <w:rFonts w:ascii="Arial" w:cs="Arial" w:eastAsia="Arial" w:hAnsi="Arial"/>
          <w:b w:val="false"/>
          <w:bCs w:val="false"/>
          <w:sz w:val="22"/>
          <w:szCs w:val="22"/>
        </w:rPr>
        <w:t xml:space="preserve">Docker images for Wazuh, n8n, OpenCTI, and Grafana are updated to their latest stable releases on a monthly schedule</w:t>
      </w:r>
    </w:p>
    <w:p>
      <w:pPr>
        <w:pStyle w:val="ListParagraph"/>
        <w:numPr>
          <w:ilvl w:val="0"/>
          <w:numId w:val="2"/>
        </w:numPr>
        <w:spacing w:after="40" w:before="40"/>
      </w:pPr>
      <w:r>
        <w:rPr>
          <w:rFonts w:ascii="Arial" w:cs="Arial" w:eastAsia="Arial" w:hAnsi="Arial"/>
          <w:b w:val="false"/>
          <w:bCs w:val="false"/>
          <w:sz w:val="22"/>
          <w:szCs w:val="22"/>
        </w:rPr>
        <w:t xml:space="preserve">All identified vulnerabilities are recorded in the project Risk Register with severity ratings, treatment recommendations, and remediation deadlines</w:t>
      </w:r>
    </w:p>
    <w:p>
      <w:pPr>
        <w:spacing w:after="80" w:before="80"/>
      </w:pPr>
    </w:p>
    <w:p>
      <w:pPr>
        <w:spacing w:after="80" w:before="180"/>
      </w:pPr>
      <w:r>
        <w:rPr>
          <w:rFonts w:ascii="Arial" w:cs="Arial" w:eastAsia="Arial" w:hAnsi="Arial"/>
          <w:b/>
          <w:bCs/>
          <w:color w:val="2E75B6"/>
          <w:sz w:val="22"/>
          <w:szCs w:val="22"/>
        </w:rPr>
        <w:t xml:space="preserve">Rule 4 — Incident Monitoring &amp; Alerting</w:t>
      </w:r>
    </w:p>
    <w:p>
      <w:pPr>
        <w:pStyle w:val="ListParagraph"/>
        <w:numPr>
          <w:ilvl w:val="0"/>
          <w:numId w:val="2"/>
        </w:numPr>
        <w:spacing w:after="40" w:before="40"/>
      </w:pPr>
      <w:r>
        <w:rPr>
          <w:rFonts w:ascii="Arial" w:cs="Arial" w:eastAsia="Arial" w:hAnsi="Arial"/>
          <w:b w:val="false"/>
          <w:bCs w:val="false"/>
          <w:sz w:val="22"/>
          <w:szCs w:val="22"/>
        </w:rPr>
        <w:t xml:space="preserve">Wazuh SIEM is configured to generate Level 10 or higher alerts for all critical security events; all Level 10+ alerts trigger automated n8n SOAR responses</w:t>
      </w:r>
    </w:p>
    <w:p>
      <w:pPr>
        <w:pStyle w:val="ListParagraph"/>
        <w:numPr>
          <w:ilvl w:val="0"/>
          <w:numId w:val="2"/>
        </w:numPr>
        <w:spacing w:after="40" w:before="40"/>
      </w:pPr>
      <w:r>
        <w:rPr>
          <w:rFonts w:ascii="Arial" w:cs="Arial" w:eastAsia="Arial" w:hAnsi="Arial"/>
          <w:b w:val="false"/>
          <w:bCs w:val="false"/>
          <w:sz w:val="22"/>
          <w:szCs w:val="22"/>
        </w:rPr>
        <w:t xml:space="preserve">Grafana dashboards provide real-time visibility into system health, alert volumes, and blocked IP counts; dashboards are reviewed at minimum daily during active project phases</w:t>
      </w:r>
    </w:p>
    <w:p>
      <w:pPr>
        <w:pStyle w:val="ListParagraph"/>
        <w:numPr>
          <w:ilvl w:val="0"/>
          <w:numId w:val="2"/>
        </w:numPr>
        <w:spacing w:after="40" w:before="40"/>
      </w:pPr>
      <w:r>
        <w:rPr>
          <w:rFonts w:ascii="Arial" w:cs="Arial" w:eastAsia="Arial" w:hAnsi="Arial"/>
          <w:b w:val="false"/>
          <w:bCs w:val="false"/>
          <w:sz w:val="22"/>
          <w:szCs w:val="22"/>
        </w:rPr>
        <w:t xml:space="preserve">All automated n8n workflow executions are logged with timestamps, input payload, enrichment results, and OCI API response; logs are retained for 30 days</w:t>
      </w:r>
    </w:p>
    <w:p>
      <w:pPr>
        <w:pStyle w:val="ListParagraph"/>
        <w:numPr>
          <w:ilvl w:val="0"/>
          <w:numId w:val="2"/>
        </w:numPr>
        <w:spacing w:after="40" w:before="40"/>
      </w:pPr>
      <w:r>
        <w:rPr>
          <w:rFonts w:ascii="Arial" w:cs="Arial" w:eastAsia="Arial" w:hAnsi="Arial"/>
          <w:b w:val="false"/>
          <w:bCs w:val="false"/>
          <w:sz w:val="22"/>
          <w:szCs w:val="22"/>
        </w:rPr>
        <w:t xml:space="preserve">Any alert that triggers an OCI NSG block is recorded in the incident log with the source IP, attack type, MITRE technique, and blocking timestamp</w:t>
      </w:r>
    </w:p>
    <w:p>
      <w:pPr>
        <w:spacing w:after="80" w:before="80"/>
      </w:pPr>
    </w:p>
    <w:p>
      <w:pPr>
        <w:spacing w:after="80" w:before="180"/>
      </w:pPr>
      <w:r>
        <w:rPr>
          <w:rFonts w:ascii="Arial" w:cs="Arial" w:eastAsia="Arial" w:hAnsi="Arial"/>
          <w:b/>
          <w:bCs/>
          <w:color w:val="2E75B6"/>
          <w:sz w:val="22"/>
          <w:szCs w:val="22"/>
        </w:rPr>
        <w:t xml:space="preserve">Rule 5 — Backup &amp; Business Continuity</w:t>
      </w:r>
    </w:p>
    <w:p>
      <w:pPr>
        <w:pStyle w:val="ListParagraph"/>
        <w:numPr>
          <w:ilvl w:val="0"/>
          <w:numId w:val="2"/>
        </w:numPr>
        <w:spacing w:after="40" w:before="40"/>
      </w:pPr>
      <w:r>
        <w:rPr>
          <w:rFonts w:ascii="Arial" w:cs="Arial" w:eastAsia="Arial" w:hAnsi="Arial"/>
          <w:b w:val="false"/>
          <w:bCs w:val="false"/>
          <w:sz w:val="22"/>
          <w:szCs w:val="22"/>
        </w:rPr>
        <w:t xml:space="preserve">OCI VM snapshots are the primary backup mechanism; a snapshot is verified restorable at least once per month</w:t>
      </w:r>
    </w:p>
    <w:p>
      <w:pPr>
        <w:pStyle w:val="ListParagraph"/>
        <w:numPr>
          <w:ilvl w:val="0"/>
          <w:numId w:val="2"/>
        </w:numPr>
        <w:spacing w:after="40" w:before="40"/>
      </w:pPr>
      <w:r>
        <w:rPr>
          <w:rFonts w:ascii="Arial" w:cs="Arial" w:eastAsia="Arial" w:hAnsi="Arial"/>
          <w:b w:val="false"/>
          <w:bCs w:val="false"/>
          <w:sz w:val="22"/>
          <w:szCs w:val="22"/>
        </w:rPr>
        <w:t xml:space="preserve">n8n workflow JSON configurations are exported to GitHub weekly to prevent data loss from VM failure</w:t>
      </w:r>
    </w:p>
    <w:p>
      <w:pPr>
        <w:pStyle w:val="ListParagraph"/>
        <w:numPr>
          <w:ilvl w:val="0"/>
          <w:numId w:val="2"/>
        </w:numPr>
        <w:spacing w:after="40" w:before="40"/>
      </w:pPr>
      <w:r>
        <w:rPr>
          <w:rFonts w:ascii="Arial" w:cs="Arial" w:eastAsia="Arial" w:hAnsi="Arial"/>
          <w:b w:val="false"/>
          <w:bCs w:val="false"/>
          <w:sz w:val="22"/>
          <w:szCs w:val="22"/>
        </w:rPr>
        <w:t xml:space="preserve">OpenCTI threat intelligence data is backed up monthly via OpenCTI export API</w:t>
      </w:r>
    </w:p>
    <w:p>
      <w:pPr>
        <w:pStyle w:val="ListParagraph"/>
        <w:numPr>
          <w:ilvl w:val="0"/>
          <w:numId w:val="2"/>
        </w:numPr>
        <w:spacing w:after="40" w:before="40"/>
      </w:pPr>
      <w:r>
        <w:rPr>
          <w:rFonts w:ascii="Arial" w:cs="Arial" w:eastAsia="Arial" w:hAnsi="Arial"/>
          <w:b w:val="false"/>
          <w:bCs w:val="false"/>
          <w:sz w:val="22"/>
          <w:szCs w:val="22"/>
        </w:rPr>
        <w:t xml:space="preserve">In the event of a VM failure, RTO (Recovery Time Objective) is defined as 4 hours for full service restoration from the most recent clean snapshot</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2.3  How This Policy Maintains the CIA Triad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CIA Pillar</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Threat Addressed</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Policy Controls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Confidentiality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Unauthorised access, credential theft, data leakage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Rule 1 (MFA, IP restriction, least privilege), Rule 2 (AES-256 encryption, TLS), Rule 1 (SSH key-only auth, no hardcoded secrets)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2"/>
                <w:szCs w:val="22"/>
              </w:rPr>
              <w:t xml:space="preserve">Integrity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Malware, ransomware, unauthorised file modification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Rule 2 (FIM monitoring, signed commits, verified snapshots), Rule 3 (monthly patching, vulnerability scanning), Rule 5 (weekly n8n exports)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2"/>
                <w:szCs w:val="22"/>
              </w:rPr>
              <w:t xml:space="preserve">Availability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DDoS, ransomware downtime, service failure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Rule 4 (real-time Grafana monitoring, n8n auto-response), Rule 5 (OCI snapshots, RTO 4 hours), IRP-4 DDoS response procedures, OCI built-in DDoS edge protection</w:t>
            </w:r>
          </w:p>
        </w:tc>
      </w:tr>
    </w:tbl>
    <w:p>
      <w:pPr>
        <w:spacing w:after="80" w:before="80"/>
      </w:pPr>
    </w:p>
    <w:p>
      <w:r>
        <w:br w:type="page"/>
      </w:r>
    </w:p>
    <w:p>
      <w:pPr>
        <w:pStyle w:val="Heading1"/>
        <w:shd w:fill="1F3864" w:val="clear"/>
        <w:spacing w:after="160" w:before="320"/>
        <w:ind w:left="200" w:right="200"/>
      </w:pPr>
      <w:r>
        <w:rPr>
          <w:rFonts w:ascii="Arial" w:cs="Arial" w:eastAsia="Arial" w:hAnsi="Arial"/>
          <w:b/>
          <w:bCs/>
          <w:color w:val="FFFFFF"/>
          <w:sz w:val="32"/>
          <w:szCs w:val="32"/>
        </w:rPr>
        <w:t xml:space="preserve">PART 3 — LEGAL &amp; ETHICAL COMPLIANCE  (Rubric R1d)</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3.1  Overview</w:t>
      </w:r>
    </w:p>
    <w:p>
      <w:pPr>
        <w:spacing w:after="80" w:before="80"/>
      </w:pPr>
      <w:r>
        <w:rPr>
          <w:rFonts w:ascii="Arial" w:cs="Arial" w:eastAsia="Arial" w:hAnsi="Arial"/>
          <w:sz w:val="22"/>
          <w:szCs w:val="22"/>
        </w:rPr>
        <w:t xml:space="preserve">This section identifies two laws directly relevant to the Autonomous Cloud SOC project, explains how this IRP and Security Policy uphold those laws, and addresses the primary ethical consideration raised by the honeypot design.</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3.2  Law 1 — Computer Fraud and Abuse Act (CFAA), 18 U.S.C. § 1030</w:t>
      </w:r>
    </w:p>
    <w:p>
      <w:pPr>
        <w:spacing w:after="80" w:before="180"/>
      </w:pPr>
      <w:r>
        <w:rPr>
          <w:rFonts w:ascii="Arial" w:cs="Arial" w:eastAsia="Arial" w:hAnsi="Arial"/>
          <w:b/>
          <w:bCs/>
          <w:color w:val="2E75B6"/>
          <w:sz w:val="22"/>
          <w:szCs w:val="22"/>
        </w:rPr>
        <w:t xml:space="preserve">What the CFAA Requires</w:t>
      </w:r>
    </w:p>
    <w:p>
      <w:pPr>
        <w:spacing w:after="80" w:before="80"/>
      </w:pPr>
      <w:r>
        <w:rPr>
          <w:rFonts w:ascii="Arial" w:cs="Arial" w:eastAsia="Arial" w:hAnsi="Arial"/>
          <w:sz w:val="22"/>
          <w:szCs w:val="22"/>
        </w:rPr>
        <w:t xml:space="preserve">The CFAA is the primary United States federal law governing computer crime. It makes it a federal felony to intentionally access a computer 'without authorisation' or in a manner that 'exceeds authorised access.' Penalties range from 1 year imprisonment for first-time misdemeanour violations to 20 years for cases involving serious damage or national security implications.</w:t>
      </w:r>
    </w:p>
    <w:p>
      <w:pPr>
        <w:spacing w:after="80" w:before="80"/>
      </w:pPr>
    </w:p>
    <w:p>
      <w:pPr>
        <w:spacing w:after="80" w:before="180"/>
      </w:pPr>
      <w:r>
        <w:rPr>
          <w:rFonts w:ascii="Arial" w:cs="Arial" w:eastAsia="Arial" w:hAnsi="Arial"/>
          <w:b/>
          <w:bCs/>
          <w:color w:val="2E75B6"/>
          <w:sz w:val="22"/>
          <w:szCs w:val="22"/>
        </w:rPr>
        <w:t xml:space="preserve">How This Project Upholds the CFAA</w:t>
      </w:r>
    </w:p>
    <w:p>
      <w:pPr>
        <w:pStyle w:val="ListParagraph"/>
        <w:numPr>
          <w:ilvl w:val="0"/>
          <w:numId w:val="2"/>
        </w:numPr>
        <w:spacing w:after="40" w:before="40"/>
      </w:pPr>
      <w:r>
        <w:rPr>
          <w:rFonts w:ascii="Arial" w:cs="Arial" w:eastAsia="Arial" w:hAnsi="Arial"/>
          <w:b w:val="false"/>
          <w:bCs w:val="false"/>
          <w:sz w:val="22"/>
          <w:szCs w:val="22"/>
        </w:rPr>
        <w:t xml:space="preserve">Every system described in this IRP — the OCI Linux VM, the Windows Honeypot VM, the Wazuh SIEM, and all network infrastructure — is operated under a personal Oracle Cloud account with full legal ownership and authorisation</w:t>
      </w:r>
    </w:p>
    <w:p>
      <w:pPr>
        <w:pStyle w:val="ListParagraph"/>
        <w:numPr>
          <w:ilvl w:val="0"/>
          <w:numId w:val="2"/>
        </w:numPr>
        <w:spacing w:after="40" w:before="40"/>
      </w:pPr>
      <w:r>
        <w:rPr>
          <w:rFonts w:ascii="Arial" w:cs="Arial" w:eastAsia="Arial" w:hAnsi="Arial"/>
          <w:b w:val="false"/>
          <w:bCs w:val="false"/>
          <w:sz w:val="22"/>
          <w:szCs w:val="22"/>
        </w:rPr>
        <w:t xml:space="preserve">Nmap vulnerability scans are conducted against scanme.nmap.org (an authorised public test target operated by the Nmap project) or against the project's own OCI VM. Scanning any external system without explicit written permission would violate the CFAA — this project does not do so</w:t>
      </w:r>
    </w:p>
    <w:p>
      <w:pPr>
        <w:pStyle w:val="ListParagraph"/>
        <w:numPr>
          <w:ilvl w:val="0"/>
          <w:numId w:val="2"/>
        </w:numPr>
        <w:spacing w:after="40" w:before="40"/>
      </w:pPr>
      <w:r>
        <w:rPr>
          <w:rFonts w:ascii="Arial" w:cs="Arial" w:eastAsia="Arial" w:hAnsi="Arial"/>
          <w:b w:val="false"/>
          <w:bCs w:val="false"/>
          <w:sz w:val="22"/>
          <w:szCs w:val="22"/>
        </w:rPr>
        <w:t xml:space="preserve">The automated n8n containment response (blocking attacker IPs via OCI NSG) is purely defensive — it does not involve any counter-attack, access to attacker systems, or any action that would itself constitute unauthorised computer access</w:t>
      </w:r>
    </w:p>
    <w:p>
      <w:pPr>
        <w:pStyle w:val="ListParagraph"/>
        <w:numPr>
          <w:ilvl w:val="0"/>
          <w:numId w:val="2"/>
        </w:numPr>
        <w:spacing w:after="40" w:before="40"/>
      </w:pPr>
      <w:r>
        <w:rPr>
          <w:rFonts w:ascii="Arial" w:cs="Arial" w:eastAsia="Arial" w:hAnsi="Arial"/>
          <w:b w:val="false"/>
          <w:bCs w:val="false"/>
          <w:sz w:val="22"/>
          <w:szCs w:val="22"/>
        </w:rPr>
        <w:t xml:space="preserve">This IRP explicitly does not authorise any form of 'hack-back' or active response against the source of attacks</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3.3  Law 2 — General Data Protection Regulation (GDPR), Article 33 &amp; Article 34</w:t>
      </w:r>
    </w:p>
    <w:p>
      <w:pPr>
        <w:spacing w:after="80" w:before="180"/>
      </w:pPr>
      <w:r>
        <w:rPr>
          <w:rFonts w:ascii="Arial" w:cs="Arial" w:eastAsia="Arial" w:hAnsi="Arial"/>
          <w:b/>
          <w:bCs/>
          <w:color w:val="2E75B6"/>
          <w:sz w:val="22"/>
          <w:szCs w:val="22"/>
        </w:rPr>
        <w:t xml:space="preserve">What GDPR Requires</w:t>
      </w:r>
    </w:p>
    <w:p>
      <w:pPr>
        <w:spacing w:after="80" w:before="80"/>
      </w:pPr>
      <w:r>
        <w:rPr>
          <w:rFonts w:ascii="Arial" w:cs="Arial" w:eastAsia="Arial" w:hAnsi="Arial"/>
          <w:sz w:val="22"/>
          <w:szCs w:val="22"/>
        </w:rPr>
        <w:t xml:space="preserve">GDPR Article 33 requires organisations experiencing a personal data breach to notify the relevant supervisory authority within 72 hours of becoming aware of the breach. Article 34 requires direct notification to affected individuals if the breach is likely to result in a high risk to their rights and freedoms. While this project is based in Australia, GDPR principles represent the international standard for data breach notification and are used here as the applicable framework.</w:t>
      </w:r>
    </w:p>
    <w:p>
      <w:pPr>
        <w:spacing w:after="80" w:before="80"/>
      </w:pPr>
    </w:p>
    <w:p>
      <w:pPr>
        <w:spacing w:after="80" w:before="180"/>
      </w:pPr>
      <w:r>
        <w:rPr>
          <w:rFonts w:ascii="Arial" w:cs="Arial" w:eastAsia="Arial" w:hAnsi="Arial"/>
          <w:b/>
          <w:bCs/>
          <w:color w:val="2E75B6"/>
          <w:sz w:val="22"/>
          <w:szCs w:val="22"/>
        </w:rPr>
        <w:t xml:space="preserve">How This Project Upholds GDPR Article 33 &amp; 34</w:t>
      </w:r>
    </w:p>
    <w:p>
      <w:pPr>
        <w:pStyle w:val="ListParagraph"/>
        <w:numPr>
          <w:ilvl w:val="0"/>
          <w:numId w:val="2"/>
        </w:numPr>
        <w:spacing w:after="40" w:before="40"/>
      </w:pPr>
      <w:r>
        <w:rPr>
          <w:rFonts w:ascii="Arial" w:cs="Arial" w:eastAsia="Arial" w:hAnsi="Arial"/>
          <w:b w:val="false"/>
          <w:bCs w:val="false"/>
          <w:sz w:val="22"/>
          <w:szCs w:val="22"/>
        </w:rPr>
        <w:t xml:space="preserve">The Wazuh detection pipeline generates alerts within seconds of an incident event — far within the 72-hour legal notification window. In any real-world deployment of this SOC, the sub-30-second detection capability would give incident responders ample time to assess the breach and prepare a compliant notification</w:t>
      </w:r>
    </w:p>
    <w:p>
      <w:pPr>
        <w:pStyle w:val="ListParagraph"/>
        <w:numPr>
          <w:ilvl w:val="0"/>
          <w:numId w:val="2"/>
        </w:numPr>
        <w:spacing w:after="40" w:before="40"/>
      </w:pPr>
      <w:r>
        <w:rPr>
          <w:rFonts w:ascii="Arial" w:cs="Arial" w:eastAsia="Arial" w:hAnsi="Arial"/>
          <w:b w:val="false"/>
          <w:bCs w:val="false"/>
          <w:sz w:val="22"/>
          <w:szCs w:val="22"/>
        </w:rPr>
        <w:t xml:space="preserve">The IRP-2 (Ransomware) and IRP-3 (Phishing) response procedures include explicit steps to determine what data was accessed, assess whether personal data was affected, and document findings in a format suitable for regulatory notification</w:t>
      </w:r>
    </w:p>
    <w:p>
      <w:pPr>
        <w:pStyle w:val="ListParagraph"/>
        <w:numPr>
          <w:ilvl w:val="0"/>
          <w:numId w:val="2"/>
        </w:numPr>
        <w:spacing w:after="40" w:before="40"/>
      </w:pPr>
      <w:r>
        <w:rPr>
          <w:rFonts w:ascii="Arial" w:cs="Arial" w:eastAsia="Arial" w:hAnsi="Arial"/>
          <w:b w:val="false"/>
          <w:bCs w:val="false"/>
          <w:sz w:val="22"/>
          <w:szCs w:val="22"/>
        </w:rPr>
        <w:t xml:space="preserve">IP addresses captured by the honeypot may constitute personal data under GDPR in some interpretations. Any IP data collected is used only for security purposes (threat intelligence, improving detection rules) and would only be shared with public threat intelligence feeds such as AbuseIPDB in a pseudonymised format</w:t>
      </w:r>
    </w:p>
    <w:p>
      <w:pPr>
        <w:pStyle w:val="ListParagraph"/>
        <w:numPr>
          <w:ilvl w:val="0"/>
          <w:numId w:val="2"/>
        </w:numPr>
        <w:spacing w:after="40" w:before="40"/>
      </w:pPr>
      <w:r>
        <w:rPr>
          <w:rFonts w:ascii="Arial" w:cs="Arial" w:eastAsia="Arial" w:hAnsi="Arial"/>
          <w:b w:val="false"/>
          <w:bCs w:val="false"/>
          <w:sz w:val="22"/>
          <w:szCs w:val="22"/>
        </w:rPr>
        <w:t xml:space="preserve">The Windows Honeypot VM does not store any real personal data — it is a research environment with synthetic data only, which minimises the risk of a genuine personal data breach</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3.4  Ethical Consideration — Honeypot Deployment &amp; Attacker Data</w:t>
      </w:r>
    </w:p>
    <w:p>
      <w:pPr>
        <w:spacing w:after="80" w:before="80"/>
      </w:pPr>
      <w:r>
        <w:rPr>
          <w:rFonts w:ascii="Arial" w:cs="Arial" w:eastAsia="Arial" w:hAnsi="Arial"/>
          <w:sz w:val="22"/>
          <w:szCs w:val="22"/>
        </w:rPr>
        <w:t xml:space="preserve">The Windows Honeypot VM is deliberately configured to attract attackers by exposing RDP port 3389 to the public internet. This raises an important ethical question: is it acceptable to design a system specifically to lure attackers, observe their behaviour, and collect data about their activities?</w:t>
      </w:r>
    </w:p>
    <w:p>
      <w:pPr>
        <w:spacing w:after="80" w:before="80"/>
      </w:pPr>
    </w:p>
    <w:p>
      <w:pPr>
        <w:spacing w:after="80" w:before="180"/>
      </w:pPr>
      <w:r>
        <w:rPr>
          <w:rFonts w:ascii="Arial" w:cs="Arial" w:eastAsia="Arial" w:hAnsi="Arial"/>
          <w:b/>
          <w:bCs/>
          <w:color w:val="2E75B6"/>
          <w:sz w:val="22"/>
          <w:szCs w:val="22"/>
        </w:rPr>
        <w:t xml:space="preserve">Justification for Ethical Deployment</w:t>
      </w:r>
    </w:p>
    <w:p>
      <w:pPr>
        <w:pStyle w:val="ListParagraph"/>
        <w:numPr>
          <w:ilvl w:val="0"/>
          <w:numId w:val="2"/>
        </w:numPr>
        <w:spacing w:after="40" w:before="40"/>
      </w:pPr>
      <w:r>
        <w:rPr>
          <w:rFonts w:ascii="Arial" w:cs="Arial" w:eastAsia="Arial" w:hAnsi="Arial"/>
          <w:b w:val="false"/>
          <w:bCs w:val="false"/>
          <w:sz w:val="22"/>
          <w:szCs w:val="22"/>
        </w:rPr>
        <w:t xml:space="preserve">Ownership and control: The honeypot is hosted entirely within a personal Oracle Cloud account. No other organisation's or individual's systems are placed at risk. The trap exists only within infrastructure that is fully owned and authorised</w:t>
      </w:r>
    </w:p>
    <w:p>
      <w:pPr>
        <w:pStyle w:val="ListParagraph"/>
        <w:numPr>
          <w:ilvl w:val="0"/>
          <w:numId w:val="2"/>
        </w:numPr>
        <w:spacing w:after="40" w:before="40"/>
      </w:pPr>
      <w:r>
        <w:rPr>
          <w:rFonts w:ascii="Arial" w:cs="Arial" w:eastAsia="Arial" w:hAnsi="Arial"/>
          <w:b w:val="false"/>
          <w:bCs w:val="false"/>
          <w:sz w:val="22"/>
          <w:szCs w:val="22"/>
        </w:rPr>
        <w:t xml:space="preserve">No entrapment: The honeypot does not actively recruit victims or induce anyone to commit a crime. Attackers independently choose to probe port 3389 of internet-connected machines — a choice they make thousands of times daily against countless systems. The honeypot is simply one more machine they encounter in the course of their existing criminal activity</w:t>
      </w:r>
    </w:p>
    <w:p>
      <w:pPr>
        <w:pStyle w:val="ListParagraph"/>
        <w:numPr>
          <w:ilvl w:val="0"/>
          <w:numId w:val="2"/>
        </w:numPr>
        <w:spacing w:after="40" w:before="40"/>
      </w:pPr>
      <w:r>
        <w:rPr>
          <w:rFonts w:ascii="Arial" w:cs="Arial" w:eastAsia="Arial" w:hAnsi="Arial"/>
          <w:b w:val="false"/>
          <w:bCs w:val="false"/>
          <w:sz w:val="22"/>
          <w:szCs w:val="22"/>
        </w:rPr>
        <w:t xml:space="preserve">Proportionate response: The automated containment response (blocking the attacker's IP via OCI NSG) is purely defensive. It does not involve any counter-attack, access to the attacker's systems, or any action that would itself constitute unauthorised computer access under the CFAA</w:t>
      </w:r>
    </w:p>
    <w:p>
      <w:pPr>
        <w:pStyle w:val="ListParagraph"/>
        <w:numPr>
          <w:ilvl w:val="0"/>
          <w:numId w:val="2"/>
        </w:numPr>
        <w:spacing w:after="40" w:before="40"/>
      </w:pPr>
      <w:r>
        <w:rPr>
          <w:rFonts w:ascii="Arial" w:cs="Arial" w:eastAsia="Arial" w:hAnsi="Arial"/>
          <w:b w:val="false"/>
          <w:bCs w:val="false"/>
          <w:sz w:val="22"/>
          <w:szCs w:val="22"/>
        </w:rPr>
        <w:t xml:space="preserve">Responsible data handling: Any IP addresses captured are used solely for security purposes and could be contributed to public threat intelligence feeds (AbuseIPDB) — helping the broader security community defend against the same attackers</w:t>
      </w:r>
    </w:p>
    <w:p>
      <w:pPr>
        <w:pStyle w:val="ListParagraph"/>
        <w:numPr>
          <w:ilvl w:val="0"/>
          <w:numId w:val="2"/>
        </w:numPr>
        <w:spacing w:after="40" w:before="40"/>
      </w:pPr>
      <w:r>
        <w:rPr>
          <w:rFonts w:ascii="Arial" w:cs="Arial" w:eastAsia="Arial" w:hAnsi="Arial"/>
          <w:b w:val="false"/>
          <w:bCs w:val="false"/>
          <w:sz w:val="22"/>
          <w:szCs w:val="22"/>
        </w:rPr>
        <w:t xml:space="preserve">Transparency: This project documentation explicitly describes the honeypot design, its purpose, and its operational boundaries. There is no hidden or deceptive element toward any legitimate party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2EFDA" w:val="clear"/>
            <w:tcMar>
              <w:top w:type="dxa" w:w="100"/>
              <w:left w:type="dxa" w:w="200"/>
              <w:bottom w:type="dxa" w:w="100"/>
              <w:right w:type="dxa" w:w="200"/>
            </w:tcMar>
          </w:tcPr>
          <w:p>
            <w:r>
              <w:rPr>
                <w:rFonts w:ascii="Arial" w:cs="Arial" w:eastAsia="Arial" w:hAnsi="Arial"/>
                <w:b/>
                <w:bCs/>
                <w:color w:val="2E75B6"/>
                <w:sz w:val="20"/>
                <w:szCs w:val="20"/>
              </w:rPr>
              <w:t xml:space="preserve">✅  ETHICAL FRAMEWORK</w:t>
            </w:r>
          </w:p>
          <w:p>
            <w:r>
              <w:rPr>
                <w:rFonts w:ascii="Arial" w:cs="Arial" w:eastAsia="Arial" w:hAnsi="Arial"/>
                <w:sz w:val="20"/>
                <w:szCs w:val="20"/>
              </w:rPr>
              <w:t xml:space="preserve">The ethical framework applied here aligns with established academic and industry standards for honeypot research, as documented by the Honeynet Project (honeynet.org). The project follows the principle of minimal risk — collecting only what is necessary for security improvement, storing it securely, and using it only for defensive purposes.</w:t>
            </w:r>
          </w:p>
        </w:tc>
      </w:tr>
    </w:tbl>
    <w:p>
      <w:pPr>
        <w:spacing w:after="80" w:before="80"/>
      </w:pPr>
    </w:p>
    <w:p>
      <w:r>
        <w:br w:type="page"/>
      </w:r>
    </w:p>
    <w:p>
      <w:pPr>
        <w:pStyle w:val="Heading1"/>
        <w:shd w:fill="1F3864" w:val="clear"/>
        <w:spacing w:after="160" w:before="320"/>
        <w:ind w:left="200" w:right="200"/>
      </w:pPr>
      <w:r>
        <w:rPr>
          <w:rFonts w:ascii="Arial" w:cs="Arial" w:eastAsia="Arial" w:hAnsi="Arial"/>
          <w:b/>
          <w:bCs/>
          <w:color w:val="FFFFFF"/>
          <w:sz w:val="32"/>
          <w:szCs w:val="32"/>
        </w:rPr>
        <w:t xml:space="preserve">PART 4 — DOCUMENT CONTROL &amp; RUBRIC MAPPING</w:t>
      </w:r>
    </w:p>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4.1  Rubric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800"/>
        <w:gridCol w:w="160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Rubric</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R1a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Response Plan — detection method, containment strategy, eradication &amp; recovery steps, explain 1 attack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1 — IRP-1 to IRP-4</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COMPLETE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R1b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Policy — 3+ security rules, IRP reference, CIA Triad explanation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2 — Section 2.2 &amp; 2.3</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COMPLETE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&amp; Ethical Compliance — 2 laws, 1 ethical consideration, how plan upholds them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3 — Section 3.2–3.4</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COMPLETE</w:t>
            </w:r>
          </w:p>
        </w:tc>
      </w:tr>
    </w:tbl>
    <w:p>
      <w:pPr>
        <w:spacing w:after="80" w:before="80"/>
      </w:pPr>
    </w:p>
    <w:p>
      <w:pPr>
        <w:pStyle w:val="Heading2"/>
        <w:pBdr>
          <w:bottom w:val="single" w:color="2E75B6" w:sz="6" w:space="1"/>
        </w:pBdr>
        <w:spacing w:after="120" w:before="240"/>
      </w:pPr>
      <w:r>
        <w:rPr>
          <w:rFonts w:ascii="Arial" w:cs="Arial" w:eastAsia="Arial" w:hAnsi="Arial"/>
          <w:b/>
          <w:bCs/>
          <w:color w:val="1F3864"/>
          <w:sz w:val="26"/>
          <w:szCs w:val="26"/>
        </w:rPr>
        <w:t xml:space="preserve">4.2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Khushbu Jalan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DAE Cybersecurity Program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Autonomous Cloud SOC &amp; Threat Intelligence 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April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Reviewed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DAE Cybersecurity Program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Next Review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Start of Semester 2 — prior to live deployment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GitHub 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docs/R1_IRP_SecurityPolicy_Legal.docx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Git Commit Tag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 commit -m 'R1a+R1b+R1d COMPLETE — IRP, Security Policy, Legal Compliance'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Semester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Semester 1 — Research &amp; Planning Document. Live deployment deferred to Semester 2.</w:t>
            </w:r>
          </w:p>
        </w:tc>
      </w:tr>
    </w:tbl>
    <w:p>
      <w:pPr>
        <w:spacing w:after="80" w:before="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80"/>
    </w:pPr>
    <w:r>
      <w:rPr>
        <w:rFonts w:ascii="Arial" w:cs="Arial" w:eastAsia="Arial" w:hAnsi="Arial"/>
        <w:color w:val="595959"/>
        <w:sz w:val="18"/>
        <w:szCs w:val="18"/>
      </w:rPr>
      <w:t xml:space="preserve">Semester 1 — Rubric 1a, 1b, 1d  |  April 2026</w:t>
    </w:r>
    <w:r>
      <w:rPr>
        <w:rFonts w:ascii="Arial" w:cs="Arial" w:eastAsia="Arial" w:hAnsi="Arial"/>
        <w:color w:val="595959"/>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before="0"/>
    </w:pPr>
    <w:r>
      <w:rPr>
        <w:rFonts w:ascii="Arial" w:cs="Arial" w:eastAsia="Arial" w:hAnsi="Arial"/>
        <w:color w:val="595959"/>
        <w:sz w:val="18"/>
        <w:szCs w:val="18"/>
      </w:rPr>
      <w:t xml:space="preserve">AUTONOMOUS CLOUD SOC  |  Incident Response Plan &amp; Security Policy  |  Khushbu Jalan  |  DAE Cybersecurity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2026-04-02T16:08:45.350Z</dcterms:created>
  <dcterms:modified xsi:type="dcterms:W3CDTF">2026-04-02T16:08:45.352Z</dcterms:modified>
</cp:coreProperties>
</file>

<file path=docProps/custom.xml><?xml version="1.0" encoding="utf-8"?>
<Properties xmlns="http://schemas.openxmlformats.org/officeDocument/2006/custom-properties" xmlns:vt="http://schemas.openxmlformats.org/officeDocument/2006/docPropsVTypes"/>
</file>