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FD4F3" w14:textId="77777777" w:rsidR="009D46CF" w:rsidRPr="006611CF" w:rsidRDefault="009D46CF" w:rsidP="009D46CF">
      <w:pPr>
        <w:tabs>
          <w:tab w:val="center" w:pos="4680"/>
        </w:tabs>
        <w:spacing w:line="480" w:lineRule="auto"/>
        <w:jc w:val="center"/>
        <w:rPr>
          <w:sz w:val="32"/>
          <w:szCs w:val="32"/>
        </w:rPr>
      </w:pPr>
      <w:r>
        <w:rPr>
          <w:b/>
          <w:sz w:val="32"/>
          <w:szCs w:val="32"/>
          <w:lang w:eastAsia="zh-CN"/>
        </w:rPr>
        <w:t>MSBA 286</w:t>
      </w:r>
      <w:r w:rsidRPr="006611CF">
        <w:rPr>
          <w:rFonts w:hint="eastAsia"/>
          <w:b/>
          <w:sz w:val="32"/>
          <w:szCs w:val="32"/>
          <w:lang w:eastAsia="zh-CN"/>
        </w:rPr>
        <w:t xml:space="preserve"> </w:t>
      </w:r>
      <w:r w:rsidRPr="006611CF">
        <w:rPr>
          <w:b/>
          <w:sz w:val="32"/>
          <w:szCs w:val="32"/>
          <w:lang w:eastAsia="zh-CN"/>
        </w:rPr>
        <w:t>—</w:t>
      </w:r>
      <w:r>
        <w:rPr>
          <w:b/>
          <w:sz w:val="32"/>
          <w:szCs w:val="32"/>
          <w:lang w:eastAsia="zh-CN"/>
        </w:rPr>
        <w:t xml:space="preserve"> Capstone Project II</w:t>
      </w:r>
      <w:r>
        <w:rPr>
          <w:rFonts w:eastAsiaTheme="minorEastAsia" w:hint="eastAsia"/>
          <w:b/>
          <w:sz w:val="32"/>
          <w:szCs w:val="32"/>
          <w:lang w:eastAsia="zh-CN"/>
        </w:rPr>
        <w:t xml:space="preserve"> </w:t>
      </w:r>
      <w:r>
        <w:rPr>
          <w:rFonts w:eastAsiaTheme="minorEastAsia"/>
          <w:b/>
          <w:sz w:val="32"/>
          <w:szCs w:val="32"/>
          <w:lang w:eastAsia="zh-CN"/>
        </w:rPr>
        <w:t>(Section 1)</w:t>
      </w:r>
    </w:p>
    <w:p w14:paraId="37394160" w14:textId="77777777" w:rsidR="009D46CF" w:rsidRDefault="009D46CF" w:rsidP="009D46CF">
      <w:pPr>
        <w:tabs>
          <w:tab w:val="center" w:pos="4680"/>
        </w:tabs>
        <w:spacing w:line="480" w:lineRule="auto"/>
        <w:rPr>
          <w:b/>
          <w:sz w:val="24"/>
          <w:szCs w:val="24"/>
          <w:lang w:eastAsia="zh-CN"/>
        </w:rPr>
      </w:pPr>
      <w:r>
        <w:tab/>
      </w:r>
      <w:r>
        <w:rPr>
          <w:b/>
          <w:sz w:val="24"/>
          <w:szCs w:val="24"/>
          <w:lang w:eastAsia="zh-CN"/>
        </w:rPr>
        <w:t xml:space="preserve">University of the Pacific </w:t>
      </w:r>
    </w:p>
    <w:p w14:paraId="79E8038C" w14:textId="77777777" w:rsidR="00EF3029" w:rsidRDefault="00EF3029" w:rsidP="009D46CF">
      <w:pPr>
        <w:tabs>
          <w:tab w:val="center" w:pos="4680"/>
        </w:tabs>
        <w:spacing w:line="480" w:lineRule="auto"/>
        <w:rPr>
          <w:b/>
          <w:sz w:val="24"/>
          <w:szCs w:val="24"/>
          <w:lang w:eastAsia="zh-CN"/>
        </w:rPr>
      </w:pPr>
    </w:p>
    <w:p w14:paraId="6E46656B" w14:textId="3DFEDD47" w:rsidR="00EF3029" w:rsidRDefault="00EF3029" w:rsidP="00EF3029">
      <w:pPr>
        <w:tabs>
          <w:tab w:val="center" w:pos="4680"/>
        </w:tabs>
        <w:spacing w:line="480" w:lineRule="auto"/>
        <w:jc w:val="center"/>
        <w:rPr>
          <w:b/>
          <w:sz w:val="24"/>
          <w:szCs w:val="24"/>
          <w:lang w:eastAsia="zh-CN"/>
        </w:rPr>
      </w:pPr>
      <w:r>
        <w:rPr>
          <w:b/>
          <w:noProof/>
          <w:sz w:val="24"/>
          <w:szCs w:val="24"/>
          <w14:ligatures w14:val="standardContextual"/>
        </w:rPr>
        <w:drawing>
          <wp:inline distT="0" distB="0" distL="0" distR="0" wp14:anchorId="757BB984" wp14:editId="2688FD28">
            <wp:extent cx="1658203" cy="1658203"/>
            <wp:effectExtent l="0" t="0" r="0" b="0"/>
            <wp:docPr id="1209822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22036" name="Picture 1209822036"/>
                    <pic:cNvPicPr/>
                  </pic:nvPicPr>
                  <pic:blipFill>
                    <a:blip r:embed="rId7">
                      <a:extLst>
                        <a:ext uri="{28A0092B-C50C-407E-A947-70E740481C1C}">
                          <a14:useLocalDpi xmlns:a14="http://schemas.microsoft.com/office/drawing/2010/main" val="0"/>
                        </a:ext>
                      </a:extLst>
                    </a:blip>
                    <a:stretch>
                      <a:fillRect/>
                    </a:stretch>
                  </pic:blipFill>
                  <pic:spPr>
                    <a:xfrm>
                      <a:off x="0" y="0"/>
                      <a:ext cx="1667641" cy="1667641"/>
                    </a:xfrm>
                    <a:prstGeom prst="rect">
                      <a:avLst/>
                    </a:prstGeom>
                  </pic:spPr>
                </pic:pic>
              </a:graphicData>
            </a:graphic>
          </wp:inline>
        </w:drawing>
      </w:r>
    </w:p>
    <w:p w14:paraId="65CAD4E8" w14:textId="77777777" w:rsidR="00EF3029" w:rsidRPr="000B1FE7" w:rsidRDefault="00EF3029" w:rsidP="00EF3029">
      <w:pPr>
        <w:tabs>
          <w:tab w:val="center" w:pos="4680"/>
        </w:tabs>
        <w:spacing w:line="480" w:lineRule="auto"/>
        <w:rPr>
          <w:b/>
          <w:sz w:val="24"/>
          <w:szCs w:val="24"/>
          <w:lang w:eastAsia="zh-CN"/>
        </w:rPr>
      </w:pPr>
    </w:p>
    <w:p w14:paraId="2A8DC436" w14:textId="77777777" w:rsidR="009D46CF" w:rsidRPr="000B1FE7" w:rsidRDefault="009D46CF" w:rsidP="009D46CF">
      <w:pPr>
        <w:tabs>
          <w:tab w:val="center" w:pos="4680"/>
        </w:tabs>
        <w:spacing w:line="480" w:lineRule="auto"/>
        <w:rPr>
          <w:b/>
          <w:sz w:val="24"/>
          <w:szCs w:val="24"/>
          <w:lang w:eastAsia="zh-CN"/>
        </w:rPr>
      </w:pPr>
      <w:r w:rsidRPr="000B1FE7">
        <w:rPr>
          <w:b/>
          <w:sz w:val="24"/>
          <w:szCs w:val="24"/>
        </w:rPr>
        <w:tab/>
      </w:r>
      <w:r>
        <w:rPr>
          <w:rFonts w:hint="eastAsia"/>
          <w:b/>
          <w:sz w:val="24"/>
          <w:szCs w:val="24"/>
          <w:lang w:eastAsia="zh-CN"/>
        </w:rPr>
        <w:t>Fall</w:t>
      </w:r>
      <w:r>
        <w:rPr>
          <w:b/>
          <w:sz w:val="24"/>
          <w:szCs w:val="24"/>
          <w:lang w:eastAsia="zh-CN"/>
        </w:rPr>
        <w:t xml:space="preserve"> 2024</w:t>
      </w:r>
    </w:p>
    <w:p w14:paraId="1BAD1845" w14:textId="77777777" w:rsidR="009D46CF" w:rsidRPr="00FB0CC5" w:rsidRDefault="009D46CF" w:rsidP="009D46CF">
      <w:pPr>
        <w:tabs>
          <w:tab w:val="center" w:pos="4680"/>
        </w:tabs>
        <w:spacing w:line="480" w:lineRule="auto"/>
        <w:rPr>
          <w:rFonts w:eastAsiaTheme="minorEastAsia"/>
          <w:b/>
          <w:sz w:val="24"/>
          <w:szCs w:val="24"/>
          <w:lang w:eastAsia="zh-CN"/>
        </w:rPr>
      </w:pPr>
      <w:r w:rsidRPr="000B1FE7">
        <w:rPr>
          <w:b/>
          <w:sz w:val="24"/>
          <w:szCs w:val="24"/>
        </w:rPr>
        <w:tab/>
      </w:r>
      <w:r>
        <w:rPr>
          <w:rFonts w:eastAsiaTheme="minorEastAsia" w:hint="eastAsia"/>
          <w:b/>
          <w:sz w:val="24"/>
          <w:szCs w:val="24"/>
          <w:lang w:eastAsia="zh-CN"/>
        </w:rPr>
        <w:t>Final Project Instructions</w:t>
      </w:r>
    </w:p>
    <w:p w14:paraId="5A88E1F0" w14:textId="77777777" w:rsidR="009D46CF" w:rsidRDefault="009D46CF" w:rsidP="009D46CF">
      <w:pPr>
        <w:tabs>
          <w:tab w:val="center" w:pos="4680"/>
        </w:tabs>
        <w:spacing w:line="720" w:lineRule="auto"/>
        <w:jc w:val="center"/>
        <w:rPr>
          <w:rFonts w:eastAsiaTheme="minorEastAsia"/>
          <w:b/>
          <w:sz w:val="24"/>
          <w:szCs w:val="24"/>
          <w:lang w:eastAsia="zh-CN"/>
        </w:rPr>
      </w:pPr>
      <w:r>
        <w:rPr>
          <w:b/>
          <w:sz w:val="24"/>
          <w:szCs w:val="24"/>
        </w:rPr>
        <w:t>Due</w:t>
      </w:r>
      <w:r w:rsidRPr="008B007B">
        <w:rPr>
          <w:rFonts w:eastAsiaTheme="minorEastAsia"/>
          <w:b/>
          <w:sz w:val="24"/>
          <w:szCs w:val="24"/>
          <w:lang w:eastAsia="zh-CN"/>
        </w:rPr>
        <w:t xml:space="preserve">: </w:t>
      </w:r>
      <w:r>
        <w:rPr>
          <w:rFonts w:eastAsiaTheme="minorEastAsia"/>
          <w:b/>
          <w:sz w:val="24"/>
          <w:szCs w:val="24"/>
          <w:lang w:eastAsia="zh-CN"/>
        </w:rPr>
        <w:t>Monday December</w:t>
      </w:r>
      <w:r>
        <w:rPr>
          <w:rFonts w:eastAsiaTheme="minorEastAsia" w:hint="eastAsia"/>
          <w:b/>
          <w:sz w:val="24"/>
          <w:szCs w:val="24"/>
          <w:lang w:eastAsia="zh-CN"/>
        </w:rPr>
        <w:t xml:space="preserve"> 9</w:t>
      </w:r>
      <w:r>
        <w:rPr>
          <w:rFonts w:eastAsiaTheme="minorEastAsia"/>
          <w:b/>
          <w:sz w:val="24"/>
          <w:szCs w:val="24"/>
          <w:lang w:eastAsia="zh-CN"/>
        </w:rPr>
        <w:t>, 2024</w:t>
      </w:r>
    </w:p>
    <w:p w14:paraId="47CD4A51" w14:textId="4E8823F5" w:rsidR="009D46CF" w:rsidRDefault="009D46CF" w:rsidP="009D46CF">
      <w:pPr>
        <w:tabs>
          <w:tab w:val="center" w:pos="4680"/>
        </w:tabs>
        <w:spacing w:line="276" w:lineRule="auto"/>
        <w:rPr>
          <w:b/>
          <w:bCs/>
          <w:sz w:val="58"/>
          <w:szCs w:val="58"/>
        </w:rPr>
      </w:pPr>
      <w:r w:rsidRPr="009D46CF">
        <w:rPr>
          <w:b/>
          <w:bCs/>
          <w:sz w:val="58"/>
          <w:szCs w:val="58"/>
        </w:rPr>
        <w:t>Predicting Customer Lifetime Value (CLV) to Enhance Customer Retention and Revenue</w:t>
      </w:r>
    </w:p>
    <w:p w14:paraId="6AB992ED" w14:textId="77777777" w:rsidR="009D46CF" w:rsidRDefault="009D46CF" w:rsidP="009D46CF">
      <w:pPr>
        <w:tabs>
          <w:tab w:val="center" w:pos="4680"/>
        </w:tabs>
        <w:spacing w:line="480" w:lineRule="auto"/>
        <w:rPr>
          <w:b/>
          <w:sz w:val="24"/>
          <w:szCs w:val="24"/>
        </w:rPr>
      </w:pPr>
    </w:p>
    <w:p w14:paraId="0DA62708" w14:textId="6373C0D5" w:rsidR="009D46CF" w:rsidRPr="009D46CF" w:rsidRDefault="009D46CF" w:rsidP="009D46CF">
      <w:pPr>
        <w:tabs>
          <w:tab w:val="center" w:pos="4680"/>
        </w:tabs>
        <w:spacing w:line="480" w:lineRule="auto"/>
        <w:rPr>
          <w:b/>
          <w:sz w:val="32"/>
          <w:szCs w:val="32"/>
        </w:rPr>
      </w:pPr>
      <w:r w:rsidRPr="009D46CF">
        <w:rPr>
          <w:b/>
          <w:sz w:val="32"/>
          <w:szCs w:val="32"/>
        </w:rPr>
        <w:t>Team Number: 1</w:t>
      </w:r>
    </w:p>
    <w:p w14:paraId="496F5F8D" w14:textId="5C12936A" w:rsidR="009D46CF" w:rsidRDefault="009D46CF" w:rsidP="009D46CF">
      <w:pPr>
        <w:tabs>
          <w:tab w:val="center" w:pos="4680"/>
        </w:tabs>
        <w:spacing w:line="480" w:lineRule="auto"/>
        <w:jc w:val="center"/>
        <w:rPr>
          <w:b/>
          <w:sz w:val="24"/>
          <w:szCs w:val="24"/>
        </w:rPr>
      </w:pPr>
      <w:r w:rsidRPr="009D46CF">
        <w:rPr>
          <w:b/>
          <w:sz w:val="24"/>
          <w:szCs w:val="24"/>
        </w:rPr>
        <w:t>Group Leader</w:t>
      </w:r>
      <w:r>
        <w:rPr>
          <w:b/>
          <w:sz w:val="24"/>
          <w:szCs w:val="24"/>
        </w:rPr>
        <w:t xml:space="preserve"> </w:t>
      </w:r>
      <w:r>
        <w:rPr>
          <w:b/>
          <w:sz w:val="24"/>
          <w:szCs w:val="24"/>
        </w:rPr>
        <w:tab/>
        <w:t xml:space="preserve">                </w:t>
      </w:r>
      <w:r w:rsidRPr="009D46CF">
        <w:rPr>
          <w:b/>
          <w:sz w:val="24"/>
          <w:szCs w:val="24"/>
        </w:rPr>
        <w:t xml:space="preserve">Bala Gaurav Reddy Pasam </w:t>
      </w:r>
      <w:r>
        <w:rPr>
          <w:b/>
          <w:sz w:val="24"/>
          <w:szCs w:val="24"/>
        </w:rPr>
        <w:t xml:space="preserve">                      </w:t>
      </w:r>
      <w:r w:rsidRPr="009D46CF">
        <w:rPr>
          <w:b/>
          <w:sz w:val="24"/>
          <w:szCs w:val="24"/>
        </w:rPr>
        <w:t>ID: 989467995</w:t>
      </w:r>
    </w:p>
    <w:p w14:paraId="2D69FA4F" w14:textId="4FAE34F4" w:rsidR="009D46CF" w:rsidRDefault="009D46CF" w:rsidP="009D46CF">
      <w:pPr>
        <w:tabs>
          <w:tab w:val="center" w:pos="4680"/>
        </w:tabs>
        <w:spacing w:line="480" w:lineRule="auto"/>
        <w:jc w:val="center"/>
        <w:rPr>
          <w:b/>
          <w:sz w:val="24"/>
          <w:szCs w:val="24"/>
        </w:rPr>
      </w:pPr>
      <w:r w:rsidRPr="009D46CF">
        <w:rPr>
          <w:b/>
          <w:sz w:val="24"/>
          <w:szCs w:val="24"/>
        </w:rPr>
        <w:t xml:space="preserve">Group Member 1 </w:t>
      </w:r>
      <w:r>
        <w:rPr>
          <w:b/>
          <w:sz w:val="24"/>
          <w:szCs w:val="24"/>
        </w:rPr>
        <w:t xml:space="preserve">           </w:t>
      </w:r>
      <w:r>
        <w:rPr>
          <w:b/>
          <w:sz w:val="24"/>
          <w:szCs w:val="24"/>
        </w:rPr>
        <w:tab/>
      </w:r>
      <w:r w:rsidRPr="009D46CF">
        <w:rPr>
          <w:b/>
          <w:sz w:val="24"/>
          <w:szCs w:val="24"/>
        </w:rPr>
        <w:t xml:space="preserve">Hetvi Rajesh </w:t>
      </w:r>
      <w:proofErr w:type="spellStart"/>
      <w:r w:rsidRPr="009D46CF">
        <w:rPr>
          <w:b/>
          <w:sz w:val="24"/>
          <w:szCs w:val="24"/>
        </w:rPr>
        <w:t>Bhalani</w:t>
      </w:r>
      <w:proofErr w:type="spellEnd"/>
      <w:r w:rsidRPr="009D46CF">
        <w:rPr>
          <w:b/>
          <w:sz w:val="24"/>
          <w:szCs w:val="24"/>
        </w:rPr>
        <w:t xml:space="preserve"> </w:t>
      </w:r>
      <w:r>
        <w:rPr>
          <w:b/>
          <w:sz w:val="24"/>
          <w:szCs w:val="24"/>
        </w:rPr>
        <w:t xml:space="preserve">                               </w:t>
      </w:r>
      <w:r w:rsidRPr="009D46CF">
        <w:rPr>
          <w:b/>
          <w:sz w:val="24"/>
          <w:szCs w:val="24"/>
        </w:rPr>
        <w:t>ID: 989469635</w:t>
      </w:r>
    </w:p>
    <w:p w14:paraId="249B224B" w14:textId="6932609C" w:rsidR="009D46CF" w:rsidRDefault="009D46CF" w:rsidP="009D46CF">
      <w:pPr>
        <w:tabs>
          <w:tab w:val="center" w:pos="4680"/>
        </w:tabs>
        <w:spacing w:line="480" w:lineRule="auto"/>
        <w:jc w:val="center"/>
        <w:rPr>
          <w:b/>
          <w:sz w:val="24"/>
          <w:szCs w:val="24"/>
        </w:rPr>
      </w:pPr>
      <w:r w:rsidRPr="009D46CF">
        <w:rPr>
          <w:b/>
          <w:sz w:val="24"/>
          <w:szCs w:val="24"/>
        </w:rPr>
        <w:t xml:space="preserve">Group Member 2 </w:t>
      </w:r>
      <w:r>
        <w:rPr>
          <w:b/>
          <w:sz w:val="24"/>
          <w:szCs w:val="24"/>
        </w:rPr>
        <w:t xml:space="preserve">           </w:t>
      </w:r>
      <w:r w:rsidRPr="009D46CF">
        <w:rPr>
          <w:b/>
          <w:sz w:val="24"/>
          <w:szCs w:val="24"/>
        </w:rPr>
        <w:t xml:space="preserve">Vishal Sagre </w:t>
      </w:r>
      <w:r>
        <w:rPr>
          <w:b/>
          <w:sz w:val="24"/>
          <w:szCs w:val="24"/>
        </w:rPr>
        <w:t xml:space="preserve">                                              </w:t>
      </w:r>
      <w:r w:rsidRPr="009D46CF">
        <w:rPr>
          <w:b/>
          <w:sz w:val="24"/>
          <w:szCs w:val="24"/>
        </w:rPr>
        <w:t>ID: 989469775</w:t>
      </w:r>
    </w:p>
    <w:p w14:paraId="7CC05775" w14:textId="67E94255" w:rsidR="00CC478B" w:rsidRDefault="009D46CF" w:rsidP="00CE18F1">
      <w:pPr>
        <w:tabs>
          <w:tab w:val="center" w:pos="4680"/>
        </w:tabs>
        <w:spacing w:line="480" w:lineRule="auto"/>
        <w:jc w:val="center"/>
        <w:rPr>
          <w:b/>
          <w:sz w:val="24"/>
          <w:szCs w:val="24"/>
        </w:rPr>
      </w:pPr>
      <w:r w:rsidRPr="009D46CF">
        <w:rPr>
          <w:b/>
          <w:sz w:val="24"/>
          <w:szCs w:val="24"/>
        </w:rPr>
        <w:t xml:space="preserve">Group Member 3 </w:t>
      </w:r>
      <w:r>
        <w:rPr>
          <w:b/>
          <w:sz w:val="24"/>
          <w:szCs w:val="24"/>
        </w:rPr>
        <w:t xml:space="preserve">           </w:t>
      </w:r>
      <w:r w:rsidRPr="009D46CF">
        <w:rPr>
          <w:b/>
          <w:sz w:val="24"/>
          <w:szCs w:val="24"/>
        </w:rPr>
        <w:t xml:space="preserve">Khushbu Singh </w:t>
      </w:r>
      <w:r>
        <w:rPr>
          <w:b/>
          <w:sz w:val="24"/>
          <w:szCs w:val="24"/>
        </w:rPr>
        <w:t xml:space="preserve">                                         </w:t>
      </w:r>
      <w:r w:rsidRPr="009D46CF">
        <w:rPr>
          <w:b/>
          <w:sz w:val="24"/>
          <w:szCs w:val="24"/>
        </w:rPr>
        <w:t>ID: 989465248</w:t>
      </w:r>
      <w:r w:rsidR="00CC478B">
        <w:rPr>
          <w:b/>
          <w:sz w:val="24"/>
          <w:szCs w:val="24"/>
        </w:rPr>
        <w:br w:type="page"/>
      </w:r>
    </w:p>
    <w:p w14:paraId="329B305D" w14:textId="77777777" w:rsidR="00CC478B" w:rsidRPr="00542984" w:rsidRDefault="00CC478B" w:rsidP="00CC478B">
      <w:pPr>
        <w:overflowPunct/>
        <w:autoSpaceDE/>
        <w:autoSpaceDN/>
        <w:adjustRightInd/>
        <w:spacing w:after="160" w:line="480" w:lineRule="auto"/>
        <w:textAlignment w:val="auto"/>
        <w:rPr>
          <w:rFonts w:eastAsiaTheme="minorEastAsia"/>
          <w:b/>
          <w:sz w:val="24"/>
          <w:szCs w:val="24"/>
          <w:u w:val="single"/>
          <w:lang w:val="en-IN" w:eastAsia="zh-CN"/>
        </w:rPr>
      </w:pPr>
      <w:r w:rsidRPr="00542984">
        <w:rPr>
          <w:rFonts w:eastAsiaTheme="minorEastAsia"/>
          <w:b/>
          <w:sz w:val="24"/>
          <w:szCs w:val="24"/>
          <w:u w:val="single"/>
          <w:lang w:val="en-IN" w:eastAsia="zh-CN"/>
        </w:rPr>
        <w:lastRenderedPageBreak/>
        <w:t>Abstract:</w:t>
      </w:r>
    </w:p>
    <w:p w14:paraId="0AD4368F" w14:textId="535D0525" w:rsidR="00A84FF1" w:rsidRPr="00542984" w:rsidRDefault="00CC478B" w:rsidP="00CC478B">
      <w:pPr>
        <w:overflowPunct/>
        <w:autoSpaceDE/>
        <w:autoSpaceDN/>
        <w:adjustRightInd/>
        <w:spacing w:after="160" w:line="480" w:lineRule="auto"/>
        <w:textAlignment w:val="auto"/>
        <w:rPr>
          <w:rFonts w:eastAsiaTheme="minorEastAsia"/>
          <w:b/>
          <w:sz w:val="24"/>
          <w:szCs w:val="24"/>
          <w:lang w:val="en-IN" w:eastAsia="zh-CN"/>
        </w:rPr>
      </w:pPr>
      <w:r w:rsidRPr="00542984">
        <w:rPr>
          <w:rFonts w:eastAsiaTheme="minorEastAsia"/>
          <w:bCs/>
          <w:sz w:val="24"/>
          <w:szCs w:val="24"/>
          <w:lang w:val="en-IN" w:eastAsia="zh-CN"/>
        </w:rPr>
        <w:t>This study focuses on leveraging predictive analytics to forecast Customer Lifetime Value (CLV) for an insurance company. By utilizing machine learning and visualization tools, the project aims to identify key drivers influencing CLV and provide actionable insights to optimize customer retention and revenue generation. A Random Forest model was developed to predict CLV with an R² of 0.69, highlighting the model’s reliability. Insights derived from Tableau dashboards uncovered significant trends in customer demographics, sales channels, and policy types, offering targeted strategies for business growth. The findings contribute to the application of data-driven approaches in improving customer-focused decision-making processes.</w:t>
      </w:r>
    </w:p>
    <w:p w14:paraId="2CBD82B6" w14:textId="6D71B456" w:rsidR="00583E4C" w:rsidRPr="00542984" w:rsidRDefault="00583E4C" w:rsidP="00583E4C">
      <w:pPr>
        <w:overflowPunct/>
        <w:autoSpaceDE/>
        <w:autoSpaceDN/>
        <w:adjustRightInd/>
        <w:spacing w:after="160" w:line="480" w:lineRule="auto"/>
        <w:textAlignment w:val="auto"/>
        <w:rPr>
          <w:rFonts w:eastAsiaTheme="minorEastAsia"/>
          <w:b/>
          <w:sz w:val="24"/>
          <w:szCs w:val="24"/>
          <w:u w:val="single"/>
          <w:lang w:val="en-IN" w:eastAsia="zh-CN"/>
        </w:rPr>
      </w:pPr>
      <w:r w:rsidRPr="00542984">
        <w:rPr>
          <w:rFonts w:eastAsiaTheme="minorEastAsia"/>
          <w:b/>
          <w:sz w:val="24"/>
          <w:szCs w:val="24"/>
          <w:u w:val="single"/>
          <w:lang w:val="en-IN" w:eastAsia="zh-CN"/>
        </w:rPr>
        <w:t>Keywords:</w:t>
      </w:r>
    </w:p>
    <w:p w14:paraId="7D4C4DAA" w14:textId="77777777" w:rsidR="00583E4C" w:rsidRPr="00542984" w:rsidRDefault="00583E4C" w:rsidP="00583E4C">
      <w:pPr>
        <w:numPr>
          <w:ilvl w:val="0"/>
          <w:numId w:val="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Customer Lifetime Value (CLV)</w:t>
      </w:r>
    </w:p>
    <w:p w14:paraId="734C72E2" w14:textId="1BCA52D5" w:rsidR="00583E4C" w:rsidRPr="00542984" w:rsidRDefault="00583E4C" w:rsidP="00583E4C">
      <w:pPr>
        <w:numPr>
          <w:ilvl w:val="0"/>
          <w:numId w:val="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Predictive </w:t>
      </w:r>
      <w:r w:rsidR="00015F22" w:rsidRPr="00542984">
        <w:rPr>
          <w:rFonts w:eastAsiaTheme="minorEastAsia"/>
          <w:bCs/>
          <w:sz w:val="24"/>
          <w:szCs w:val="24"/>
          <w:lang w:val="en-IN" w:eastAsia="zh-CN"/>
        </w:rPr>
        <w:t>Modelling</w:t>
      </w:r>
    </w:p>
    <w:p w14:paraId="56E03951" w14:textId="77777777" w:rsidR="00583E4C" w:rsidRPr="00542984" w:rsidRDefault="00583E4C" w:rsidP="00583E4C">
      <w:pPr>
        <w:numPr>
          <w:ilvl w:val="0"/>
          <w:numId w:val="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Machine Learning</w:t>
      </w:r>
    </w:p>
    <w:p w14:paraId="7303C3F2" w14:textId="77777777" w:rsidR="00583E4C" w:rsidRPr="00542984" w:rsidRDefault="00583E4C" w:rsidP="00583E4C">
      <w:pPr>
        <w:numPr>
          <w:ilvl w:val="0"/>
          <w:numId w:val="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Business Analytics</w:t>
      </w:r>
    </w:p>
    <w:p w14:paraId="0E375395" w14:textId="77777777" w:rsidR="00CE18F1" w:rsidRPr="00542984" w:rsidRDefault="00583E4C" w:rsidP="00583E4C">
      <w:pPr>
        <w:numPr>
          <w:ilvl w:val="0"/>
          <w:numId w:val="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Tableau Dashboards</w:t>
      </w:r>
    </w:p>
    <w:p w14:paraId="70F0B9FF" w14:textId="13D8FB5B" w:rsidR="00CE18F1" w:rsidRPr="00542984" w:rsidRDefault="004B7DA3" w:rsidP="004B7DA3">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sz w:val="24"/>
          <w:szCs w:val="24"/>
          <w:u w:val="single"/>
          <w:lang w:val="en-IN" w:eastAsia="zh-CN"/>
        </w:rPr>
        <w:t>1.</w:t>
      </w:r>
      <w:r w:rsidR="00583E4C" w:rsidRPr="00542984">
        <w:rPr>
          <w:rFonts w:eastAsiaTheme="minorEastAsia"/>
          <w:b/>
          <w:sz w:val="24"/>
          <w:szCs w:val="24"/>
          <w:u w:val="single"/>
          <w:lang w:val="en-IN" w:eastAsia="zh-CN"/>
        </w:rPr>
        <w:t>Introduction</w:t>
      </w:r>
    </w:p>
    <w:p w14:paraId="6FF733D8" w14:textId="5481553F" w:rsidR="00583E4C" w:rsidRPr="00542984" w:rsidRDefault="00CE18F1" w:rsidP="00CE18F1">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sz w:val="24"/>
          <w:szCs w:val="24"/>
          <w:lang w:val="en-IN" w:eastAsia="zh-CN"/>
        </w:rPr>
        <w:t>1.1</w:t>
      </w:r>
      <w:r w:rsidR="00583E4C" w:rsidRPr="00542984">
        <w:rPr>
          <w:rFonts w:eastAsiaTheme="minorEastAsia"/>
          <w:b/>
          <w:sz w:val="24"/>
          <w:szCs w:val="24"/>
          <w:lang w:val="en-IN" w:eastAsia="zh-CN"/>
        </w:rPr>
        <w:t xml:space="preserve"> Objective of the Study</w:t>
      </w:r>
    </w:p>
    <w:p w14:paraId="798CDF86" w14:textId="6FDD38DA" w:rsidR="00583E4C" w:rsidRPr="00542984" w:rsidRDefault="00583E4C" w:rsidP="00583E4C">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Customer Lifetime Value (CLV) is a critical metric for businesses, representing the total revenue a customer generates over their relationship with the company. For an insurance firm, understanding and forecasting CLV is crucial for identifying high-value customers, optimizing marketing strategies, and improving overall profitability. This study aims to:</w:t>
      </w:r>
    </w:p>
    <w:p w14:paraId="2C6813D6" w14:textId="77777777" w:rsidR="00583E4C" w:rsidRPr="00542984" w:rsidRDefault="00583E4C" w:rsidP="00583E4C">
      <w:pPr>
        <w:numPr>
          <w:ilvl w:val="0"/>
          <w:numId w:val="3"/>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lastRenderedPageBreak/>
        <w:t>Develop a predictive model to forecast CLV using historical data.</w:t>
      </w:r>
    </w:p>
    <w:p w14:paraId="2FCDD1D5" w14:textId="77777777" w:rsidR="00583E4C" w:rsidRPr="00542984" w:rsidRDefault="00583E4C" w:rsidP="00583E4C">
      <w:pPr>
        <w:numPr>
          <w:ilvl w:val="0"/>
          <w:numId w:val="3"/>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Identify key drivers of CLV through data analysis and visualization.</w:t>
      </w:r>
    </w:p>
    <w:p w14:paraId="05F7B119" w14:textId="77777777" w:rsidR="00583E4C" w:rsidRPr="00542984" w:rsidRDefault="00583E4C" w:rsidP="00583E4C">
      <w:pPr>
        <w:numPr>
          <w:ilvl w:val="0"/>
          <w:numId w:val="3"/>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Provide actionable recommendations to enhance customer retention and maximize revenue.</w:t>
      </w:r>
    </w:p>
    <w:p w14:paraId="12CEAB06" w14:textId="5A078242" w:rsidR="00583E4C" w:rsidRPr="00542984" w:rsidRDefault="00CE18F1" w:rsidP="00583E4C">
      <w:pPr>
        <w:overflowPunct/>
        <w:autoSpaceDE/>
        <w:autoSpaceDN/>
        <w:adjustRightInd/>
        <w:spacing w:after="160" w:line="480" w:lineRule="auto"/>
        <w:textAlignment w:val="auto"/>
        <w:rPr>
          <w:rFonts w:eastAsiaTheme="minorEastAsia"/>
          <w:b/>
          <w:sz w:val="24"/>
          <w:szCs w:val="24"/>
          <w:lang w:val="en-IN" w:eastAsia="zh-CN"/>
        </w:rPr>
      </w:pPr>
      <w:r w:rsidRPr="00542984">
        <w:rPr>
          <w:rFonts w:eastAsiaTheme="minorEastAsia"/>
          <w:b/>
          <w:sz w:val="24"/>
          <w:szCs w:val="24"/>
          <w:lang w:val="en-IN" w:eastAsia="zh-CN"/>
        </w:rPr>
        <w:t>1.</w:t>
      </w:r>
      <w:r w:rsidR="00583E4C" w:rsidRPr="00542984">
        <w:rPr>
          <w:rFonts w:eastAsiaTheme="minorEastAsia"/>
          <w:b/>
          <w:sz w:val="24"/>
          <w:szCs w:val="24"/>
          <w:lang w:val="en-IN" w:eastAsia="zh-CN"/>
        </w:rPr>
        <w:t>2. Research Motivation</w:t>
      </w:r>
    </w:p>
    <w:p w14:paraId="1D83B297" w14:textId="77777777" w:rsidR="00583E4C" w:rsidRPr="00542984" w:rsidRDefault="00583E4C" w:rsidP="00583E4C">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The insurance industry operates in a highly competitive environment where customer retention is both challenging and essential. This study seeks to empower the business with data-driven strategies by:</w:t>
      </w:r>
    </w:p>
    <w:p w14:paraId="6067012D" w14:textId="77777777" w:rsidR="00583E4C" w:rsidRPr="00542984" w:rsidRDefault="00583E4C" w:rsidP="00583E4C">
      <w:pPr>
        <w:numPr>
          <w:ilvl w:val="0"/>
          <w:numId w:val="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Predicting CLV to prioritize resource allocation.</w:t>
      </w:r>
    </w:p>
    <w:p w14:paraId="6AA50FA2" w14:textId="26F2B435" w:rsidR="00583E4C" w:rsidRPr="00542984" w:rsidRDefault="00583E4C" w:rsidP="00583E4C">
      <w:pPr>
        <w:numPr>
          <w:ilvl w:val="0"/>
          <w:numId w:val="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Understanding demographic, geographic, and behavioural patterns influencing customer value.</w:t>
      </w:r>
    </w:p>
    <w:p w14:paraId="5955B675" w14:textId="77777777" w:rsidR="00583E4C" w:rsidRPr="00542984" w:rsidRDefault="00583E4C" w:rsidP="00583E4C">
      <w:pPr>
        <w:numPr>
          <w:ilvl w:val="0"/>
          <w:numId w:val="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Uncovering actionable insights that drive strategic decisions.</w:t>
      </w:r>
    </w:p>
    <w:p w14:paraId="484582F7" w14:textId="78A068CE" w:rsidR="00583E4C" w:rsidRPr="00542984" w:rsidRDefault="00CE18F1" w:rsidP="00583E4C">
      <w:pPr>
        <w:overflowPunct/>
        <w:autoSpaceDE/>
        <w:autoSpaceDN/>
        <w:adjustRightInd/>
        <w:spacing w:after="160" w:line="480" w:lineRule="auto"/>
        <w:textAlignment w:val="auto"/>
        <w:rPr>
          <w:rFonts w:eastAsiaTheme="minorEastAsia"/>
          <w:b/>
          <w:sz w:val="24"/>
          <w:szCs w:val="24"/>
          <w:lang w:val="en-IN" w:eastAsia="zh-CN"/>
        </w:rPr>
      </w:pPr>
      <w:r w:rsidRPr="00542984">
        <w:rPr>
          <w:rFonts w:eastAsiaTheme="minorEastAsia"/>
          <w:b/>
          <w:sz w:val="24"/>
          <w:szCs w:val="24"/>
          <w:lang w:val="en-IN" w:eastAsia="zh-CN"/>
        </w:rPr>
        <w:t>1.</w:t>
      </w:r>
      <w:r w:rsidR="00583E4C" w:rsidRPr="00542984">
        <w:rPr>
          <w:rFonts w:eastAsiaTheme="minorEastAsia"/>
          <w:b/>
          <w:sz w:val="24"/>
          <w:szCs w:val="24"/>
          <w:lang w:val="en-IN" w:eastAsia="zh-CN"/>
        </w:rPr>
        <w:t>3. Dataset Background</w:t>
      </w:r>
    </w:p>
    <w:p w14:paraId="6FA082B6" w14:textId="751FD1FD" w:rsidR="00126897" w:rsidRPr="00542984" w:rsidRDefault="00583E4C" w:rsidP="00126897">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The dataset, sourced from Kaggle’s IBM Watson Marketing repository, comprises over </w:t>
      </w:r>
      <w:r w:rsidR="00DB366E" w:rsidRPr="00542984">
        <w:rPr>
          <w:rFonts w:eastAsiaTheme="minorEastAsia"/>
          <w:bCs/>
          <w:sz w:val="24"/>
          <w:szCs w:val="24"/>
          <w:lang w:val="en-IN" w:eastAsia="zh-CN"/>
        </w:rPr>
        <w:t>10</w:t>
      </w:r>
      <w:r w:rsidRPr="00542984">
        <w:rPr>
          <w:rFonts w:eastAsiaTheme="minorEastAsia"/>
          <w:bCs/>
          <w:sz w:val="24"/>
          <w:szCs w:val="24"/>
          <w:lang w:val="en-IN" w:eastAsia="zh-CN"/>
        </w:rPr>
        <w:t>,000 customer records. It includes attributes like demographic details (e.g., gender, marital status), vehicle information, policy types, and sales channel performance. The target variable, Customer Lifetime Value, is pre-calculated and serves as the foundation for training a predictive model and deriving insights.</w:t>
      </w:r>
      <w:r w:rsidR="00126897" w:rsidRPr="00542984">
        <w:rPr>
          <w:rFonts w:eastAsiaTheme="minorEastAsia"/>
          <w:b/>
          <w:sz w:val="24"/>
          <w:szCs w:val="24"/>
          <w:lang w:val="en-IN" w:eastAsia="zh-CN"/>
        </w:rPr>
        <w:br w:type="page"/>
      </w:r>
    </w:p>
    <w:p w14:paraId="27928D8D" w14:textId="11A805D5" w:rsidR="00AB5678" w:rsidRPr="00AB5678" w:rsidRDefault="00CE18F1" w:rsidP="00AB5678">
      <w:pPr>
        <w:overflowPunct/>
        <w:autoSpaceDE/>
        <w:autoSpaceDN/>
        <w:adjustRightInd/>
        <w:spacing w:after="160" w:line="480" w:lineRule="auto"/>
        <w:textAlignment w:val="auto"/>
        <w:rPr>
          <w:rFonts w:eastAsiaTheme="minorEastAsia"/>
          <w:b/>
          <w:sz w:val="24"/>
          <w:szCs w:val="24"/>
          <w:lang w:val="en-IN" w:eastAsia="zh-CN"/>
        </w:rPr>
      </w:pPr>
      <w:r w:rsidRPr="00542984">
        <w:rPr>
          <w:rFonts w:eastAsiaTheme="minorEastAsia"/>
          <w:b/>
          <w:sz w:val="24"/>
          <w:szCs w:val="24"/>
          <w:lang w:val="en-IN" w:eastAsia="zh-CN"/>
        </w:rPr>
        <w:lastRenderedPageBreak/>
        <w:t>1.</w:t>
      </w:r>
      <w:r w:rsidR="00583E4C" w:rsidRPr="00542984">
        <w:rPr>
          <w:rFonts w:eastAsiaTheme="minorEastAsia"/>
          <w:b/>
          <w:sz w:val="24"/>
          <w:szCs w:val="24"/>
          <w:lang w:val="en-IN" w:eastAsia="zh-CN"/>
        </w:rPr>
        <w:t>4. Structure of the Report</w:t>
      </w:r>
      <w:r w:rsidR="00AB5678">
        <w:rPr>
          <w:rFonts w:eastAsiaTheme="minorEastAsia"/>
          <w:b/>
          <w:sz w:val="24"/>
          <w:szCs w:val="24"/>
          <w:lang w:val="en-IN" w:eastAsia="zh-CN"/>
        </w:rPr>
        <w:t>:</w:t>
      </w:r>
    </w:p>
    <w:tbl>
      <w:tblPr>
        <w:tblW w:w="7483" w:type="dxa"/>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2"/>
        <w:gridCol w:w="2541"/>
      </w:tblGrid>
      <w:tr w:rsidR="00AB5678" w:rsidRPr="00AB5678" w14:paraId="3E83183E" w14:textId="77777777" w:rsidTr="00AB5678">
        <w:trPr>
          <w:trHeight w:val="323"/>
          <w:tblHeader/>
          <w:tblCellSpacing w:w="15" w:type="dxa"/>
        </w:trPr>
        <w:tc>
          <w:tcPr>
            <w:tcW w:w="4897" w:type="dxa"/>
            <w:vAlign w:val="center"/>
            <w:hideMark/>
          </w:tcPr>
          <w:p w14:paraId="3C4D272D" w14:textId="77777777" w:rsidR="00AB5678" w:rsidRPr="00AB5678" w:rsidRDefault="00AB5678" w:rsidP="008B72DF">
            <w:pPr>
              <w:overflowPunct/>
              <w:autoSpaceDE/>
              <w:autoSpaceDN/>
              <w:adjustRightInd/>
              <w:spacing w:after="160"/>
              <w:textAlignment w:val="auto"/>
              <w:rPr>
                <w:rFonts w:eastAsiaTheme="minorEastAsia"/>
                <w:b/>
                <w:bCs/>
                <w:sz w:val="24"/>
                <w:szCs w:val="24"/>
                <w:lang w:val="en-IN" w:eastAsia="zh-CN"/>
              </w:rPr>
            </w:pPr>
            <w:r w:rsidRPr="00AB5678">
              <w:rPr>
                <w:rFonts w:eastAsiaTheme="minorEastAsia"/>
                <w:b/>
                <w:bCs/>
                <w:sz w:val="24"/>
                <w:szCs w:val="24"/>
                <w:lang w:val="en-IN" w:eastAsia="zh-CN"/>
              </w:rPr>
              <w:t>Section</w:t>
            </w:r>
          </w:p>
        </w:tc>
        <w:tc>
          <w:tcPr>
            <w:tcW w:w="2496" w:type="dxa"/>
            <w:vAlign w:val="center"/>
            <w:hideMark/>
          </w:tcPr>
          <w:p w14:paraId="76E4B1BA" w14:textId="77777777" w:rsidR="00AB5678" w:rsidRPr="00AB5678" w:rsidRDefault="00AB5678" w:rsidP="008B72DF">
            <w:pPr>
              <w:overflowPunct/>
              <w:autoSpaceDE/>
              <w:autoSpaceDN/>
              <w:adjustRightInd/>
              <w:spacing w:after="160"/>
              <w:textAlignment w:val="auto"/>
              <w:rPr>
                <w:rFonts w:eastAsiaTheme="minorEastAsia"/>
                <w:b/>
                <w:bCs/>
                <w:sz w:val="24"/>
                <w:szCs w:val="24"/>
                <w:lang w:val="en-IN" w:eastAsia="zh-CN"/>
              </w:rPr>
            </w:pPr>
            <w:r w:rsidRPr="00AB5678">
              <w:rPr>
                <w:rFonts w:eastAsiaTheme="minorEastAsia"/>
                <w:b/>
                <w:bCs/>
                <w:sz w:val="24"/>
                <w:szCs w:val="24"/>
                <w:lang w:val="en-IN" w:eastAsia="zh-CN"/>
              </w:rPr>
              <w:t>Pages</w:t>
            </w:r>
          </w:p>
        </w:tc>
      </w:tr>
      <w:tr w:rsidR="00AB5678" w:rsidRPr="00AB5678" w14:paraId="1F825DCD" w14:textId="77777777" w:rsidTr="00AB5678">
        <w:trPr>
          <w:trHeight w:val="323"/>
          <w:tblCellSpacing w:w="15" w:type="dxa"/>
        </w:trPr>
        <w:tc>
          <w:tcPr>
            <w:tcW w:w="4897" w:type="dxa"/>
            <w:vAlign w:val="center"/>
            <w:hideMark/>
          </w:tcPr>
          <w:p w14:paraId="4645DD1D"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Title Page</w:t>
            </w:r>
          </w:p>
        </w:tc>
        <w:tc>
          <w:tcPr>
            <w:tcW w:w="2496" w:type="dxa"/>
            <w:vAlign w:val="center"/>
            <w:hideMark/>
          </w:tcPr>
          <w:p w14:paraId="01406C2B"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1</w:t>
            </w:r>
          </w:p>
        </w:tc>
      </w:tr>
      <w:tr w:rsidR="00AB5678" w:rsidRPr="00AB5678" w14:paraId="73CB1C5A" w14:textId="77777777" w:rsidTr="00AB5678">
        <w:trPr>
          <w:trHeight w:val="329"/>
          <w:tblCellSpacing w:w="15" w:type="dxa"/>
        </w:trPr>
        <w:tc>
          <w:tcPr>
            <w:tcW w:w="4897" w:type="dxa"/>
            <w:vAlign w:val="center"/>
            <w:hideMark/>
          </w:tcPr>
          <w:p w14:paraId="67555371"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Abstract</w:t>
            </w:r>
          </w:p>
        </w:tc>
        <w:tc>
          <w:tcPr>
            <w:tcW w:w="2496" w:type="dxa"/>
            <w:vAlign w:val="center"/>
            <w:hideMark/>
          </w:tcPr>
          <w:p w14:paraId="4F6F16D0"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2</w:t>
            </w:r>
          </w:p>
        </w:tc>
      </w:tr>
      <w:tr w:rsidR="00AB5678" w:rsidRPr="00AB5678" w14:paraId="1FF8F802" w14:textId="77777777" w:rsidTr="00AB5678">
        <w:trPr>
          <w:trHeight w:val="329"/>
          <w:tblCellSpacing w:w="15" w:type="dxa"/>
        </w:trPr>
        <w:tc>
          <w:tcPr>
            <w:tcW w:w="4897" w:type="dxa"/>
            <w:vAlign w:val="center"/>
            <w:hideMark/>
          </w:tcPr>
          <w:p w14:paraId="520B8D06"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Keywords</w:t>
            </w:r>
          </w:p>
        </w:tc>
        <w:tc>
          <w:tcPr>
            <w:tcW w:w="2496" w:type="dxa"/>
            <w:vAlign w:val="center"/>
            <w:hideMark/>
          </w:tcPr>
          <w:p w14:paraId="202E016A" w14:textId="7098916E"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Pr>
                <w:rFonts w:eastAsiaTheme="minorEastAsia"/>
                <w:bCs/>
                <w:sz w:val="24"/>
                <w:szCs w:val="24"/>
                <w:lang w:val="en-IN" w:eastAsia="zh-CN"/>
              </w:rPr>
              <w:t>2</w:t>
            </w:r>
          </w:p>
        </w:tc>
      </w:tr>
      <w:tr w:rsidR="00AB5678" w:rsidRPr="00AB5678" w14:paraId="668BD81B" w14:textId="77777777" w:rsidTr="00AB5678">
        <w:trPr>
          <w:trHeight w:val="323"/>
          <w:tblCellSpacing w:w="15" w:type="dxa"/>
        </w:trPr>
        <w:tc>
          <w:tcPr>
            <w:tcW w:w="4897" w:type="dxa"/>
            <w:vAlign w:val="center"/>
            <w:hideMark/>
          </w:tcPr>
          <w:p w14:paraId="2D4F168E"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Introduction</w:t>
            </w:r>
          </w:p>
        </w:tc>
        <w:tc>
          <w:tcPr>
            <w:tcW w:w="2496" w:type="dxa"/>
            <w:vAlign w:val="center"/>
            <w:hideMark/>
          </w:tcPr>
          <w:p w14:paraId="4E211768" w14:textId="63A6BA85"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Pr>
                <w:rFonts w:eastAsiaTheme="minorEastAsia"/>
                <w:bCs/>
                <w:sz w:val="24"/>
                <w:szCs w:val="24"/>
                <w:lang w:val="en-IN" w:eastAsia="zh-CN"/>
              </w:rPr>
              <w:t>2</w:t>
            </w:r>
            <w:r w:rsidRPr="00AB5678">
              <w:rPr>
                <w:rFonts w:eastAsiaTheme="minorEastAsia"/>
                <w:bCs/>
                <w:sz w:val="24"/>
                <w:szCs w:val="24"/>
                <w:lang w:val="en-IN" w:eastAsia="zh-CN"/>
              </w:rPr>
              <w:t xml:space="preserve"> - </w:t>
            </w:r>
            <w:r>
              <w:rPr>
                <w:rFonts w:eastAsiaTheme="minorEastAsia"/>
                <w:bCs/>
                <w:sz w:val="24"/>
                <w:szCs w:val="24"/>
                <w:lang w:val="en-IN" w:eastAsia="zh-CN"/>
              </w:rPr>
              <w:t>4</w:t>
            </w:r>
          </w:p>
        </w:tc>
      </w:tr>
      <w:tr w:rsidR="00AB5678" w:rsidRPr="00AB5678" w14:paraId="53E9CD34" w14:textId="77777777" w:rsidTr="00AB5678">
        <w:trPr>
          <w:trHeight w:val="329"/>
          <w:tblCellSpacing w:w="15" w:type="dxa"/>
        </w:trPr>
        <w:tc>
          <w:tcPr>
            <w:tcW w:w="4897" w:type="dxa"/>
            <w:vAlign w:val="center"/>
            <w:hideMark/>
          </w:tcPr>
          <w:p w14:paraId="1DEE7028"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Literature Review</w:t>
            </w:r>
          </w:p>
        </w:tc>
        <w:tc>
          <w:tcPr>
            <w:tcW w:w="2496" w:type="dxa"/>
            <w:vAlign w:val="center"/>
            <w:hideMark/>
          </w:tcPr>
          <w:p w14:paraId="5F517B08" w14:textId="6CFBE7B9"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Pr>
                <w:rFonts w:eastAsiaTheme="minorEastAsia"/>
                <w:bCs/>
                <w:sz w:val="24"/>
                <w:szCs w:val="24"/>
                <w:lang w:val="en-IN" w:eastAsia="zh-CN"/>
              </w:rPr>
              <w:t>4</w:t>
            </w:r>
            <w:r w:rsidRPr="00AB5678">
              <w:rPr>
                <w:rFonts w:eastAsiaTheme="minorEastAsia"/>
                <w:bCs/>
                <w:sz w:val="24"/>
                <w:szCs w:val="24"/>
                <w:lang w:val="en-IN" w:eastAsia="zh-CN"/>
              </w:rPr>
              <w:t xml:space="preserve"> - </w:t>
            </w:r>
            <w:r>
              <w:rPr>
                <w:rFonts w:eastAsiaTheme="minorEastAsia"/>
                <w:bCs/>
                <w:sz w:val="24"/>
                <w:szCs w:val="24"/>
                <w:lang w:val="en-IN" w:eastAsia="zh-CN"/>
              </w:rPr>
              <w:t>7</w:t>
            </w:r>
          </w:p>
        </w:tc>
      </w:tr>
      <w:tr w:rsidR="00AB5678" w:rsidRPr="00AB5678" w14:paraId="474D1D93" w14:textId="77777777" w:rsidTr="00AB5678">
        <w:trPr>
          <w:trHeight w:val="329"/>
          <w:tblCellSpacing w:w="15" w:type="dxa"/>
        </w:trPr>
        <w:tc>
          <w:tcPr>
            <w:tcW w:w="4897" w:type="dxa"/>
            <w:vAlign w:val="center"/>
            <w:hideMark/>
          </w:tcPr>
          <w:p w14:paraId="4B7221ED"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Data and Methods</w:t>
            </w:r>
          </w:p>
        </w:tc>
        <w:tc>
          <w:tcPr>
            <w:tcW w:w="2496" w:type="dxa"/>
            <w:vAlign w:val="center"/>
            <w:hideMark/>
          </w:tcPr>
          <w:p w14:paraId="748C595C" w14:textId="417867A6"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Pr>
                <w:rFonts w:eastAsiaTheme="minorEastAsia"/>
                <w:bCs/>
                <w:sz w:val="24"/>
                <w:szCs w:val="24"/>
                <w:lang w:val="en-IN" w:eastAsia="zh-CN"/>
              </w:rPr>
              <w:t>7</w:t>
            </w:r>
            <w:r w:rsidRPr="00AB5678">
              <w:rPr>
                <w:rFonts w:eastAsiaTheme="minorEastAsia"/>
                <w:bCs/>
                <w:sz w:val="24"/>
                <w:szCs w:val="24"/>
                <w:lang w:val="en-IN" w:eastAsia="zh-CN"/>
              </w:rPr>
              <w:t xml:space="preserve"> - 13</w:t>
            </w:r>
          </w:p>
        </w:tc>
      </w:tr>
      <w:tr w:rsidR="00AB5678" w:rsidRPr="00AB5678" w14:paraId="7895DBC6" w14:textId="77777777" w:rsidTr="00AB5678">
        <w:trPr>
          <w:trHeight w:val="323"/>
          <w:tblCellSpacing w:w="15" w:type="dxa"/>
        </w:trPr>
        <w:tc>
          <w:tcPr>
            <w:tcW w:w="4897" w:type="dxa"/>
            <w:vAlign w:val="center"/>
            <w:hideMark/>
          </w:tcPr>
          <w:p w14:paraId="747473AE"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Discussion</w:t>
            </w:r>
          </w:p>
        </w:tc>
        <w:tc>
          <w:tcPr>
            <w:tcW w:w="2496" w:type="dxa"/>
            <w:vAlign w:val="center"/>
            <w:hideMark/>
          </w:tcPr>
          <w:p w14:paraId="3286CDE7" w14:textId="6863061C"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Pr>
                <w:rFonts w:eastAsiaTheme="minorEastAsia"/>
                <w:bCs/>
                <w:sz w:val="24"/>
                <w:szCs w:val="24"/>
                <w:lang w:val="en-IN" w:eastAsia="zh-CN"/>
              </w:rPr>
              <w:t>13</w:t>
            </w:r>
            <w:r w:rsidRPr="00AB5678">
              <w:rPr>
                <w:rFonts w:eastAsiaTheme="minorEastAsia"/>
                <w:bCs/>
                <w:sz w:val="24"/>
                <w:szCs w:val="24"/>
                <w:lang w:val="en-IN" w:eastAsia="zh-CN"/>
              </w:rPr>
              <w:t xml:space="preserve"> - </w:t>
            </w:r>
            <w:r>
              <w:rPr>
                <w:rFonts w:eastAsiaTheme="minorEastAsia"/>
                <w:bCs/>
                <w:sz w:val="24"/>
                <w:szCs w:val="24"/>
                <w:lang w:val="en-IN" w:eastAsia="zh-CN"/>
              </w:rPr>
              <w:t>20</w:t>
            </w:r>
          </w:p>
        </w:tc>
      </w:tr>
      <w:tr w:rsidR="00AB5678" w:rsidRPr="00AB5678" w14:paraId="41A6865B" w14:textId="77777777" w:rsidTr="00AB5678">
        <w:trPr>
          <w:trHeight w:val="329"/>
          <w:tblCellSpacing w:w="15" w:type="dxa"/>
        </w:trPr>
        <w:tc>
          <w:tcPr>
            <w:tcW w:w="4897" w:type="dxa"/>
            <w:vAlign w:val="center"/>
            <w:hideMark/>
          </w:tcPr>
          <w:p w14:paraId="281D385D"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Theoretical and Managerial Implications</w:t>
            </w:r>
          </w:p>
        </w:tc>
        <w:tc>
          <w:tcPr>
            <w:tcW w:w="2496" w:type="dxa"/>
            <w:vAlign w:val="center"/>
            <w:hideMark/>
          </w:tcPr>
          <w:p w14:paraId="0407FDF6" w14:textId="34005A99"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20 - 2</w:t>
            </w:r>
            <w:r>
              <w:rPr>
                <w:rFonts w:eastAsiaTheme="minorEastAsia"/>
                <w:bCs/>
                <w:sz w:val="24"/>
                <w:szCs w:val="24"/>
                <w:lang w:val="en-IN" w:eastAsia="zh-CN"/>
              </w:rPr>
              <w:t>6</w:t>
            </w:r>
          </w:p>
        </w:tc>
      </w:tr>
      <w:tr w:rsidR="00AB5678" w:rsidRPr="00AB5678" w14:paraId="616EAEAE" w14:textId="77777777" w:rsidTr="00AB5678">
        <w:trPr>
          <w:trHeight w:val="329"/>
          <w:tblCellSpacing w:w="15" w:type="dxa"/>
        </w:trPr>
        <w:tc>
          <w:tcPr>
            <w:tcW w:w="4897" w:type="dxa"/>
            <w:vAlign w:val="center"/>
            <w:hideMark/>
          </w:tcPr>
          <w:p w14:paraId="2C7D2F8B"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Conclusion</w:t>
            </w:r>
          </w:p>
        </w:tc>
        <w:tc>
          <w:tcPr>
            <w:tcW w:w="2496" w:type="dxa"/>
            <w:vAlign w:val="center"/>
            <w:hideMark/>
          </w:tcPr>
          <w:p w14:paraId="5995C335" w14:textId="2FA3FF5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2</w:t>
            </w:r>
            <w:r>
              <w:rPr>
                <w:rFonts w:eastAsiaTheme="minorEastAsia"/>
                <w:bCs/>
                <w:sz w:val="24"/>
                <w:szCs w:val="24"/>
                <w:lang w:val="en-IN" w:eastAsia="zh-CN"/>
              </w:rPr>
              <w:t>7</w:t>
            </w:r>
          </w:p>
        </w:tc>
      </w:tr>
      <w:tr w:rsidR="00AB5678" w:rsidRPr="00AB5678" w14:paraId="0FD5C836" w14:textId="77777777" w:rsidTr="00AB5678">
        <w:trPr>
          <w:trHeight w:val="323"/>
          <w:tblCellSpacing w:w="15" w:type="dxa"/>
        </w:trPr>
        <w:tc>
          <w:tcPr>
            <w:tcW w:w="4897" w:type="dxa"/>
            <w:vAlign w:val="center"/>
            <w:hideMark/>
          </w:tcPr>
          <w:p w14:paraId="6E302EA9"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References</w:t>
            </w:r>
          </w:p>
        </w:tc>
        <w:tc>
          <w:tcPr>
            <w:tcW w:w="2496" w:type="dxa"/>
            <w:vAlign w:val="center"/>
            <w:hideMark/>
          </w:tcPr>
          <w:p w14:paraId="497B0759" w14:textId="3261FE99"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28</w:t>
            </w:r>
          </w:p>
        </w:tc>
      </w:tr>
      <w:tr w:rsidR="00AB5678" w:rsidRPr="00AB5678" w14:paraId="32B6C6BE" w14:textId="77777777" w:rsidTr="00AB5678">
        <w:trPr>
          <w:trHeight w:val="53"/>
          <w:tblCellSpacing w:w="15" w:type="dxa"/>
        </w:trPr>
        <w:tc>
          <w:tcPr>
            <w:tcW w:w="4897" w:type="dxa"/>
            <w:vAlign w:val="center"/>
            <w:hideMark/>
          </w:tcPr>
          <w:p w14:paraId="176E8228"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Appendix</w:t>
            </w:r>
          </w:p>
        </w:tc>
        <w:tc>
          <w:tcPr>
            <w:tcW w:w="2496" w:type="dxa"/>
            <w:vAlign w:val="center"/>
            <w:hideMark/>
          </w:tcPr>
          <w:p w14:paraId="0583F766" w14:textId="77777777" w:rsidR="00AB5678" w:rsidRPr="00AB5678" w:rsidRDefault="00AB5678" w:rsidP="008B72DF">
            <w:pPr>
              <w:overflowPunct/>
              <w:autoSpaceDE/>
              <w:autoSpaceDN/>
              <w:adjustRightInd/>
              <w:spacing w:after="160"/>
              <w:textAlignment w:val="auto"/>
              <w:rPr>
                <w:rFonts w:eastAsiaTheme="minorEastAsia"/>
                <w:bCs/>
                <w:sz w:val="24"/>
                <w:szCs w:val="24"/>
                <w:lang w:val="en-IN" w:eastAsia="zh-CN"/>
              </w:rPr>
            </w:pPr>
            <w:r w:rsidRPr="00AB5678">
              <w:rPr>
                <w:rFonts w:eastAsiaTheme="minorEastAsia"/>
                <w:bCs/>
                <w:sz w:val="24"/>
                <w:szCs w:val="24"/>
                <w:lang w:val="en-IN" w:eastAsia="zh-CN"/>
              </w:rPr>
              <w:t>29</w:t>
            </w:r>
          </w:p>
        </w:tc>
      </w:tr>
    </w:tbl>
    <w:p w14:paraId="3FD049B7" w14:textId="77777777" w:rsidR="00AB5678" w:rsidRDefault="00AB5678" w:rsidP="00AB5678">
      <w:pPr>
        <w:overflowPunct/>
        <w:autoSpaceDE/>
        <w:autoSpaceDN/>
        <w:adjustRightInd/>
        <w:spacing w:after="160" w:line="480" w:lineRule="auto"/>
        <w:textAlignment w:val="auto"/>
        <w:rPr>
          <w:rFonts w:eastAsiaTheme="minorEastAsia"/>
          <w:b/>
          <w:bCs/>
          <w:sz w:val="24"/>
          <w:szCs w:val="24"/>
          <w:u w:val="single"/>
          <w:lang w:val="en-IN" w:eastAsia="zh-CN"/>
        </w:rPr>
      </w:pPr>
    </w:p>
    <w:p w14:paraId="09F73882" w14:textId="00A472AF" w:rsidR="00253DEA" w:rsidRPr="00542984" w:rsidRDefault="00CE18F1" w:rsidP="00AB5678">
      <w:pPr>
        <w:overflowPunct/>
        <w:autoSpaceDE/>
        <w:autoSpaceDN/>
        <w:adjustRightInd/>
        <w:spacing w:after="160" w:line="480" w:lineRule="auto"/>
        <w:textAlignment w:val="auto"/>
        <w:rPr>
          <w:rFonts w:eastAsiaTheme="minorEastAsia"/>
          <w:b/>
          <w:bCs/>
          <w:sz w:val="24"/>
          <w:szCs w:val="24"/>
          <w:u w:val="single"/>
          <w:lang w:val="en-IN" w:eastAsia="zh-CN"/>
        </w:rPr>
      </w:pPr>
      <w:r w:rsidRPr="00542984">
        <w:rPr>
          <w:rFonts w:eastAsiaTheme="minorEastAsia"/>
          <w:b/>
          <w:bCs/>
          <w:sz w:val="24"/>
          <w:szCs w:val="24"/>
          <w:u w:val="single"/>
          <w:lang w:val="en-IN" w:eastAsia="zh-CN"/>
        </w:rPr>
        <w:t>2</w:t>
      </w:r>
      <w:r w:rsidR="00253DEA" w:rsidRPr="00542984">
        <w:rPr>
          <w:rFonts w:eastAsiaTheme="minorEastAsia"/>
          <w:b/>
          <w:bCs/>
          <w:sz w:val="24"/>
          <w:szCs w:val="24"/>
          <w:u w:val="single"/>
          <w:lang w:val="en-IN" w:eastAsia="zh-CN"/>
        </w:rPr>
        <w:t>. Literature Review</w:t>
      </w:r>
    </w:p>
    <w:p w14:paraId="6C3F9769" w14:textId="51890C4A" w:rsidR="00253DEA" w:rsidRPr="00542984" w:rsidRDefault="00CE18F1"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2</w:t>
      </w:r>
      <w:r w:rsidR="00253DEA" w:rsidRPr="00542984">
        <w:rPr>
          <w:rFonts w:eastAsiaTheme="minorEastAsia"/>
          <w:b/>
          <w:bCs/>
          <w:sz w:val="24"/>
          <w:szCs w:val="24"/>
          <w:lang w:val="en-IN" w:eastAsia="zh-CN"/>
        </w:rPr>
        <w:t>.1 Importance of Customer Lifetime Value</w:t>
      </w:r>
    </w:p>
    <w:p w14:paraId="5EA07C39"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Customer Lifetime Value (CLV) serves as a cornerstone of customer relationship management and strategic decision-making. It quantifies the long-term financial contribution of a customer, enabling businesses to allocate resources effectively, prioritize high-value segments, and enhance profitability.</w:t>
      </w:r>
    </w:p>
    <w:p w14:paraId="61E5B816" w14:textId="77777777" w:rsidR="00DB366E"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Gupta et al. (2006) emphasizes that CLV prediction helps align marketing strategies with revenue potential. In the insurance sector, CLV insights are particularly valuable for optimizing policy pricing, designing personalized retention strategies, and identifying cross-selling opportunities.</w:t>
      </w:r>
    </w:p>
    <w:p w14:paraId="631BC2DA" w14:textId="0DB5679B" w:rsidR="00253DEA" w:rsidRPr="00542984" w:rsidRDefault="00CE18F1"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lastRenderedPageBreak/>
        <w:t>2</w:t>
      </w:r>
      <w:r w:rsidR="00253DEA" w:rsidRPr="00542984">
        <w:rPr>
          <w:rFonts w:eastAsiaTheme="minorEastAsia"/>
          <w:b/>
          <w:bCs/>
          <w:sz w:val="24"/>
          <w:szCs w:val="24"/>
          <w:lang w:val="en-IN" w:eastAsia="zh-CN"/>
        </w:rPr>
        <w:t>.2 Predictive Analytics in CLV Estimation:</w:t>
      </w:r>
      <w:r w:rsidR="00DB366E" w:rsidRPr="00542984">
        <w:rPr>
          <w:rFonts w:eastAsiaTheme="minorEastAsia"/>
          <w:bCs/>
          <w:sz w:val="24"/>
          <w:szCs w:val="24"/>
          <w:lang w:val="en-IN" w:eastAsia="zh-CN"/>
        </w:rPr>
        <w:t xml:space="preserve"> </w:t>
      </w:r>
      <w:r w:rsidR="00253DEA" w:rsidRPr="00542984">
        <w:rPr>
          <w:rFonts w:eastAsiaTheme="minorEastAsia"/>
          <w:bCs/>
          <w:sz w:val="24"/>
          <w:szCs w:val="24"/>
          <w:lang w:val="en-IN" w:eastAsia="zh-CN"/>
        </w:rPr>
        <w:t xml:space="preserve">The evolution of predictive modelling has transformed CLV estimation, shifting from traditional statistical approaches to advanced machine learning techniques. </w:t>
      </w:r>
    </w:p>
    <w:p w14:paraId="76C557A7" w14:textId="19837492"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Each method contributes uniquely to the accuracy and interpretability of CLV predictions:</w:t>
      </w:r>
    </w:p>
    <w:p w14:paraId="0BC0AA44" w14:textId="77777777" w:rsidR="00253DEA" w:rsidRPr="00542984" w:rsidRDefault="00253DEA" w:rsidP="00253DEA">
      <w:pPr>
        <w:numPr>
          <w:ilvl w:val="0"/>
          <w:numId w:val="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Regression Models</w:t>
      </w:r>
      <w:r w:rsidRPr="00542984">
        <w:rPr>
          <w:rFonts w:eastAsiaTheme="minorEastAsia"/>
          <w:bCs/>
          <w:sz w:val="24"/>
          <w:szCs w:val="24"/>
          <w:lang w:val="en-IN" w:eastAsia="zh-CN"/>
        </w:rPr>
        <w:t>: Commonly used for their simplicity, regression models have historically been the baseline for CLV prediction.</w:t>
      </w:r>
    </w:p>
    <w:p w14:paraId="7950AB45" w14:textId="77777777" w:rsidR="00253DEA" w:rsidRPr="00542984" w:rsidRDefault="00253DEA" w:rsidP="00253DEA">
      <w:pPr>
        <w:numPr>
          <w:ilvl w:val="0"/>
          <w:numId w:val="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Random Forest Models</w:t>
      </w:r>
      <w:r w:rsidRPr="00542984">
        <w:rPr>
          <w:rFonts w:eastAsiaTheme="minorEastAsia"/>
          <w:bCs/>
          <w:sz w:val="24"/>
          <w:szCs w:val="24"/>
          <w:lang w:val="en-IN" w:eastAsia="zh-CN"/>
        </w:rPr>
        <w:t>: Introduced by Breiman (2001), Random Forest is widely adopted for its robustness in capturing nonlinear relationships and feature interactions, making it ideal for complex datasets like CLV.</w:t>
      </w:r>
    </w:p>
    <w:p w14:paraId="26C77B97" w14:textId="77777777" w:rsidR="00253DEA" w:rsidRPr="00542984" w:rsidRDefault="00253DEA" w:rsidP="00253DEA">
      <w:pPr>
        <w:numPr>
          <w:ilvl w:val="0"/>
          <w:numId w:val="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Recent Advances</w:t>
      </w:r>
      <w:r w:rsidRPr="00542984">
        <w:rPr>
          <w:rFonts w:eastAsiaTheme="minorEastAsia"/>
          <w:bCs/>
          <w:sz w:val="24"/>
          <w:szCs w:val="24"/>
          <w:lang w:val="en-IN" w:eastAsia="zh-CN"/>
        </w:rPr>
        <w:t xml:space="preserve">: Machine learning models, such as gradient boosting and </w:t>
      </w:r>
      <w:proofErr w:type="spellStart"/>
      <w:r w:rsidRPr="00542984">
        <w:rPr>
          <w:rFonts w:eastAsiaTheme="minorEastAsia"/>
          <w:bCs/>
          <w:sz w:val="24"/>
          <w:szCs w:val="24"/>
          <w:lang w:val="en-IN" w:eastAsia="zh-CN"/>
        </w:rPr>
        <w:t>XGBoost</w:t>
      </w:r>
      <w:proofErr w:type="spellEnd"/>
      <w:r w:rsidRPr="00542984">
        <w:rPr>
          <w:rFonts w:eastAsiaTheme="minorEastAsia"/>
          <w:bCs/>
          <w:sz w:val="24"/>
          <w:szCs w:val="24"/>
          <w:lang w:val="en-IN" w:eastAsia="zh-CN"/>
        </w:rPr>
        <w:t>, outperform traditional methods in capturing intricate patterns, though they often sacrifice interpretability for performance.</w:t>
      </w:r>
    </w:p>
    <w:p w14:paraId="4DDD1DB5"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Random Forest strikes a balance between these priorities, offering high accuracy while maintaining explainability, a critical requirement for actionable business insights.</w:t>
      </w:r>
    </w:p>
    <w:p w14:paraId="497ABF14" w14:textId="6653EB37" w:rsidR="00253DEA" w:rsidRPr="00542984" w:rsidRDefault="00CE18F1"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2</w:t>
      </w:r>
      <w:r w:rsidR="00253DEA" w:rsidRPr="00542984">
        <w:rPr>
          <w:rFonts w:eastAsiaTheme="minorEastAsia"/>
          <w:b/>
          <w:bCs/>
          <w:sz w:val="24"/>
          <w:szCs w:val="24"/>
          <w:lang w:val="en-IN" w:eastAsia="zh-CN"/>
        </w:rPr>
        <w:t>.3 Visual Analytics for Business Insights</w:t>
      </w:r>
    </w:p>
    <w:p w14:paraId="05013E82"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The integration of predictive analytics with visualization tools has revolutionized decision-making. Tableau, a leading dashboard platform, enables users to explore data interactively and translate technical findings into actionable strategies. Few (2006) highlights </w:t>
      </w:r>
      <w:proofErr w:type="gramStart"/>
      <w:r w:rsidRPr="00542984">
        <w:rPr>
          <w:rFonts w:eastAsiaTheme="minorEastAsia"/>
          <w:bCs/>
          <w:sz w:val="24"/>
          <w:szCs w:val="24"/>
          <w:lang w:val="en-IN" w:eastAsia="zh-CN"/>
        </w:rPr>
        <w:t>that effective dashboards</w:t>
      </w:r>
      <w:proofErr w:type="gramEnd"/>
      <w:r w:rsidRPr="00542984">
        <w:rPr>
          <w:rFonts w:eastAsiaTheme="minorEastAsia"/>
          <w:bCs/>
          <w:sz w:val="24"/>
          <w:szCs w:val="24"/>
          <w:lang w:val="en-IN" w:eastAsia="zh-CN"/>
        </w:rPr>
        <w:t>:</w:t>
      </w:r>
    </w:p>
    <w:p w14:paraId="1BC7A558" w14:textId="77777777" w:rsidR="00253DEA" w:rsidRPr="00542984" w:rsidRDefault="00253DEA" w:rsidP="00253DEA">
      <w:pPr>
        <w:numPr>
          <w:ilvl w:val="0"/>
          <w:numId w:val="7"/>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Facilitate trend exploration and hypothesis testing.</w:t>
      </w:r>
    </w:p>
    <w:p w14:paraId="551EE993" w14:textId="77777777" w:rsidR="00253DEA" w:rsidRPr="00542984" w:rsidRDefault="00253DEA" w:rsidP="00253DEA">
      <w:pPr>
        <w:numPr>
          <w:ilvl w:val="0"/>
          <w:numId w:val="7"/>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Empower decision-makers with intuitive visualizations.</w:t>
      </w:r>
    </w:p>
    <w:p w14:paraId="1DF3869E" w14:textId="77777777" w:rsidR="00253DEA" w:rsidRPr="00542984" w:rsidRDefault="00253DEA" w:rsidP="00253DEA">
      <w:pPr>
        <w:numPr>
          <w:ilvl w:val="0"/>
          <w:numId w:val="7"/>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Bridge the gap between raw data and strategic actions.</w:t>
      </w:r>
    </w:p>
    <w:p w14:paraId="01C94FD2" w14:textId="77777777" w:rsidR="00D14B7B"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lastRenderedPageBreak/>
        <w:t>This project leverages Tableau to complement predictive modelling, ensuring that insights are both accessible and impactful for stakeholders.</w:t>
      </w:r>
    </w:p>
    <w:p w14:paraId="4849C49C" w14:textId="23EE2334" w:rsidR="00253DEA" w:rsidRPr="00542984" w:rsidRDefault="00CE18F1"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2</w:t>
      </w:r>
      <w:r w:rsidR="00253DEA" w:rsidRPr="00542984">
        <w:rPr>
          <w:rFonts w:eastAsiaTheme="minorEastAsia"/>
          <w:b/>
          <w:bCs/>
          <w:sz w:val="24"/>
          <w:szCs w:val="24"/>
          <w:lang w:val="en-IN" w:eastAsia="zh-CN"/>
        </w:rPr>
        <w:t>.4 Literature Summary Table:</w:t>
      </w: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6"/>
        <w:gridCol w:w="2050"/>
        <w:gridCol w:w="1713"/>
        <w:gridCol w:w="4555"/>
      </w:tblGrid>
      <w:tr w:rsidR="00253DEA" w:rsidRPr="00542984" w14:paraId="754ECE0E" w14:textId="77777777" w:rsidTr="00126897">
        <w:trPr>
          <w:trHeight w:val="691"/>
          <w:tblHeader/>
          <w:tblCellSpacing w:w="15" w:type="dxa"/>
        </w:trPr>
        <w:tc>
          <w:tcPr>
            <w:tcW w:w="0" w:type="auto"/>
            <w:vAlign w:val="center"/>
            <w:hideMark/>
          </w:tcPr>
          <w:p w14:paraId="2B965ADC" w14:textId="77777777" w:rsidR="00253DEA" w:rsidRPr="00542984" w:rsidRDefault="00253DEA"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Author(s)</w:t>
            </w:r>
          </w:p>
        </w:tc>
        <w:tc>
          <w:tcPr>
            <w:tcW w:w="0" w:type="auto"/>
            <w:vAlign w:val="center"/>
            <w:hideMark/>
          </w:tcPr>
          <w:p w14:paraId="422874DA" w14:textId="77777777" w:rsidR="00253DEA" w:rsidRPr="00542984" w:rsidRDefault="00253DEA"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Key Focus</w:t>
            </w:r>
          </w:p>
        </w:tc>
        <w:tc>
          <w:tcPr>
            <w:tcW w:w="0" w:type="auto"/>
            <w:vAlign w:val="center"/>
            <w:hideMark/>
          </w:tcPr>
          <w:p w14:paraId="25179B40" w14:textId="77777777" w:rsidR="00253DEA" w:rsidRPr="00542984" w:rsidRDefault="00253DEA"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Methodology</w:t>
            </w:r>
          </w:p>
        </w:tc>
        <w:tc>
          <w:tcPr>
            <w:tcW w:w="4510" w:type="dxa"/>
            <w:vAlign w:val="center"/>
            <w:hideMark/>
          </w:tcPr>
          <w:p w14:paraId="15ABA7BE" w14:textId="77777777" w:rsidR="00253DEA" w:rsidRPr="00542984" w:rsidRDefault="00253DEA"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Key Findings</w:t>
            </w:r>
          </w:p>
        </w:tc>
      </w:tr>
      <w:tr w:rsidR="00253DEA" w:rsidRPr="00542984" w14:paraId="228CF230" w14:textId="77777777" w:rsidTr="00126897">
        <w:trPr>
          <w:trHeight w:val="1237"/>
          <w:tblCellSpacing w:w="15" w:type="dxa"/>
        </w:trPr>
        <w:tc>
          <w:tcPr>
            <w:tcW w:w="0" w:type="auto"/>
            <w:vAlign w:val="center"/>
            <w:hideMark/>
          </w:tcPr>
          <w:p w14:paraId="6B43EB77"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Gupta et al. (2006)</w:t>
            </w:r>
          </w:p>
        </w:tc>
        <w:tc>
          <w:tcPr>
            <w:tcW w:w="0" w:type="auto"/>
            <w:vAlign w:val="center"/>
            <w:hideMark/>
          </w:tcPr>
          <w:p w14:paraId="27AD2227"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Importance of CLV for profitability</w:t>
            </w:r>
          </w:p>
        </w:tc>
        <w:tc>
          <w:tcPr>
            <w:tcW w:w="0" w:type="auto"/>
            <w:vAlign w:val="center"/>
            <w:hideMark/>
          </w:tcPr>
          <w:p w14:paraId="3803F7A1"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Regression Models</w:t>
            </w:r>
          </w:p>
        </w:tc>
        <w:tc>
          <w:tcPr>
            <w:tcW w:w="4510" w:type="dxa"/>
            <w:vAlign w:val="center"/>
            <w:hideMark/>
          </w:tcPr>
          <w:p w14:paraId="0B3F9D94"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CLV is critical for aligning resource allocation with customer value.</w:t>
            </w:r>
          </w:p>
        </w:tc>
      </w:tr>
      <w:tr w:rsidR="00253DEA" w:rsidRPr="00542984" w14:paraId="44520C90" w14:textId="77777777" w:rsidTr="00126897">
        <w:trPr>
          <w:trHeight w:val="1759"/>
          <w:tblCellSpacing w:w="15" w:type="dxa"/>
        </w:trPr>
        <w:tc>
          <w:tcPr>
            <w:tcW w:w="0" w:type="auto"/>
            <w:vAlign w:val="center"/>
            <w:hideMark/>
          </w:tcPr>
          <w:p w14:paraId="1433D07D"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Breiman (2001)</w:t>
            </w:r>
          </w:p>
        </w:tc>
        <w:tc>
          <w:tcPr>
            <w:tcW w:w="0" w:type="auto"/>
            <w:vAlign w:val="center"/>
            <w:hideMark/>
          </w:tcPr>
          <w:p w14:paraId="22D215F7"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Introduction of Random Forest models</w:t>
            </w:r>
          </w:p>
        </w:tc>
        <w:tc>
          <w:tcPr>
            <w:tcW w:w="0" w:type="auto"/>
            <w:vAlign w:val="center"/>
            <w:hideMark/>
          </w:tcPr>
          <w:p w14:paraId="70A1744D"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Ensemble Learning</w:t>
            </w:r>
          </w:p>
        </w:tc>
        <w:tc>
          <w:tcPr>
            <w:tcW w:w="4510" w:type="dxa"/>
            <w:vAlign w:val="center"/>
            <w:hideMark/>
          </w:tcPr>
          <w:p w14:paraId="7CF7AA6D"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Random Forest provides high accuracy in predictions with interpretable results.</w:t>
            </w:r>
          </w:p>
        </w:tc>
      </w:tr>
      <w:tr w:rsidR="00253DEA" w:rsidRPr="00542984" w14:paraId="3BE22D31" w14:textId="77777777" w:rsidTr="00126897">
        <w:trPr>
          <w:trHeight w:val="1759"/>
          <w:tblCellSpacing w:w="15" w:type="dxa"/>
        </w:trPr>
        <w:tc>
          <w:tcPr>
            <w:tcW w:w="0" w:type="auto"/>
            <w:vAlign w:val="center"/>
            <w:hideMark/>
          </w:tcPr>
          <w:p w14:paraId="1AB8B89F"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Kumar et al. (2008)</w:t>
            </w:r>
          </w:p>
        </w:tc>
        <w:tc>
          <w:tcPr>
            <w:tcW w:w="0" w:type="auto"/>
            <w:vAlign w:val="center"/>
            <w:hideMark/>
          </w:tcPr>
          <w:p w14:paraId="3B8F6A1A"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CLV estimation in the insurance sector</w:t>
            </w:r>
          </w:p>
        </w:tc>
        <w:tc>
          <w:tcPr>
            <w:tcW w:w="0" w:type="auto"/>
            <w:vAlign w:val="center"/>
            <w:hideMark/>
          </w:tcPr>
          <w:p w14:paraId="07E64615"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Statistical Analysis</w:t>
            </w:r>
          </w:p>
        </w:tc>
        <w:tc>
          <w:tcPr>
            <w:tcW w:w="4510" w:type="dxa"/>
            <w:vAlign w:val="center"/>
            <w:hideMark/>
          </w:tcPr>
          <w:p w14:paraId="281B56EB"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Segmentation by CLV improves marketing efficiency and customer satisfaction.</w:t>
            </w:r>
          </w:p>
        </w:tc>
      </w:tr>
      <w:tr w:rsidR="00253DEA" w:rsidRPr="00542984" w14:paraId="15AAB45E" w14:textId="77777777" w:rsidTr="00126897">
        <w:trPr>
          <w:trHeight w:val="1771"/>
          <w:tblCellSpacing w:w="15" w:type="dxa"/>
        </w:trPr>
        <w:tc>
          <w:tcPr>
            <w:tcW w:w="0" w:type="auto"/>
            <w:vAlign w:val="center"/>
            <w:hideMark/>
          </w:tcPr>
          <w:p w14:paraId="6EEC9700"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Few (2006)</w:t>
            </w:r>
          </w:p>
        </w:tc>
        <w:tc>
          <w:tcPr>
            <w:tcW w:w="0" w:type="auto"/>
            <w:vAlign w:val="center"/>
            <w:hideMark/>
          </w:tcPr>
          <w:p w14:paraId="0569D1EA"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Role of dashboards in decision-making</w:t>
            </w:r>
          </w:p>
        </w:tc>
        <w:tc>
          <w:tcPr>
            <w:tcW w:w="0" w:type="auto"/>
            <w:vAlign w:val="center"/>
            <w:hideMark/>
          </w:tcPr>
          <w:p w14:paraId="47A6BBAC"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Visual Analytics</w:t>
            </w:r>
          </w:p>
        </w:tc>
        <w:tc>
          <w:tcPr>
            <w:tcW w:w="4510" w:type="dxa"/>
            <w:vAlign w:val="center"/>
            <w:hideMark/>
          </w:tcPr>
          <w:p w14:paraId="627AA221"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Dashboards help stakeholders interact with complex data, enabling actionable insights.</w:t>
            </w:r>
          </w:p>
        </w:tc>
      </w:tr>
      <w:tr w:rsidR="00253DEA" w:rsidRPr="00542984" w14:paraId="25B5DE1F" w14:textId="77777777" w:rsidTr="00126897">
        <w:trPr>
          <w:trHeight w:val="1572"/>
          <w:tblCellSpacing w:w="15" w:type="dxa"/>
        </w:trPr>
        <w:tc>
          <w:tcPr>
            <w:tcW w:w="0" w:type="auto"/>
            <w:vAlign w:val="center"/>
            <w:hideMark/>
          </w:tcPr>
          <w:p w14:paraId="50D62E99"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Chen et al. (2020)</w:t>
            </w:r>
          </w:p>
        </w:tc>
        <w:tc>
          <w:tcPr>
            <w:tcW w:w="0" w:type="auto"/>
            <w:vAlign w:val="center"/>
            <w:hideMark/>
          </w:tcPr>
          <w:p w14:paraId="43C6831E"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Machine learning models for CLV prediction</w:t>
            </w:r>
          </w:p>
        </w:tc>
        <w:tc>
          <w:tcPr>
            <w:tcW w:w="0" w:type="auto"/>
            <w:vAlign w:val="center"/>
            <w:hideMark/>
          </w:tcPr>
          <w:p w14:paraId="31A0E014"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Random Forest, </w:t>
            </w:r>
            <w:proofErr w:type="spellStart"/>
            <w:r w:rsidRPr="00542984">
              <w:rPr>
                <w:rFonts w:eastAsiaTheme="minorEastAsia"/>
                <w:bCs/>
                <w:sz w:val="24"/>
                <w:szCs w:val="24"/>
                <w:lang w:val="en-IN" w:eastAsia="zh-CN"/>
              </w:rPr>
              <w:t>XGBoost</w:t>
            </w:r>
            <w:proofErr w:type="spellEnd"/>
          </w:p>
        </w:tc>
        <w:tc>
          <w:tcPr>
            <w:tcW w:w="4510" w:type="dxa"/>
            <w:vAlign w:val="center"/>
            <w:hideMark/>
          </w:tcPr>
          <w:p w14:paraId="03C1325D"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Machine learning models outperform traditional methods in capturing complex relationships in CLV data.</w:t>
            </w:r>
          </w:p>
        </w:tc>
      </w:tr>
    </w:tbl>
    <w:p w14:paraId="1BBB19C6" w14:textId="77777777" w:rsidR="00253DEA" w:rsidRPr="00542984" w:rsidRDefault="00253DEA" w:rsidP="00CC478B">
      <w:pPr>
        <w:overflowPunct/>
        <w:autoSpaceDE/>
        <w:autoSpaceDN/>
        <w:adjustRightInd/>
        <w:spacing w:after="160" w:line="480" w:lineRule="auto"/>
        <w:textAlignment w:val="auto"/>
        <w:rPr>
          <w:rFonts w:eastAsiaTheme="minorEastAsia"/>
          <w:bCs/>
          <w:sz w:val="24"/>
          <w:szCs w:val="24"/>
          <w:lang w:val="en-IN" w:eastAsia="zh-CN"/>
        </w:rPr>
      </w:pPr>
    </w:p>
    <w:p w14:paraId="427A9911" w14:textId="49CB41FC" w:rsidR="00253DEA" w:rsidRPr="00542984" w:rsidRDefault="00CE18F1"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2</w:t>
      </w:r>
      <w:r w:rsidR="00253DEA" w:rsidRPr="00542984">
        <w:rPr>
          <w:rFonts w:eastAsiaTheme="minorEastAsia"/>
          <w:b/>
          <w:bCs/>
          <w:sz w:val="24"/>
          <w:szCs w:val="24"/>
          <w:lang w:val="en-IN" w:eastAsia="zh-CN"/>
        </w:rPr>
        <w:t>.5 Connection to Theories</w:t>
      </w:r>
      <w:r w:rsidR="00126897" w:rsidRPr="00542984">
        <w:rPr>
          <w:rFonts w:eastAsiaTheme="minorEastAsia"/>
          <w:b/>
          <w:bCs/>
          <w:sz w:val="24"/>
          <w:szCs w:val="24"/>
          <w:lang w:val="en-IN" w:eastAsia="zh-CN"/>
        </w:rPr>
        <w:t xml:space="preserve"> </w:t>
      </w:r>
      <w:r w:rsidR="00253DEA" w:rsidRPr="00542984">
        <w:rPr>
          <w:rFonts w:eastAsiaTheme="minorEastAsia"/>
          <w:bCs/>
          <w:sz w:val="24"/>
          <w:szCs w:val="24"/>
          <w:lang w:val="en-IN" w:eastAsia="zh-CN"/>
        </w:rPr>
        <w:t>This study builds on established theories while integrating modern methodologies:</w:t>
      </w:r>
    </w:p>
    <w:p w14:paraId="744EFD09" w14:textId="77777777" w:rsidR="00253DEA" w:rsidRPr="00542984" w:rsidRDefault="00253DEA" w:rsidP="00253DEA">
      <w:pPr>
        <w:numPr>
          <w:ilvl w:val="0"/>
          <w:numId w:val="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lastRenderedPageBreak/>
        <w:t xml:space="preserve">Predictive </w:t>
      </w:r>
      <w:proofErr w:type="spellStart"/>
      <w:r w:rsidRPr="00542984">
        <w:rPr>
          <w:rFonts w:eastAsiaTheme="minorEastAsia"/>
          <w:b/>
          <w:bCs/>
          <w:sz w:val="24"/>
          <w:szCs w:val="24"/>
          <w:lang w:val="en-IN" w:eastAsia="zh-CN"/>
        </w:rPr>
        <w:t>Modeling</w:t>
      </w:r>
      <w:proofErr w:type="spellEnd"/>
      <w:r w:rsidRPr="00542984">
        <w:rPr>
          <w:rFonts w:eastAsiaTheme="minorEastAsia"/>
          <w:bCs/>
          <w:sz w:val="24"/>
          <w:szCs w:val="24"/>
          <w:lang w:val="en-IN" w:eastAsia="zh-CN"/>
        </w:rPr>
        <w:t xml:space="preserve">: Applies </w:t>
      </w:r>
      <w:proofErr w:type="spellStart"/>
      <w:r w:rsidRPr="00542984">
        <w:rPr>
          <w:rFonts w:eastAsiaTheme="minorEastAsia"/>
          <w:bCs/>
          <w:sz w:val="24"/>
          <w:szCs w:val="24"/>
          <w:lang w:val="en-IN" w:eastAsia="zh-CN"/>
        </w:rPr>
        <w:t>Breiman’s</w:t>
      </w:r>
      <w:proofErr w:type="spellEnd"/>
      <w:r w:rsidRPr="00542984">
        <w:rPr>
          <w:rFonts w:eastAsiaTheme="minorEastAsia"/>
          <w:bCs/>
          <w:sz w:val="24"/>
          <w:szCs w:val="24"/>
          <w:lang w:val="en-IN" w:eastAsia="zh-CN"/>
        </w:rPr>
        <w:t xml:space="preserve"> Random Forest framework to enhance accuracy and interpretability in CLV estimation.</w:t>
      </w:r>
    </w:p>
    <w:p w14:paraId="154E36A3" w14:textId="77777777" w:rsidR="00253DEA" w:rsidRPr="00542984" w:rsidRDefault="00253DEA" w:rsidP="00253DEA">
      <w:pPr>
        <w:numPr>
          <w:ilvl w:val="0"/>
          <w:numId w:val="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Customer-Centric Strategies</w:t>
      </w:r>
      <w:r w:rsidRPr="00542984">
        <w:rPr>
          <w:rFonts w:eastAsiaTheme="minorEastAsia"/>
          <w:bCs/>
          <w:sz w:val="24"/>
          <w:szCs w:val="24"/>
          <w:lang w:val="en-IN" w:eastAsia="zh-CN"/>
        </w:rPr>
        <w:t>: Aligns with Gupta’s emphasis on resource prioritization for high-value customers.</w:t>
      </w:r>
    </w:p>
    <w:p w14:paraId="7492C222" w14:textId="77777777" w:rsidR="00253DEA" w:rsidRPr="00542984" w:rsidRDefault="00253DEA" w:rsidP="00253DEA">
      <w:pPr>
        <w:numPr>
          <w:ilvl w:val="0"/>
          <w:numId w:val="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Visual Analytics</w:t>
      </w:r>
      <w:r w:rsidRPr="00542984">
        <w:rPr>
          <w:rFonts w:eastAsiaTheme="minorEastAsia"/>
          <w:bCs/>
          <w:sz w:val="24"/>
          <w:szCs w:val="24"/>
          <w:lang w:val="en-IN" w:eastAsia="zh-CN"/>
        </w:rPr>
        <w:t>: Leverages Few’s principles of effective dashboard design to present findings in an accessible and actionable format.</w:t>
      </w:r>
    </w:p>
    <w:p w14:paraId="22511F73" w14:textId="00367C15" w:rsidR="00253DEA" w:rsidRPr="00542984" w:rsidRDefault="00CE18F1" w:rsidP="00253DE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2</w:t>
      </w:r>
      <w:r w:rsidR="00253DEA" w:rsidRPr="00542984">
        <w:rPr>
          <w:rFonts w:eastAsiaTheme="minorEastAsia"/>
          <w:b/>
          <w:bCs/>
          <w:sz w:val="24"/>
          <w:szCs w:val="24"/>
          <w:lang w:val="en-IN" w:eastAsia="zh-CN"/>
        </w:rPr>
        <w:t>.6 Gaps Addressed by This Study</w:t>
      </w:r>
    </w:p>
    <w:p w14:paraId="1D30406B" w14:textId="77777777" w:rsidR="00253DEA" w:rsidRPr="00542984" w:rsidRDefault="00253DEA" w:rsidP="00253DE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While prior studies have extensively researched CLV prediction, this project addresses key gaps by:</w:t>
      </w:r>
    </w:p>
    <w:p w14:paraId="5F2400D7" w14:textId="77777777" w:rsidR="00253DEA" w:rsidRPr="00542984" w:rsidRDefault="00253DEA" w:rsidP="00253DEA">
      <w:pPr>
        <w:numPr>
          <w:ilvl w:val="0"/>
          <w:numId w:val="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Integrating predictive </w:t>
      </w:r>
      <w:proofErr w:type="spellStart"/>
      <w:r w:rsidRPr="00542984">
        <w:rPr>
          <w:rFonts w:eastAsiaTheme="minorEastAsia"/>
          <w:bCs/>
          <w:sz w:val="24"/>
          <w:szCs w:val="24"/>
          <w:lang w:val="en-IN" w:eastAsia="zh-CN"/>
        </w:rPr>
        <w:t>modeling</w:t>
      </w:r>
      <w:proofErr w:type="spellEnd"/>
      <w:r w:rsidRPr="00542984">
        <w:rPr>
          <w:rFonts w:eastAsiaTheme="minorEastAsia"/>
          <w:bCs/>
          <w:sz w:val="24"/>
          <w:szCs w:val="24"/>
          <w:lang w:val="en-IN" w:eastAsia="zh-CN"/>
        </w:rPr>
        <w:t xml:space="preserve"> with visual dashboards to deliver actionable insights.</w:t>
      </w:r>
    </w:p>
    <w:p w14:paraId="03412C40" w14:textId="77777777" w:rsidR="00253DEA" w:rsidRPr="00542984" w:rsidRDefault="00253DEA" w:rsidP="00253DEA">
      <w:pPr>
        <w:numPr>
          <w:ilvl w:val="0"/>
          <w:numId w:val="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Highlighting underutilized customer segments (e.g., niche demographics, vehicle classes) for strategic interventions.</w:t>
      </w:r>
    </w:p>
    <w:p w14:paraId="764B3531" w14:textId="77777777" w:rsidR="00253DEA" w:rsidRPr="00542984" w:rsidRDefault="00253DEA" w:rsidP="00253DEA">
      <w:pPr>
        <w:numPr>
          <w:ilvl w:val="0"/>
          <w:numId w:val="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Bridging the theory-practice gap by translating technical findings into specific managerial recommendations tailored for the insurance sector.</w:t>
      </w:r>
    </w:p>
    <w:p w14:paraId="6FFBF0EF" w14:textId="52016F5B" w:rsidR="00996C5A" w:rsidRPr="00542984" w:rsidRDefault="00CE18F1" w:rsidP="00996C5A">
      <w:pPr>
        <w:overflowPunct/>
        <w:autoSpaceDE/>
        <w:autoSpaceDN/>
        <w:adjustRightInd/>
        <w:spacing w:after="160" w:line="480" w:lineRule="auto"/>
        <w:textAlignment w:val="auto"/>
        <w:rPr>
          <w:rFonts w:eastAsiaTheme="minorEastAsia"/>
          <w:b/>
          <w:bCs/>
          <w:sz w:val="24"/>
          <w:szCs w:val="24"/>
          <w:u w:val="single"/>
          <w:lang w:val="en-IN" w:eastAsia="zh-CN"/>
        </w:rPr>
      </w:pPr>
      <w:r w:rsidRPr="00542984">
        <w:rPr>
          <w:rFonts w:eastAsiaTheme="minorEastAsia"/>
          <w:b/>
          <w:bCs/>
          <w:sz w:val="24"/>
          <w:szCs w:val="24"/>
          <w:u w:val="single"/>
          <w:lang w:val="en-IN" w:eastAsia="zh-CN"/>
        </w:rPr>
        <w:t>3</w:t>
      </w:r>
      <w:r w:rsidR="00996C5A" w:rsidRPr="00542984">
        <w:rPr>
          <w:rFonts w:eastAsiaTheme="minorEastAsia"/>
          <w:b/>
          <w:bCs/>
          <w:sz w:val="24"/>
          <w:szCs w:val="24"/>
          <w:u w:val="single"/>
          <w:lang w:val="en-IN" w:eastAsia="zh-CN"/>
        </w:rPr>
        <w:t>. Data and Methods</w:t>
      </w:r>
    </w:p>
    <w:p w14:paraId="2F56F0EB" w14:textId="570A5F32" w:rsidR="00996C5A" w:rsidRPr="00542984" w:rsidRDefault="00CE18F1"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3</w:t>
      </w:r>
      <w:r w:rsidR="00996C5A" w:rsidRPr="00542984">
        <w:rPr>
          <w:rFonts w:eastAsiaTheme="minorEastAsia"/>
          <w:b/>
          <w:bCs/>
          <w:sz w:val="24"/>
          <w:szCs w:val="24"/>
          <w:lang w:val="en-IN" w:eastAsia="zh-CN"/>
        </w:rPr>
        <w:t>.1 Data</w:t>
      </w:r>
    </w:p>
    <w:p w14:paraId="4DF6AFA8" w14:textId="5E79C8D9" w:rsidR="00DB366E" w:rsidRPr="00542984" w:rsidRDefault="00996C5A"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The dataset for this project was sourced from Kaggle's IBM Watson Marketing repository, containing over 5,000 customer records. It includes information on customer demographics, vehicle details, policy types, and sales channel performance. The primary objective of using this dataset was to predict the Customer Lifetime Value (CLV) and identify key factors driving its variability.</w:t>
      </w:r>
    </w:p>
    <w:p w14:paraId="06FC97E2" w14:textId="568AD5A0" w:rsidR="00996C5A" w:rsidRPr="00542984" w:rsidRDefault="00DB366E" w:rsidP="00DB366E">
      <w:pPr>
        <w:overflowPunct/>
        <w:autoSpaceDE/>
        <w:autoSpaceDN/>
        <w:adjustRightInd/>
        <w:spacing w:after="160" w:line="259" w:lineRule="auto"/>
        <w:textAlignment w:val="auto"/>
        <w:rPr>
          <w:rFonts w:eastAsiaTheme="minorEastAsia"/>
          <w:b/>
          <w:bCs/>
          <w:sz w:val="24"/>
          <w:szCs w:val="24"/>
          <w:lang w:val="en-IN" w:eastAsia="zh-CN"/>
        </w:rPr>
      </w:pPr>
      <w:r w:rsidRPr="00542984">
        <w:rPr>
          <w:rFonts w:eastAsiaTheme="minorEastAsia"/>
          <w:b/>
          <w:bCs/>
          <w:sz w:val="24"/>
          <w:szCs w:val="24"/>
          <w:lang w:val="en-IN" w:eastAsia="zh-CN"/>
        </w:rPr>
        <w:br w:type="page"/>
      </w:r>
      <w:r w:rsidR="00126897" w:rsidRPr="00542984">
        <w:rPr>
          <w:rFonts w:eastAsiaTheme="minorEastAsia"/>
          <w:b/>
          <w:bCs/>
          <w:sz w:val="24"/>
          <w:szCs w:val="24"/>
          <w:lang w:val="en-IN" w:eastAsia="zh-CN"/>
        </w:rPr>
        <w:lastRenderedPageBreak/>
        <w:t xml:space="preserve">A. </w:t>
      </w:r>
      <w:r w:rsidR="00996C5A" w:rsidRPr="00542984">
        <w:rPr>
          <w:rFonts w:eastAsiaTheme="minorEastAsia"/>
          <w:b/>
          <w:bCs/>
          <w:sz w:val="24"/>
          <w:szCs w:val="24"/>
          <w:lang w:val="en-IN" w:eastAsia="zh-CN"/>
        </w:rPr>
        <w:t>Data Features</w:t>
      </w:r>
    </w:p>
    <w:p w14:paraId="235B5D25" w14:textId="77777777" w:rsidR="00996C5A" w:rsidRPr="00542984" w:rsidRDefault="00996C5A" w:rsidP="00996C5A">
      <w:pPr>
        <w:numPr>
          <w:ilvl w:val="0"/>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Demographic Attributes</w:t>
      </w:r>
      <w:r w:rsidRPr="00542984">
        <w:rPr>
          <w:rFonts w:eastAsiaTheme="minorEastAsia"/>
          <w:bCs/>
          <w:sz w:val="24"/>
          <w:szCs w:val="24"/>
          <w:lang w:val="en-IN" w:eastAsia="zh-CN"/>
        </w:rPr>
        <w:t xml:space="preserve">: </w:t>
      </w:r>
    </w:p>
    <w:p w14:paraId="03111615"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Gender, marital status, and education level.</w:t>
      </w:r>
    </w:p>
    <w:p w14:paraId="4188DB9A" w14:textId="1066F66B"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Insight into customer profiles and </w:t>
      </w:r>
      <w:r w:rsidR="004B7DA3" w:rsidRPr="00542984">
        <w:rPr>
          <w:rFonts w:eastAsiaTheme="minorEastAsia"/>
          <w:bCs/>
          <w:sz w:val="24"/>
          <w:szCs w:val="24"/>
          <w:lang w:val="en-IN" w:eastAsia="zh-CN"/>
        </w:rPr>
        <w:t>behavioural</w:t>
      </w:r>
      <w:r w:rsidRPr="00542984">
        <w:rPr>
          <w:rFonts w:eastAsiaTheme="minorEastAsia"/>
          <w:bCs/>
          <w:sz w:val="24"/>
          <w:szCs w:val="24"/>
          <w:lang w:val="en-IN" w:eastAsia="zh-CN"/>
        </w:rPr>
        <w:t xml:space="preserve"> patterns.</w:t>
      </w:r>
    </w:p>
    <w:p w14:paraId="3A5D70B9" w14:textId="77777777" w:rsidR="00996C5A" w:rsidRPr="00542984" w:rsidRDefault="00996C5A" w:rsidP="00996C5A">
      <w:pPr>
        <w:numPr>
          <w:ilvl w:val="0"/>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Vehicle Details</w:t>
      </w:r>
      <w:r w:rsidRPr="00542984">
        <w:rPr>
          <w:rFonts w:eastAsiaTheme="minorEastAsia"/>
          <w:bCs/>
          <w:sz w:val="24"/>
          <w:szCs w:val="24"/>
          <w:lang w:val="en-IN" w:eastAsia="zh-CN"/>
        </w:rPr>
        <w:t xml:space="preserve">: </w:t>
      </w:r>
    </w:p>
    <w:p w14:paraId="2DBA4884"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Vehicle class (e.g., luxury, economy), size, and type.</w:t>
      </w:r>
    </w:p>
    <w:p w14:paraId="5E7CCB97"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Important for understanding insurance needs and risk factors.</w:t>
      </w:r>
    </w:p>
    <w:p w14:paraId="749B3F50" w14:textId="77777777" w:rsidR="00996C5A" w:rsidRPr="00542984" w:rsidRDefault="00996C5A" w:rsidP="00996C5A">
      <w:pPr>
        <w:numPr>
          <w:ilvl w:val="0"/>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Policy Information</w:t>
      </w:r>
      <w:r w:rsidRPr="00542984">
        <w:rPr>
          <w:rFonts w:eastAsiaTheme="minorEastAsia"/>
          <w:bCs/>
          <w:sz w:val="24"/>
          <w:szCs w:val="24"/>
          <w:lang w:val="en-IN" w:eastAsia="zh-CN"/>
        </w:rPr>
        <w:t xml:space="preserve">: </w:t>
      </w:r>
    </w:p>
    <w:p w14:paraId="02D8C9A4"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Policy type (e.g., corporate, personal), coverage type (basic, premium), and renewal offers.</w:t>
      </w:r>
    </w:p>
    <w:p w14:paraId="51BC4981" w14:textId="77777777" w:rsidR="00996C5A" w:rsidRPr="00542984" w:rsidRDefault="00996C5A" w:rsidP="00996C5A">
      <w:pPr>
        <w:numPr>
          <w:ilvl w:val="0"/>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Sales and Geography</w:t>
      </w:r>
      <w:r w:rsidRPr="00542984">
        <w:rPr>
          <w:rFonts w:eastAsiaTheme="minorEastAsia"/>
          <w:bCs/>
          <w:sz w:val="24"/>
          <w:szCs w:val="24"/>
          <w:lang w:val="en-IN" w:eastAsia="zh-CN"/>
        </w:rPr>
        <w:t xml:space="preserve">: </w:t>
      </w:r>
    </w:p>
    <w:p w14:paraId="3F5CCB28"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Sales channel (agent, branch, web, call </w:t>
      </w:r>
      <w:proofErr w:type="spellStart"/>
      <w:r w:rsidRPr="00542984">
        <w:rPr>
          <w:rFonts w:eastAsiaTheme="minorEastAsia"/>
          <w:bCs/>
          <w:sz w:val="24"/>
          <w:szCs w:val="24"/>
          <w:lang w:val="en-IN" w:eastAsia="zh-CN"/>
        </w:rPr>
        <w:t>center</w:t>
      </w:r>
      <w:proofErr w:type="spellEnd"/>
      <w:r w:rsidRPr="00542984">
        <w:rPr>
          <w:rFonts w:eastAsiaTheme="minorEastAsia"/>
          <w:bCs/>
          <w:sz w:val="24"/>
          <w:szCs w:val="24"/>
          <w:lang w:val="en-IN" w:eastAsia="zh-CN"/>
        </w:rPr>
        <w:t>) and customer state.</w:t>
      </w:r>
    </w:p>
    <w:p w14:paraId="65EAA096"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Provides insight into how and where policies are purchased.</w:t>
      </w:r>
    </w:p>
    <w:p w14:paraId="751F7946" w14:textId="77777777" w:rsidR="00996C5A" w:rsidRPr="00542984" w:rsidRDefault="00996C5A" w:rsidP="00996C5A">
      <w:pPr>
        <w:numPr>
          <w:ilvl w:val="0"/>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Target Variable</w:t>
      </w:r>
      <w:r w:rsidRPr="00542984">
        <w:rPr>
          <w:rFonts w:eastAsiaTheme="minorEastAsia"/>
          <w:bCs/>
          <w:sz w:val="24"/>
          <w:szCs w:val="24"/>
          <w:lang w:val="en-IN" w:eastAsia="zh-CN"/>
        </w:rPr>
        <w:t xml:space="preserve">: </w:t>
      </w:r>
    </w:p>
    <w:p w14:paraId="537C6A04" w14:textId="77777777" w:rsidR="00996C5A" w:rsidRPr="00542984" w:rsidRDefault="00996C5A" w:rsidP="00996C5A">
      <w:pPr>
        <w:numPr>
          <w:ilvl w:val="1"/>
          <w:numId w:val="10"/>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CLV: Represents the total revenue generated by a customer over their lifetime relationship with the company.</w:t>
      </w:r>
    </w:p>
    <w:p w14:paraId="68208390" w14:textId="16DCBD7B" w:rsidR="004B7DA3" w:rsidRPr="00542984" w:rsidRDefault="004B7DA3" w:rsidP="004B7DA3">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noProof/>
          <w:sz w:val="24"/>
          <w:szCs w:val="24"/>
          <w:lang w:val="en-IN" w:eastAsia="zh-CN"/>
        </w:rPr>
        <w:drawing>
          <wp:inline distT="0" distB="0" distL="0" distR="0" wp14:anchorId="7B2593E6" wp14:editId="0BDE7762">
            <wp:extent cx="6565291" cy="1494845"/>
            <wp:effectExtent l="0" t="0" r="6985" b="0"/>
            <wp:docPr id="114921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4964" name=""/>
                    <pic:cNvPicPr/>
                  </pic:nvPicPr>
                  <pic:blipFill rotWithShape="1">
                    <a:blip r:embed="rId8"/>
                    <a:srcRect r="4239"/>
                    <a:stretch/>
                  </pic:blipFill>
                  <pic:spPr bwMode="auto">
                    <a:xfrm>
                      <a:off x="0" y="0"/>
                      <a:ext cx="6601631" cy="1503119"/>
                    </a:xfrm>
                    <a:prstGeom prst="rect">
                      <a:avLst/>
                    </a:prstGeom>
                    <a:ln>
                      <a:noFill/>
                    </a:ln>
                    <a:extLst>
                      <a:ext uri="{53640926-AAD7-44D8-BBD7-CCE9431645EC}">
                        <a14:shadowObscured xmlns:a14="http://schemas.microsoft.com/office/drawing/2010/main"/>
                      </a:ext>
                    </a:extLst>
                  </pic:spPr>
                </pic:pic>
              </a:graphicData>
            </a:graphic>
          </wp:inline>
        </w:drawing>
      </w:r>
      <w:r w:rsidRPr="00542984">
        <w:rPr>
          <w:rFonts w:eastAsiaTheme="minorEastAsia"/>
          <w:b/>
          <w:bCs/>
          <w:sz w:val="24"/>
          <w:szCs w:val="24"/>
          <w:lang w:val="en-IN" w:eastAsia="zh-CN"/>
        </w:rPr>
        <w:br w:type="page"/>
      </w:r>
    </w:p>
    <w:p w14:paraId="66FBF165" w14:textId="6F176C65"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lastRenderedPageBreak/>
        <w:t xml:space="preserve">B. </w:t>
      </w:r>
      <w:r w:rsidR="00996C5A" w:rsidRPr="00542984">
        <w:rPr>
          <w:rFonts w:eastAsiaTheme="minorEastAsia"/>
          <w:b/>
          <w:bCs/>
          <w:sz w:val="24"/>
          <w:szCs w:val="24"/>
          <w:lang w:val="en-IN" w:eastAsia="zh-CN"/>
        </w:rPr>
        <w:t>Data Cleaning and Transformation</w:t>
      </w:r>
    </w:p>
    <w:p w14:paraId="6A6896A4" w14:textId="77777777" w:rsidR="00996C5A" w:rsidRPr="00542984" w:rsidRDefault="00996C5A" w:rsidP="00996C5A">
      <w:pPr>
        <w:numPr>
          <w:ilvl w:val="0"/>
          <w:numId w:val="11"/>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Handling Missing Values</w:t>
      </w:r>
      <w:r w:rsidRPr="00542984">
        <w:rPr>
          <w:rFonts w:eastAsiaTheme="minorEastAsia"/>
          <w:bCs/>
          <w:sz w:val="24"/>
          <w:szCs w:val="24"/>
          <w:lang w:val="en-IN" w:eastAsia="zh-CN"/>
        </w:rPr>
        <w:t>: Default imputation strategies were applied for consistency.</w:t>
      </w:r>
    </w:p>
    <w:p w14:paraId="49680172" w14:textId="77777777" w:rsidR="00996C5A" w:rsidRPr="00542984" w:rsidRDefault="00996C5A" w:rsidP="00996C5A">
      <w:pPr>
        <w:numPr>
          <w:ilvl w:val="0"/>
          <w:numId w:val="11"/>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Encoding Categorical Variables</w:t>
      </w:r>
      <w:r w:rsidRPr="00542984">
        <w:rPr>
          <w:rFonts w:eastAsiaTheme="minorEastAsia"/>
          <w:bCs/>
          <w:sz w:val="24"/>
          <w:szCs w:val="24"/>
          <w:lang w:val="en-IN" w:eastAsia="zh-CN"/>
        </w:rPr>
        <w:t>: Categorical data such as Policy Type and Education Level were transformed using one-hot encoding for machine learning compatibility.</w:t>
      </w:r>
    </w:p>
    <w:p w14:paraId="360C5386" w14:textId="77777777" w:rsidR="00996C5A" w:rsidRPr="00542984" w:rsidRDefault="00996C5A" w:rsidP="00996C5A">
      <w:pPr>
        <w:numPr>
          <w:ilvl w:val="0"/>
          <w:numId w:val="11"/>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Feature Scaling</w:t>
      </w:r>
      <w:r w:rsidRPr="00542984">
        <w:rPr>
          <w:rFonts w:eastAsiaTheme="minorEastAsia"/>
          <w:bCs/>
          <w:sz w:val="24"/>
          <w:szCs w:val="24"/>
          <w:lang w:val="en-IN" w:eastAsia="zh-CN"/>
        </w:rPr>
        <w:t>: Continuous features like Income and CLV were normalized to ensure consistency and enhance model performance.</w:t>
      </w:r>
    </w:p>
    <w:p w14:paraId="4BF5884E" w14:textId="3BA9375E" w:rsidR="00996C5A" w:rsidRPr="00542984" w:rsidRDefault="00996C5A" w:rsidP="00996C5A">
      <w:pPr>
        <w:numPr>
          <w:ilvl w:val="0"/>
          <w:numId w:val="11"/>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Outlier Detection</w:t>
      </w:r>
      <w:r w:rsidRPr="00542984">
        <w:rPr>
          <w:rFonts w:eastAsiaTheme="minorEastAsia"/>
          <w:bCs/>
          <w:sz w:val="24"/>
          <w:szCs w:val="24"/>
          <w:lang w:val="en-IN" w:eastAsia="zh-CN"/>
        </w:rPr>
        <w:t>: Extreme values in CLV were examined and retained to preserve variability essential for the insurance industry.</w:t>
      </w:r>
    </w:p>
    <w:p w14:paraId="257AE48A" w14:textId="10765702" w:rsidR="00996C5A" w:rsidRPr="00542984" w:rsidRDefault="00CE18F1"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3</w:t>
      </w:r>
      <w:r w:rsidR="00996C5A" w:rsidRPr="00542984">
        <w:rPr>
          <w:rFonts w:eastAsiaTheme="minorEastAsia"/>
          <w:b/>
          <w:bCs/>
          <w:sz w:val="24"/>
          <w:szCs w:val="24"/>
          <w:lang w:val="en-IN" w:eastAsia="zh-CN"/>
        </w:rPr>
        <w:t>.2 Methods</w:t>
      </w:r>
    </w:p>
    <w:p w14:paraId="769E518E" w14:textId="2A68A2C9"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A. </w:t>
      </w:r>
      <w:r w:rsidR="00996C5A" w:rsidRPr="00542984">
        <w:rPr>
          <w:rFonts w:eastAsiaTheme="minorEastAsia"/>
          <w:b/>
          <w:bCs/>
          <w:sz w:val="24"/>
          <w:szCs w:val="24"/>
          <w:lang w:val="en-IN" w:eastAsia="zh-CN"/>
        </w:rPr>
        <w:t xml:space="preserve">Predictive </w:t>
      </w:r>
      <w:r w:rsidR="008713E1" w:rsidRPr="00542984">
        <w:rPr>
          <w:rFonts w:eastAsiaTheme="minorEastAsia"/>
          <w:b/>
          <w:bCs/>
          <w:sz w:val="24"/>
          <w:szCs w:val="24"/>
          <w:lang w:val="en-IN" w:eastAsia="zh-CN"/>
        </w:rPr>
        <w:t>Modelling</w:t>
      </w:r>
      <w:r w:rsidR="00996C5A" w:rsidRPr="00542984">
        <w:rPr>
          <w:rFonts w:eastAsiaTheme="minorEastAsia"/>
          <w:b/>
          <w:bCs/>
          <w:sz w:val="24"/>
          <w:szCs w:val="24"/>
          <w:lang w:val="en-IN" w:eastAsia="zh-CN"/>
        </w:rPr>
        <w:t xml:space="preserve"> with Python</w:t>
      </w:r>
    </w:p>
    <w:p w14:paraId="32ABA31B" w14:textId="77777777" w:rsidR="00996C5A" w:rsidRPr="00542984" w:rsidRDefault="00996C5A"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The core of the analysis involved building a predictive model for CLV using Python. A </w:t>
      </w:r>
      <w:r w:rsidRPr="00542984">
        <w:rPr>
          <w:rFonts w:eastAsiaTheme="minorEastAsia"/>
          <w:b/>
          <w:bCs/>
          <w:sz w:val="24"/>
          <w:szCs w:val="24"/>
          <w:lang w:val="en-IN" w:eastAsia="zh-CN"/>
        </w:rPr>
        <w:t>Random Forest Regressor</w:t>
      </w:r>
      <w:r w:rsidRPr="00542984">
        <w:rPr>
          <w:rFonts w:eastAsiaTheme="minorEastAsia"/>
          <w:bCs/>
          <w:sz w:val="24"/>
          <w:szCs w:val="24"/>
          <w:lang w:val="en-IN" w:eastAsia="zh-CN"/>
        </w:rPr>
        <w:t xml:space="preserve"> was chosen for its ability to handle non-linear relationships and complex feature interactions effectively. The </w:t>
      </w:r>
      <w:proofErr w:type="spellStart"/>
      <w:r w:rsidRPr="00542984">
        <w:rPr>
          <w:rFonts w:eastAsiaTheme="minorEastAsia"/>
          <w:bCs/>
          <w:sz w:val="24"/>
          <w:szCs w:val="24"/>
          <w:lang w:val="en-IN" w:eastAsia="zh-CN"/>
        </w:rPr>
        <w:t>modeling</w:t>
      </w:r>
      <w:proofErr w:type="spellEnd"/>
      <w:r w:rsidRPr="00542984">
        <w:rPr>
          <w:rFonts w:eastAsiaTheme="minorEastAsia"/>
          <w:bCs/>
          <w:sz w:val="24"/>
          <w:szCs w:val="24"/>
          <w:lang w:val="en-IN" w:eastAsia="zh-CN"/>
        </w:rPr>
        <w:t xml:space="preserve"> process included:</w:t>
      </w:r>
    </w:p>
    <w:p w14:paraId="7D9D19A6" w14:textId="77777777" w:rsidR="00996C5A" w:rsidRPr="00542984" w:rsidRDefault="00996C5A" w:rsidP="00D14B7B">
      <w:pPr>
        <w:pStyle w:val="ListParagraph"/>
        <w:numPr>
          <w:ilvl w:val="0"/>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Data Preparation</w:t>
      </w:r>
      <w:r w:rsidRPr="00542984">
        <w:rPr>
          <w:rFonts w:eastAsiaTheme="minorEastAsia"/>
          <w:bCs/>
          <w:sz w:val="24"/>
          <w:szCs w:val="24"/>
          <w:lang w:val="en-IN" w:eastAsia="zh-CN"/>
        </w:rPr>
        <w:t>:</w:t>
      </w:r>
    </w:p>
    <w:p w14:paraId="0EEDE327" w14:textId="77777777" w:rsidR="00996C5A" w:rsidRPr="00542984" w:rsidRDefault="00996C5A" w:rsidP="00996C5A">
      <w:pPr>
        <w:numPr>
          <w:ilvl w:val="1"/>
          <w:numId w:val="1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Cleaned and processed the dataset to ensure high-quality inputs.</w:t>
      </w:r>
    </w:p>
    <w:p w14:paraId="57300DBB" w14:textId="77777777" w:rsidR="00996C5A" w:rsidRPr="00542984" w:rsidRDefault="00996C5A" w:rsidP="00996C5A">
      <w:pPr>
        <w:numPr>
          <w:ilvl w:val="1"/>
          <w:numId w:val="1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Encoded categorical variables and scaled continuous features for uniformity.</w:t>
      </w:r>
    </w:p>
    <w:p w14:paraId="698BB279" w14:textId="5385129B" w:rsidR="00996C5A" w:rsidRPr="00542984" w:rsidRDefault="00996C5A" w:rsidP="00D14B7B">
      <w:pPr>
        <w:pStyle w:val="ListParagraph"/>
        <w:numPr>
          <w:ilvl w:val="0"/>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Model Training</w:t>
      </w:r>
      <w:r w:rsidRPr="00542984">
        <w:rPr>
          <w:rFonts w:eastAsiaTheme="minorEastAsia"/>
          <w:bCs/>
          <w:sz w:val="24"/>
          <w:szCs w:val="24"/>
          <w:lang w:val="en-IN" w:eastAsia="zh-CN"/>
        </w:rPr>
        <w:t>:</w:t>
      </w:r>
    </w:p>
    <w:p w14:paraId="2F4AA93E" w14:textId="77777777" w:rsidR="00996C5A" w:rsidRPr="00542984" w:rsidRDefault="00996C5A" w:rsidP="00996C5A">
      <w:pPr>
        <w:numPr>
          <w:ilvl w:val="1"/>
          <w:numId w:val="1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Split the data into an 80% training set and a 20% testing set.</w:t>
      </w:r>
    </w:p>
    <w:p w14:paraId="5E4B8ED5" w14:textId="77777777" w:rsidR="00996C5A" w:rsidRPr="00542984" w:rsidRDefault="00996C5A" w:rsidP="00996C5A">
      <w:pPr>
        <w:numPr>
          <w:ilvl w:val="1"/>
          <w:numId w:val="1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lastRenderedPageBreak/>
        <w:t>Trained the Random Forest model using scikit-</w:t>
      </w:r>
      <w:proofErr w:type="spellStart"/>
      <w:r w:rsidRPr="00542984">
        <w:rPr>
          <w:rFonts w:eastAsiaTheme="minorEastAsia"/>
          <w:bCs/>
          <w:sz w:val="24"/>
          <w:szCs w:val="24"/>
          <w:lang w:val="en-IN" w:eastAsia="zh-CN"/>
        </w:rPr>
        <w:t>learn’s</w:t>
      </w:r>
      <w:proofErr w:type="spellEnd"/>
      <w:r w:rsidRPr="00542984">
        <w:rPr>
          <w:rFonts w:eastAsiaTheme="minorEastAsia"/>
          <w:bCs/>
          <w:sz w:val="24"/>
          <w:szCs w:val="24"/>
          <w:lang w:val="en-IN" w:eastAsia="zh-CN"/>
        </w:rPr>
        <w:t xml:space="preserve"> implementation, optimizing key hyperparameters such as the number of trees and depth using grid search.</w:t>
      </w:r>
    </w:p>
    <w:p w14:paraId="6455A205" w14:textId="77CF4143" w:rsidR="004B7DA3" w:rsidRPr="00542984" w:rsidRDefault="004B7DA3" w:rsidP="004B7DA3">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noProof/>
          <w:sz w:val="24"/>
          <w:szCs w:val="24"/>
          <w:lang w:val="en-IN" w:eastAsia="zh-CN"/>
        </w:rPr>
        <w:drawing>
          <wp:inline distT="0" distB="0" distL="0" distR="0" wp14:anchorId="6507A751" wp14:editId="79EA3BC2">
            <wp:extent cx="5979381" cy="4649158"/>
            <wp:effectExtent l="0" t="0" r="2540" b="0"/>
            <wp:docPr id="51409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92745" name=""/>
                    <pic:cNvPicPr/>
                  </pic:nvPicPr>
                  <pic:blipFill>
                    <a:blip r:embed="rId9"/>
                    <a:stretch>
                      <a:fillRect/>
                    </a:stretch>
                  </pic:blipFill>
                  <pic:spPr>
                    <a:xfrm>
                      <a:off x="0" y="0"/>
                      <a:ext cx="5984535" cy="4653165"/>
                    </a:xfrm>
                    <a:prstGeom prst="rect">
                      <a:avLst/>
                    </a:prstGeom>
                  </pic:spPr>
                </pic:pic>
              </a:graphicData>
            </a:graphic>
          </wp:inline>
        </w:drawing>
      </w:r>
    </w:p>
    <w:p w14:paraId="13B35D05" w14:textId="01EE799D" w:rsidR="00996C5A" w:rsidRPr="00542984" w:rsidRDefault="00996C5A" w:rsidP="00D14B7B">
      <w:pPr>
        <w:pStyle w:val="ListParagraph"/>
        <w:numPr>
          <w:ilvl w:val="0"/>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Evaluation</w:t>
      </w:r>
      <w:r w:rsidRPr="00542984">
        <w:rPr>
          <w:rFonts w:eastAsiaTheme="minorEastAsia"/>
          <w:bCs/>
          <w:sz w:val="24"/>
          <w:szCs w:val="24"/>
          <w:lang w:val="en-IN" w:eastAsia="zh-CN"/>
        </w:rPr>
        <w:t>:</w:t>
      </w:r>
    </w:p>
    <w:p w14:paraId="630441E9" w14:textId="77777777" w:rsidR="00996C5A" w:rsidRPr="00542984" w:rsidRDefault="00996C5A" w:rsidP="00D14B7B">
      <w:pPr>
        <w:numPr>
          <w:ilvl w:val="1"/>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Achieved an R² score of 0.69, indicating that the model explains 69% of the variance in CLV.</w:t>
      </w:r>
    </w:p>
    <w:p w14:paraId="35617138" w14:textId="77777777" w:rsidR="00996C5A" w:rsidRPr="00542984" w:rsidRDefault="00996C5A" w:rsidP="00D14B7B">
      <w:pPr>
        <w:numPr>
          <w:ilvl w:val="1"/>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The Mean Absolute Error (MAE) of $1,473 highlights the model's reliability in predicting CLV values.</w:t>
      </w:r>
    </w:p>
    <w:p w14:paraId="31DCF193" w14:textId="2013998D" w:rsidR="00DB366E" w:rsidRPr="00542984" w:rsidRDefault="00DB366E" w:rsidP="004B7DA3">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noProof/>
          <w:sz w:val="24"/>
          <w:szCs w:val="24"/>
          <w:lang w:val="en-IN" w:eastAsia="zh-CN"/>
        </w:rPr>
        <w:drawing>
          <wp:inline distT="0" distB="0" distL="0" distR="0" wp14:anchorId="2AF67085" wp14:editId="4B475DEE">
            <wp:extent cx="4105848" cy="562053"/>
            <wp:effectExtent l="0" t="0" r="9525" b="9525"/>
            <wp:docPr id="9644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6600" name=""/>
                    <pic:cNvPicPr/>
                  </pic:nvPicPr>
                  <pic:blipFill>
                    <a:blip r:embed="rId10"/>
                    <a:stretch>
                      <a:fillRect/>
                    </a:stretch>
                  </pic:blipFill>
                  <pic:spPr>
                    <a:xfrm>
                      <a:off x="0" y="0"/>
                      <a:ext cx="4105848" cy="562053"/>
                    </a:xfrm>
                    <a:prstGeom prst="rect">
                      <a:avLst/>
                    </a:prstGeom>
                  </pic:spPr>
                </pic:pic>
              </a:graphicData>
            </a:graphic>
          </wp:inline>
        </w:drawing>
      </w:r>
    </w:p>
    <w:p w14:paraId="7641488F" w14:textId="77777777" w:rsidR="00996C5A" w:rsidRPr="00542984" w:rsidRDefault="00996C5A" w:rsidP="00D14B7B">
      <w:pPr>
        <w:numPr>
          <w:ilvl w:val="0"/>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lastRenderedPageBreak/>
        <w:t>Results Integration</w:t>
      </w:r>
      <w:r w:rsidRPr="00542984">
        <w:rPr>
          <w:rFonts w:eastAsiaTheme="minorEastAsia"/>
          <w:bCs/>
          <w:sz w:val="24"/>
          <w:szCs w:val="24"/>
          <w:lang w:val="en-IN" w:eastAsia="zh-CN"/>
        </w:rPr>
        <w:t>:</w:t>
      </w:r>
    </w:p>
    <w:p w14:paraId="41898046" w14:textId="77777777" w:rsidR="00996C5A" w:rsidRPr="00542984" w:rsidRDefault="00996C5A" w:rsidP="00D14B7B">
      <w:pPr>
        <w:numPr>
          <w:ilvl w:val="1"/>
          <w:numId w:val="38"/>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Predicted CLV values were appended to the dataset, allowing for direct comparisons with existing values and facilitating deeper insights in Tableau.</w:t>
      </w:r>
    </w:p>
    <w:p w14:paraId="6380B5E4" w14:textId="31AD6F6B" w:rsidR="004B7DA3" w:rsidRPr="00542984" w:rsidRDefault="004B7DA3" w:rsidP="004B7DA3">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noProof/>
          <w:sz w:val="24"/>
          <w:szCs w:val="24"/>
          <w:lang w:val="en-IN" w:eastAsia="zh-CN"/>
        </w:rPr>
        <w:drawing>
          <wp:inline distT="0" distB="0" distL="0" distR="0" wp14:anchorId="6598303D" wp14:editId="691CA728">
            <wp:extent cx="5604289" cy="697276"/>
            <wp:effectExtent l="0" t="0" r="0" b="7620"/>
            <wp:docPr id="63743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3331" name=""/>
                    <pic:cNvPicPr/>
                  </pic:nvPicPr>
                  <pic:blipFill>
                    <a:blip r:embed="rId11"/>
                    <a:stretch>
                      <a:fillRect/>
                    </a:stretch>
                  </pic:blipFill>
                  <pic:spPr>
                    <a:xfrm>
                      <a:off x="0" y="0"/>
                      <a:ext cx="5616678" cy="698817"/>
                    </a:xfrm>
                    <a:prstGeom prst="rect">
                      <a:avLst/>
                    </a:prstGeom>
                  </pic:spPr>
                </pic:pic>
              </a:graphicData>
            </a:graphic>
          </wp:inline>
        </w:drawing>
      </w:r>
    </w:p>
    <w:p w14:paraId="530ACDAD" w14:textId="47CBC53B"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B. </w:t>
      </w:r>
      <w:r w:rsidR="00996C5A" w:rsidRPr="00542984">
        <w:rPr>
          <w:rFonts w:eastAsiaTheme="minorEastAsia"/>
          <w:b/>
          <w:bCs/>
          <w:sz w:val="24"/>
          <w:szCs w:val="24"/>
          <w:lang w:val="en-IN" w:eastAsia="zh-CN"/>
        </w:rPr>
        <w:t>Visualization and Business Analytics</w:t>
      </w:r>
    </w:p>
    <w:p w14:paraId="6081544A" w14:textId="77777777" w:rsidR="00996C5A" w:rsidRPr="00542984" w:rsidRDefault="00996C5A"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To complement the machine learning results, Tableau dashboards were developed, offering a user-friendly interface for exploring CLV trends and patterns. These dashboards provided:</w:t>
      </w:r>
    </w:p>
    <w:p w14:paraId="5C8B910B" w14:textId="77777777" w:rsidR="00996C5A" w:rsidRPr="00542984" w:rsidRDefault="00996C5A" w:rsidP="00996C5A">
      <w:pPr>
        <w:numPr>
          <w:ilvl w:val="0"/>
          <w:numId w:val="13"/>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Interactive visuals for demographics, policy types, sales channels, and geographic distribution.</w:t>
      </w:r>
    </w:p>
    <w:p w14:paraId="7B7F21CC" w14:textId="7D5FDD14" w:rsidR="00996C5A" w:rsidRPr="00542984" w:rsidRDefault="00996C5A" w:rsidP="00996C5A">
      <w:pPr>
        <w:numPr>
          <w:ilvl w:val="0"/>
          <w:numId w:val="13"/>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Clear identification of actionable business opportunities.</w:t>
      </w:r>
    </w:p>
    <w:p w14:paraId="574077EF" w14:textId="6A9532DF" w:rsidR="00996C5A" w:rsidRPr="00542984" w:rsidRDefault="00CE18F1"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3</w:t>
      </w:r>
      <w:r w:rsidR="00996C5A" w:rsidRPr="00542984">
        <w:rPr>
          <w:rFonts w:eastAsiaTheme="minorEastAsia"/>
          <w:b/>
          <w:bCs/>
          <w:sz w:val="24"/>
          <w:szCs w:val="24"/>
          <w:lang w:val="en-IN" w:eastAsia="zh-CN"/>
        </w:rPr>
        <w:t>.3 Analytics and Visualization</w:t>
      </w:r>
    </w:p>
    <w:p w14:paraId="5F45EA28" w14:textId="4CC6548B"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A. </w:t>
      </w:r>
      <w:r w:rsidR="00996C5A" w:rsidRPr="00542984">
        <w:rPr>
          <w:rFonts w:eastAsiaTheme="minorEastAsia"/>
          <w:b/>
          <w:bCs/>
          <w:sz w:val="24"/>
          <w:szCs w:val="24"/>
          <w:lang w:val="en-IN" w:eastAsia="zh-CN"/>
        </w:rPr>
        <w:t>Process Overview</w:t>
      </w:r>
    </w:p>
    <w:p w14:paraId="1834F4AC" w14:textId="77777777" w:rsidR="00996C5A" w:rsidRPr="00542984" w:rsidRDefault="00996C5A" w:rsidP="00D14B7B">
      <w:pPr>
        <w:pStyle w:val="ListParagraph"/>
        <w:numPr>
          <w:ilvl w:val="0"/>
          <w:numId w:val="3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Exploratory Data Analysis (EDA)</w:t>
      </w:r>
      <w:r w:rsidRPr="00542984">
        <w:rPr>
          <w:rFonts w:eastAsiaTheme="minorEastAsia"/>
          <w:bCs/>
          <w:sz w:val="24"/>
          <w:szCs w:val="24"/>
          <w:lang w:val="en-IN" w:eastAsia="zh-CN"/>
        </w:rPr>
        <w:t>:</w:t>
      </w:r>
    </w:p>
    <w:p w14:paraId="429B32CA" w14:textId="77777777" w:rsidR="00996C5A" w:rsidRPr="00542984" w:rsidRDefault="00996C5A" w:rsidP="00996C5A">
      <w:pPr>
        <w:numPr>
          <w:ilvl w:val="1"/>
          <w:numId w:val="1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Used Python libraries like pandas and matplotlib to identify trends, correlations, and anomalies in the data.</w:t>
      </w:r>
    </w:p>
    <w:p w14:paraId="56F85416" w14:textId="77777777" w:rsidR="00996C5A" w:rsidRPr="00542984" w:rsidRDefault="00996C5A" w:rsidP="00996C5A">
      <w:pPr>
        <w:numPr>
          <w:ilvl w:val="1"/>
          <w:numId w:val="1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Key insights, such as the dominance of suburban customers and the popularity of basic coverage plans, informed subsequent analyses.</w:t>
      </w:r>
    </w:p>
    <w:p w14:paraId="0FBEAEA1" w14:textId="1527D42E" w:rsidR="00996C5A" w:rsidRPr="00542984" w:rsidRDefault="00996C5A" w:rsidP="00D14B7B">
      <w:pPr>
        <w:pStyle w:val="ListParagraph"/>
        <w:numPr>
          <w:ilvl w:val="0"/>
          <w:numId w:val="3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Model Development</w:t>
      </w:r>
      <w:r w:rsidRPr="00542984">
        <w:rPr>
          <w:rFonts w:eastAsiaTheme="minorEastAsia"/>
          <w:bCs/>
          <w:sz w:val="24"/>
          <w:szCs w:val="24"/>
          <w:lang w:val="en-IN" w:eastAsia="zh-CN"/>
        </w:rPr>
        <w:t>:</w:t>
      </w:r>
    </w:p>
    <w:p w14:paraId="213E19C7" w14:textId="77777777" w:rsidR="00996C5A" w:rsidRPr="00542984" w:rsidRDefault="00996C5A" w:rsidP="00996C5A">
      <w:pPr>
        <w:numPr>
          <w:ilvl w:val="1"/>
          <w:numId w:val="1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Built and evaluated the Random Forest model to predict CLV accurately.</w:t>
      </w:r>
    </w:p>
    <w:p w14:paraId="666F9F1D" w14:textId="77777777" w:rsidR="00996C5A" w:rsidRPr="00542984" w:rsidRDefault="00996C5A" w:rsidP="00996C5A">
      <w:pPr>
        <w:numPr>
          <w:ilvl w:val="1"/>
          <w:numId w:val="1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Exported predictions for visualization and further analysis.</w:t>
      </w:r>
    </w:p>
    <w:p w14:paraId="633801BC" w14:textId="184A22BD" w:rsidR="00996C5A" w:rsidRPr="00542984" w:rsidRDefault="00542984" w:rsidP="00D14B7B">
      <w:pPr>
        <w:overflowPunct/>
        <w:autoSpaceDE/>
        <w:autoSpaceDN/>
        <w:adjustRightInd/>
        <w:spacing w:after="160" w:line="480" w:lineRule="auto"/>
        <w:ind w:left="360"/>
        <w:textAlignment w:val="auto"/>
        <w:rPr>
          <w:rFonts w:eastAsiaTheme="minorEastAsia"/>
          <w:bCs/>
          <w:sz w:val="24"/>
          <w:szCs w:val="24"/>
          <w:lang w:val="en-IN" w:eastAsia="zh-CN"/>
        </w:rPr>
      </w:pPr>
      <w:r w:rsidRPr="00542984">
        <w:rPr>
          <w:rFonts w:eastAsiaTheme="minorEastAsia"/>
          <w:sz w:val="24"/>
          <w:szCs w:val="24"/>
          <w:lang w:val="en-IN" w:eastAsia="zh-CN"/>
        </w:rPr>
        <w:lastRenderedPageBreak/>
        <w:t>c</w:t>
      </w:r>
      <w:r w:rsidR="00D14B7B" w:rsidRPr="00542984">
        <w:rPr>
          <w:rFonts w:eastAsiaTheme="minorEastAsia"/>
          <w:b/>
          <w:bCs/>
          <w:sz w:val="24"/>
          <w:szCs w:val="24"/>
          <w:lang w:val="en-IN" w:eastAsia="zh-CN"/>
        </w:rPr>
        <w:t xml:space="preserve">. </w:t>
      </w:r>
      <w:r w:rsidR="00996C5A" w:rsidRPr="00542984">
        <w:rPr>
          <w:rFonts w:eastAsiaTheme="minorEastAsia"/>
          <w:b/>
          <w:bCs/>
          <w:sz w:val="24"/>
          <w:szCs w:val="24"/>
          <w:lang w:val="en-IN" w:eastAsia="zh-CN"/>
        </w:rPr>
        <w:t>Tableau Dashboards</w:t>
      </w:r>
      <w:r w:rsidR="00996C5A" w:rsidRPr="00542984">
        <w:rPr>
          <w:rFonts w:eastAsiaTheme="minorEastAsia"/>
          <w:bCs/>
          <w:sz w:val="24"/>
          <w:szCs w:val="24"/>
          <w:lang w:val="en-IN" w:eastAsia="zh-CN"/>
        </w:rPr>
        <w:t>:</w:t>
      </w:r>
    </w:p>
    <w:p w14:paraId="76A78034" w14:textId="77777777" w:rsidR="00996C5A" w:rsidRPr="00542984" w:rsidRDefault="00996C5A" w:rsidP="00996C5A">
      <w:pPr>
        <w:numPr>
          <w:ilvl w:val="1"/>
          <w:numId w:val="14"/>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Integrated model outputs with interactive visuals to highlight key trends, such as the impact of education level and vehicle class on CLV.</w:t>
      </w:r>
    </w:p>
    <w:p w14:paraId="12EE5536" w14:textId="4B0DF0ED"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B. </w:t>
      </w:r>
      <w:r w:rsidR="00996C5A" w:rsidRPr="00542984">
        <w:rPr>
          <w:rFonts w:eastAsiaTheme="minorEastAsia"/>
          <w:b/>
          <w:bCs/>
          <w:sz w:val="24"/>
          <w:szCs w:val="24"/>
          <w:lang w:val="en-IN" w:eastAsia="zh-CN"/>
        </w:rPr>
        <w:t>Key Visualizations</w:t>
      </w:r>
    </w:p>
    <w:p w14:paraId="5C47B814" w14:textId="77777777" w:rsidR="00996C5A" w:rsidRPr="00542984" w:rsidRDefault="00996C5A" w:rsidP="00996C5A">
      <w:pPr>
        <w:numPr>
          <w:ilvl w:val="0"/>
          <w:numId w:val="15"/>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CLV Distribution</w:t>
      </w:r>
      <w:r w:rsidRPr="00542984">
        <w:rPr>
          <w:rFonts w:eastAsiaTheme="minorEastAsia"/>
          <w:bCs/>
          <w:sz w:val="24"/>
          <w:szCs w:val="24"/>
          <w:lang w:val="en-IN" w:eastAsia="zh-CN"/>
        </w:rPr>
        <w:t>: Reveals the skewed nature of customer lifetime value, with a small proportion of high-value customers.</w:t>
      </w:r>
    </w:p>
    <w:p w14:paraId="466DD1B3" w14:textId="77777777" w:rsidR="00996C5A" w:rsidRPr="00542984" w:rsidRDefault="00996C5A" w:rsidP="00996C5A">
      <w:pPr>
        <w:numPr>
          <w:ilvl w:val="0"/>
          <w:numId w:val="15"/>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Geographic Insights</w:t>
      </w:r>
      <w:r w:rsidRPr="00542984">
        <w:rPr>
          <w:rFonts w:eastAsiaTheme="minorEastAsia"/>
          <w:bCs/>
          <w:sz w:val="24"/>
          <w:szCs w:val="24"/>
          <w:lang w:val="en-IN" w:eastAsia="zh-CN"/>
        </w:rPr>
        <w:t>: Heatmaps showing state-wise CLV contributions, highlighting California’s dominance and the potential in Oregon.</w:t>
      </w:r>
    </w:p>
    <w:p w14:paraId="7E129238" w14:textId="77777777" w:rsidR="00996C5A" w:rsidRPr="00542984" w:rsidRDefault="00996C5A" w:rsidP="00996C5A">
      <w:pPr>
        <w:numPr>
          <w:ilvl w:val="0"/>
          <w:numId w:val="15"/>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Demographic Patterns</w:t>
      </w:r>
      <w:r w:rsidRPr="00542984">
        <w:rPr>
          <w:rFonts w:eastAsiaTheme="minorEastAsia"/>
          <w:bCs/>
          <w:sz w:val="24"/>
          <w:szCs w:val="24"/>
          <w:lang w:val="en-IN" w:eastAsia="zh-CN"/>
        </w:rPr>
        <w:t>: Charts showing married women and divorced customers as high-value segments.</w:t>
      </w:r>
    </w:p>
    <w:p w14:paraId="409C1155" w14:textId="12B78BFA" w:rsidR="00996C5A" w:rsidRPr="00542984" w:rsidRDefault="00996C5A" w:rsidP="00996C5A">
      <w:pPr>
        <w:numPr>
          <w:ilvl w:val="0"/>
          <w:numId w:val="15"/>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Policy and Coverage Trends</w:t>
      </w:r>
      <w:r w:rsidRPr="00542984">
        <w:rPr>
          <w:rFonts w:eastAsiaTheme="minorEastAsia"/>
          <w:bCs/>
          <w:sz w:val="24"/>
          <w:szCs w:val="24"/>
          <w:lang w:val="en-IN" w:eastAsia="zh-CN"/>
        </w:rPr>
        <w:t>: Analysis of popular and profitable plans, with actionable insights for improving premium plan adoption.</w:t>
      </w:r>
    </w:p>
    <w:p w14:paraId="3E51B841" w14:textId="17B13A38" w:rsidR="00996C5A" w:rsidRPr="00542984" w:rsidRDefault="00126897" w:rsidP="00996C5A">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C. </w:t>
      </w:r>
      <w:r w:rsidR="00996C5A" w:rsidRPr="00542984">
        <w:rPr>
          <w:rFonts w:eastAsiaTheme="minorEastAsia"/>
          <w:b/>
          <w:bCs/>
          <w:sz w:val="24"/>
          <w:szCs w:val="24"/>
          <w:lang w:val="en-IN" w:eastAsia="zh-CN"/>
        </w:rPr>
        <w:t>Managerial Implications of the Methodology</w:t>
      </w:r>
    </w:p>
    <w:p w14:paraId="60166F4D" w14:textId="77777777" w:rsidR="00996C5A" w:rsidRPr="00542984" w:rsidRDefault="00996C5A"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The insights derived from this analysis are critical for decision-making:</w:t>
      </w:r>
    </w:p>
    <w:p w14:paraId="57B8C712" w14:textId="77777777" w:rsidR="00996C5A" w:rsidRPr="00542984" w:rsidRDefault="00996C5A" w:rsidP="00996C5A">
      <w:pPr>
        <w:numPr>
          <w:ilvl w:val="0"/>
          <w:numId w:val="1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Resource Allocation</w:t>
      </w:r>
      <w:r w:rsidRPr="00542984">
        <w:rPr>
          <w:rFonts w:eastAsiaTheme="minorEastAsia"/>
          <w:bCs/>
          <w:sz w:val="24"/>
          <w:szCs w:val="24"/>
          <w:lang w:val="en-IN" w:eastAsia="zh-CN"/>
        </w:rPr>
        <w:t>: Predicted CLV values enable managers to prioritize high-value customers for retention campaigns.</w:t>
      </w:r>
    </w:p>
    <w:p w14:paraId="66B9DF2B" w14:textId="77777777" w:rsidR="00996C5A" w:rsidRPr="00542984" w:rsidRDefault="00996C5A" w:rsidP="00996C5A">
      <w:pPr>
        <w:numPr>
          <w:ilvl w:val="0"/>
          <w:numId w:val="1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Targeted Marketing</w:t>
      </w:r>
      <w:r w:rsidRPr="00542984">
        <w:rPr>
          <w:rFonts w:eastAsiaTheme="minorEastAsia"/>
          <w:bCs/>
          <w:sz w:val="24"/>
          <w:szCs w:val="24"/>
          <w:lang w:val="en-IN" w:eastAsia="zh-CN"/>
        </w:rPr>
        <w:t>: Visual trends guide personalized marketing strategies for specific customer demographics, such as luxury vehicle owners or high-educated retirees.</w:t>
      </w:r>
    </w:p>
    <w:p w14:paraId="03B36877" w14:textId="77777777" w:rsidR="00996C5A" w:rsidRPr="00542984" w:rsidRDefault="00996C5A" w:rsidP="00996C5A">
      <w:pPr>
        <w:numPr>
          <w:ilvl w:val="0"/>
          <w:numId w:val="1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Policy Optimization</w:t>
      </w:r>
      <w:r w:rsidRPr="00542984">
        <w:rPr>
          <w:rFonts w:eastAsiaTheme="minorEastAsia"/>
          <w:bCs/>
          <w:sz w:val="24"/>
          <w:szCs w:val="24"/>
          <w:lang w:val="en-IN" w:eastAsia="zh-CN"/>
        </w:rPr>
        <w:t>: Analysis of popular vs. profitable plans highlights opportunities for upselling and developing new policy tiers.</w:t>
      </w:r>
    </w:p>
    <w:p w14:paraId="14BB49AA" w14:textId="77777777" w:rsidR="00996C5A" w:rsidRPr="00542984" w:rsidRDefault="00996C5A" w:rsidP="00996C5A">
      <w:pPr>
        <w:numPr>
          <w:ilvl w:val="0"/>
          <w:numId w:val="16"/>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lastRenderedPageBreak/>
        <w:t>Geographic Strategy</w:t>
      </w:r>
      <w:r w:rsidRPr="00542984">
        <w:rPr>
          <w:rFonts w:eastAsiaTheme="minorEastAsia"/>
          <w:bCs/>
          <w:sz w:val="24"/>
          <w:szCs w:val="24"/>
          <w:lang w:val="en-IN" w:eastAsia="zh-CN"/>
        </w:rPr>
        <w:t>: Heatmaps identify underperforming regions like Nevada, informing targeted campaigns for growth.</w:t>
      </w:r>
    </w:p>
    <w:p w14:paraId="7005CD94" w14:textId="77777777" w:rsidR="00996C5A" w:rsidRPr="00542984" w:rsidRDefault="00996C5A"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This integrated methodology not only addresses the technical objective of predicting CLV but also provides a robust framework for actionable business strategies.</w:t>
      </w:r>
    </w:p>
    <w:p w14:paraId="2D7BF28C" w14:textId="37F62B1E" w:rsidR="004B7DA3" w:rsidRPr="00542984" w:rsidRDefault="00126897" w:rsidP="00996C5A">
      <w:pPr>
        <w:overflowPunct/>
        <w:autoSpaceDE/>
        <w:autoSpaceDN/>
        <w:adjustRightInd/>
        <w:spacing w:after="160" w:line="480" w:lineRule="auto"/>
        <w:textAlignment w:val="auto"/>
        <w:rPr>
          <w:rFonts w:eastAsiaTheme="minorEastAsia"/>
          <w:b/>
          <w:sz w:val="24"/>
          <w:szCs w:val="24"/>
          <w:lang w:val="en-IN" w:eastAsia="zh-CN"/>
        </w:rPr>
      </w:pPr>
      <w:r w:rsidRPr="00542984">
        <w:rPr>
          <w:rFonts w:eastAsiaTheme="minorEastAsia"/>
          <w:b/>
          <w:sz w:val="24"/>
          <w:szCs w:val="24"/>
          <w:lang w:val="en-IN" w:eastAsia="zh-CN"/>
        </w:rPr>
        <w:t xml:space="preserve">D. </w:t>
      </w:r>
      <w:r w:rsidR="004B7DA3" w:rsidRPr="00542984">
        <w:rPr>
          <w:rFonts w:eastAsiaTheme="minorEastAsia"/>
          <w:b/>
          <w:sz w:val="24"/>
          <w:szCs w:val="24"/>
          <w:lang w:val="en-IN" w:eastAsia="zh-CN"/>
        </w:rPr>
        <w:t>Our Tableau Dashboard:</w:t>
      </w:r>
    </w:p>
    <w:p w14:paraId="4392E449" w14:textId="4D99B197" w:rsidR="004B7DA3" w:rsidRPr="00542984" w:rsidRDefault="004B7DA3" w:rsidP="00996C5A">
      <w:p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noProof/>
          <w:sz w:val="24"/>
          <w:szCs w:val="24"/>
          <w:lang w:val="en-IN" w:eastAsia="zh-CN"/>
        </w:rPr>
        <w:drawing>
          <wp:inline distT="0" distB="0" distL="0" distR="0" wp14:anchorId="1C3ED09D" wp14:editId="722597DC">
            <wp:extent cx="6480068" cy="3697357"/>
            <wp:effectExtent l="0" t="0" r="0" b="0"/>
            <wp:docPr id="150954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1894" name=""/>
                    <pic:cNvPicPr/>
                  </pic:nvPicPr>
                  <pic:blipFill>
                    <a:blip r:embed="rId12"/>
                    <a:stretch>
                      <a:fillRect/>
                    </a:stretch>
                  </pic:blipFill>
                  <pic:spPr>
                    <a:xfrm>
                      <a:off x="0" y="0"/>
                      <a:ext cx="6495629" cy="3706236"/>
                    </a:xfrm>
                    <a:prstGeom prst="rect">
                      <a:avLst/>
                    </a:prstGeom>
                  </pic:spPr>
                </pic:pic>
              </a:graphicData>
            </a:graphic>
          </wp:inline>
        </w:drawing>
      </w:r>
    </w:p>
    <w:p w14:paraId="0DC41543" w14:textId="77777777" w:rsidR="00BE3B4E" w:rsidRPr="00BE3B4E" w:rsidRDefault="00BE3B4E" w:rsidP="00BE3B4E">
      <w:pPr>
        <w:overflowPunct/>
        <w:autoSpaceDE/>
        <w:autoSpaceDN/>
        <w:adjustRightInd/>
        <w:spacing w:after="160" w:line="480" w:lineRule="auto"/>
        <w:textAlignment w:val="auto"/>
        <w:rPr>
          <w:rFonts w:eastAsiaTheme="minorEastAsia"/>
          <w:b/>
          <w:bCs/>
          <w:sz w:val="24"/>
          <w:szCs w:val="24"/>
          <w:u w:val="single"/>
          <w:lang w:val="en-IN" w:eastAsia="zh-CN"/>
        </w:rPr>
      </w:pPr>
      <w:r w:rsidRPr="00BE3B4E">
        <w:rPr>
          <w:rFonts w:eastAsiaTheme="minorEastAsia"/>
          <w:b/>
          <w:bCs/>
          <w:sz w:val="24"/>
          <w:szCs w:val="24"/>
          <w:u w:val="single"/>
          <w:lang w:val="en-IN" w:eastAsia="zh-CN"/>
        </w:rPr>
        <w:t>4. Discussion</w:t>
      </w:r>
    </w:p>
    <w:p w14:paraId="36705ED1" w14:textId="77777777" w:rsidR="00BE3B4E" w:rsidRPr="00BE3B4E"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4.1 Model Performance</w:t>
      </w:r>
    </w:p>
    <w:p w14:paraId="0FF2499A"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predictive model for Customer Lifetime Value (CLV) was developed using a Random Forest Regressor, chosen for its robustness in handling large datasets and capturing non-linear relationships. The model achieved an R² score of 0.69, meaning it could explain 69% of the variance in CLV, demonstrating substantial predictive power. The Mean Absolute Error (MAE) of $1,473 indicates that, on average, the predictions deviated by this amount from actual values.</w:t>
      </w:r>
    </w:p>
    <w:p w14:paraId="22B55DAF" w14:textId="39D8CA8E"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lastRenderedPageBreak/>
        <w:t>These metrics highlight the reliability of the model for practical application. However, the presence of certain outliers (notably in the "Personal Auto" category) suggests areas for refinement. These findings support the use of the model in segmenting customers and driving targeted strategies, while also pointing to opportunities for further improvements in predictive accuracy.</w:t>
      </w:r>
    </w:p>
    <w:p w14:paraId="22D7CE54"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4.2 Existing vs. Predicted CLV</w:t>
      </w:r>
    </w:p>
    <w:p w14:paraId="438B525B" w14:textId="69AFD889"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1A12E287" wp14:editId="6694DD59">
            <wp:extent cx="2544417" cy="1767496"/>
            <wp:effectExtent l="0" t="0" r="8890" b="4445"/>
            <wp:docPr id="46977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1194" name=""/>
                    <pic:cNvPicPr/>
                  </pic:nvPicPr>
                  <pic:blipFill>
                    <a:blip r:embed="rId13"/>
                    <a:stretch>
                      <a:fillRect/>
                    </a:stretch>
                  </pic:blipFill>
                  <pic:spPr>
                    <a:xfrm>
                      <a:off x="0" y="0"/>
                      <a:ext cx="2557102" cy="1776308"/>
                    </a:xfrm>
                    <a:prstGeom prst="rect">
                      <a:avLst/>
                    </a:prstGeom>
                  </pic:spPr>
                </pic:pic>
              </a:graphicData>
            </a:graphic>
          </wp:inline>
        </w:drawing>
      </w:r>
    </w:p>
    <w:p w14:paraId="4C13387E"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 xml:space="preserve">The scatterplot comparing existing and predicted CLV illustrates a strong alignment between the two, reflecting the model's accuracy. However, noticeable outliers—particularly among "Personal Auto" customers—highlight discrepancies in certain predictions. These outliers warrant further investigation to understand unique customer </w:t>
      </w:r>
      <w:proofErr w:type="spellStart"/>
      <w:r w:rsidRPr="00BE3B4E">
        <w:rPr>
          <w:rFonts w:eastAsiaTheme="minorEastAsia"/>
          <w:bCs/>
          <w:sz w:val="24"/>
          <w:szCs w:val="24"/>
          <w:lang w:val="en-IN" w:eastAsia="zh-CN"/>
        </w:rPr>
        <w:t>behaviors</w:t>
      </w:r>
      <w:proofErr w:type="spellEnd"/>
      <w:r w:rsidRPr="00BE3B4E">
        <w:rPr>
          <w:rFonts w:eastAsiaTheme="minorEastAsia"/>
          <w:bCs/>
          <w:sz w:val="24"/>
          <w:szCs w:val="24"/>
          <w:lang w:val="en-IN" w:eastAsia="zh-CN"/>
        </w:rPr>
        <w:t xml:space="preserve"> or data irregularities contributing to the deviations.</w:t>
      </w:r>
    </w:p>
    <w:p w14:paraId="02FA0525" w14:textId="0938B038" w:rsidR="00126897" w:rsidRPr="00542984" w:rsidRDefault="00BE3B4E" w:rsidP="00126897">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alignment of most data points along the line of perfect prediction reinforces the model's reliability in forecasting CLV for strategic decision-making. By addressing the outliers, the model's accuracy could be enhanced, further strengthening its applicability for customer segmentation and personalized interventions.</w:t>
      </w:r>
      <w:r w:rsidR="00126897" w:rsidRPr="00542984">
        <w:rPr>
          <w:rFonts w:eastAsiaTheme="minorEastAsia"/>
          <w:b/>
          <w:bCs/>
          <w:sz w:val="24"/>
          <w:szCs w:val="24"/>
          <w:lang w:val="en-IN" w:eastAsia="zh-CN"/>
        </w:rPr>
        <w:br w:type="page"/>
      </w:r>
    </w:p>
    <w:p w14:paraId="405FBDDE" w14:textId="3CD643F6"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lastRenderedPageBreak/>
        <w:t>4.3 CLV Distribution</w:t>
      </w:r>
    </w:p>
    <w:p w14:paraId="34E5F8E1" w14:textId="484052EA"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66B9C794" wp14:editId="27B7EF49">
            <wp:extent cx="2449002" cy="1653708"/>
            <wp:effectExtent l="0" t="0" r="8890" b="3810"/>
            <wp:docPr id="92082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24431" name=""/>
                    <pic:cNvPicPr/>
                  </pic:nvPicPr>
                  <pic:blipFill>
                    <a:blip r:embed="rId14"/>
                    <a:stretch>
                      <a:fillRect/>
                    </a:stretch>
                  </pic:blipFill>
                  <pic:spPr>
                    <a:xfrm>
                      <a:off x="0" y="0"/>
                      <a:ext cx="2454394" cy="1657349"/>
                    </a:xfrm>
                    <a:prstGeom prst="rect">
                      <a:avLst/>
                    </a:prstGeom>
                  </pic:spPr>
                </pic:pic>
              </a:graphicData>
            </a:graphic>
          </wp:inline>
        </w:drawing>
      </w:r>
    </w:p>
    <w:p w14:paraId="3403B8BA"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distribution of CLV is heavily skewed, with the majority of customers having a CLV below $15,000. Beyond this threshold, the count of customers declines steeply. This pattern underscores a concentration of value within a smaller segment of high-value customers.</w:t>
      </w:r>
    </w:p>
    <w:p w14:paraId="6226FA8E" w14:textId="260AD868"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This insight emphasizes the need to design strategies that not only retain these high-value customers but also uplift low-to-mid CLV segments through upselling, cross-selling, and loyalty programs. Enhancing the value of lower-CLV customers could result in a more balanced distribution and increased revenue potential across the customer base.</w:t>
      </w:r>
    </w:p>
    <w:p w14:paraId="0C67111A"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4.4 Best Sales Channel</w:t>
      </w:r>
    </w:p>
    <w:p w14:paraId="23032C1B" w14:textId="6B1652E6"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52773CD0" wp14:editId="4DB0578F">
            <wp:extent cx="1199889" cy="1940119"/>
            <wp:effectExtent l="0" t="0" r="635" b="3175"/>
            <wp:docPr id="144923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34168" name=""/>
                    <pic:cNvPicPr/>
                  </pic:nvPicPr>
                  <pic:blipFill>
                    <a:blip r:embed="rId15"/>
                    <a:stretch>
                      <a:fillRect/>
                    </a:stretch>
                  </pic:blipFill>
                  <pic:spPr>
                    <a:xfrm>
                      <a:off x="0" y="0"/>
                      <a:ext cx="1208561" cy="1954140"/>
                    </a:xfrm>
                    <a:prstGeom prst="rect">
                      <a:avLst/>
                    </a:prstGeom>
                  </pic:spPr>
                </pic:pic>
              </a:graphicData>
            </a:graphic>
          </wp:inline>
        </w:drawing>
      </w:r>
    </w:p>
    <w:p w14:paraId="6907BB0E"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analysis of sales channels reveals stark differences in performance:</w:t>
      </w:r>
    </w:p>
    <w:p w14:paraId="689FF328" w14:textId="77777777" w:rsidR="00BE3B4E" w:rsidRPr="00BE3B4E" w:rsidRDefault="00BE3B4E" w:rsidP="00BE3B4E">
      <w:pPr>
        <w:numPr>
          <w:ilvl w:val="0"/>
          <w:numId w:val="17"/>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Agents</w:t>
      </w:r>
      <w:r w:rsidRPr="00BE3B4E">
        <w:rPr>
          <w:rFonts w:eastAsiaTheme="minorEastAsia"/>
          <w:bCs/>
          <w:sz w:val="24"/>
          <w:szCs w:val="24"/>
          <w:lang w:val="en-IN" w:eastAsia="zh-CN"/>
        </w:rPr>
        <w:t xml:space="preserve"> dominate in both client acquisition and total CLV contribution, making them a critical component of the sales strategy.</w:t>
      </w:r>
    </w:p>
    <w:p w14:paraId="5B403506" w14:textId="1CED8644" w:rsidR="00BE3B4E" w:rsidRPr="00BE3B4E" w:rsidRDefault="00BE3B4E" w:rsidP="00BE3B4E">
      <w:pPr>
        <w:numPr>
          <w:ilvl w:val="0"/>
          <w:numId w:val="17"/>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lastRenderedPageBreak/>
        <w:t xml:space="preserve">Call </w:t>
      </w:r>
      <w:r w:rsidR="00126897" w:rsidRPr="00542984">
        <w:rPr>
          <w:rFonts w:eastAsiaTheme="minorEastAsia"/>
          <w:b/>
          <w:bCs/>
          <w:sz w:val="24"/>
          <w:szCs w:val="24"/>
          <w:lang w:val="en-IN" w:eastAsia="zh-CN"/>
        </w:rPr>
        <w:t>Centres</w:t>
      </w:r>
      <w:r w:rsidRPr="00BE3B4E">
        <w:rPr>
          <w:rFonts w:eastAsiaTheme="minorEastAsia"/>
          <w:bCs/>
          <w:sz w:val="24"/>
          <w:szCs w:val="24"/>
          <w:lang w:val="en-IN" w:eastAsia="zh-CN"/>
        </w:rPr>
        <w:t xml:space="preserve"> achieve the highest average CLV, reflecting their ability to attract high-value customers despite a smaller client base.</w:t>
      </w:r>
    </w:p>
    <w:p w14:paraId="493F0BCF" w14:textId="77777777" w:rsidR="00BE3B4E" w:rsidRPr="00BE3B4E" w:rsidRDefault="00BE3B4E" w:rsidP="00BE3B4E">
      <w:pPr>
        <w:numPr>
          <w:ilvl w:val="0"/>
          <w:numId w:val="17"/>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Web Channels</w:t>
      </w:r>
      <w:r w:rsidRPr="00BE3B4E">
        <w:rPr>
          <w:rFonts w:eastAsiaTheme="minorEastAsia"/>
          <w:bCs/>
          <w:sz w:val="24"/>
          <w:szCs w:val="24"/>
          <w:lang w:val="en-IN" w:eastAsia="zh-CN"/>
        </w:rPr>
        <w:t>, in contrast, underperform in both customer count and average CLV, indicating the need for enhanced digital marketing and user experience.</w:t>
      </w:r>
    </w:p>
    <w:p w14:paraId="3F639B0E" w14:textId="0E82DBD3"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 xml:space="preserve">These findings highlight the importance of optimizing underperforming channels while leveraging the strengths of agents and call </w:t>
      </w:r>
      <w:proofErr w:type="spellStart"/>
      <w:r w:rsidRPr="00BE3B4E">
        <w:rPr>
          <w:rFonts w:eastAsiaTheme="minorEastAsia"/>
          <w:bCs/>
          <w:sz w:val="24"/>
          <w:szCs w:val="24"/>
          <w:lang w:val="en-IN" w:eastAsia="zh-CN"/>
        </w:rPr>
        <w:t>centers</w:t>
      </w:r>
      <w:proofErr w:type="spellEnd"/>
      <w:r w:rsidRPr="00BE3B4E">
        <w:rPr>
          <w:rFonts w:eastAsiaTheme="minorEastAsia"/>
          <w:bCs/>
          <w:sz w:val="24"/>
          <w:szCs w:val="24"/>
          <w:lang w:val="en-IN" w:eastAsia="zh-CN"/>
        </w:rPr>
        <w:t xml:space="preserve"> to maximize value generation.</w:t>
      </w:r>
    </w:p>
    <w:p w14:paraId="6B4045E5" w14:textId="7D50038E"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4.5 Geographic Distribution</w:t>
      </w:r>
      <w:r w:rsidR="004B7DA3" w:rsidRPr="00542984">
        <w:rPr>
          <w:rFonts w:eastAsiaTheme="minorEastAsia"/>
          <w:b/>
          <w:bCs/>
          <w:sz w:val="24"/>
          <w:szCs w:val="24"/>
          <w:lang w:val="en-IN" w:eastAsia="zh-CN"/>
        </w:rPr>
        <w:t>:</w:t>
      </w:r>
    </w:p>
    <w:p w14:paraId="3AA62EBE" w14:textId="2C8A22F5"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4A6BC9CD" wp14:editId="7F4A8C4E">
            <wp:extent cx="1639902" cy="2091193"/>
            <wp:effectExtent l="0" t="0" r="0" b="4445"/>
            <wp:docPr id="5748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45699" name=""/>
                    <pic:cNvPicPr/>
                  </pic:nvPicPr>
                  <pic:blipFill>
                    <a:blip r:embed="rId16"/>
                    <a:stretch>
                      <a:fillRect/>
                    </a:stretch>
                  </pic:blipFill>
                  <pic:spPr>
                    <a:xfrm>
                      <a:off x="0" y="0"/>
                      <a:ext cx="1644538" cy="2097105"/>
                    </a:xfrm>
                    <a:prstGeom prst="rect">
                      <a:avLst/>
                    </a:prstGeom>
                  </pic:spPr>
                </pic:pic>
              </a:graphicData>
            </a:graphic>
          </wp:inline>
        </w:drawing>
      </w:r>
    </w:p>
    <w:p w14:paraId="1BC64BEB"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geographic analysis provides key insights:</w:t>
      </w:r>
    </w:p>
    <w:p w14:paraId="215B353D" w14:textId="77777777" w:rsidR="00BE3B4E" w:rsidRPr="00BE3B4E" w:rsidRDefault="00BE3B4E" w:rsidP="00BE3B4E">
      <w:pPr>
        <w:numPr>
          <w:ilvl w:val="0"/>
          <w:numId w:val="18"/>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California</w:t>
      </w:r>
      <w:r w:rsidRPr="00BE3B4E">
        <w:rPr>
          <w:rFonts w:eastAsiaTheme="minorEastAsia"/>
          <w:bCs/>
          <w:sz w:val="24"/>
          <w:szCs w:val="24"/>
          <w:lang w:val="en-IN" w:eastAsia="zh-CN"/>
        </w:rPr>
        <w:t xml:space="preserve"> leads in both total CLV and client count, reaffirming its role as the most valuable market.</w:t>
      </w:r>
    </w:p>
    <w:p w14:paraId="431627D9" w14:textId="77777777" w:rsidR="00BE3B4E" w:rsidRPr="00BE3B4E" w:rsidRDefault="00BE3B4E" w:rsidP="00BE3B4E">
      <w:pPr>
        <w:numPr>
          <w:ilvl w:val="0"/>
          <w:numId w:val="18"/>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Oregon</w:t>
      </w:r>
      <w:r w:rsidRPr="00BE3B4E">
        <w:rPr>
          <w:rFonts w:eastAsiaTheme="minorEastAsia"/>
          <w:bCs/>
          <w:sz w:val="24"/>
          <w:szCs w:val="24"/>
          <w:lang w:val="en-IN" w:eastAsia="zh-CN"/>
        </w:rPr>
        <w:t xml:space="preserve"> stands out with strong performance in total CLV, maintaining its position as the second-highest contributor.</w:t>
      </w:r>
    </w:p>
    <w:p w14:paraId="44037CA2" w14:textId="77777777" w:rsidR="00BE3B4E" w:rsidRPr="00BE3B4E" w:rsidRDefault="00BE3B4E" w:rsidP="00BE3B4E">
      <w:pPr>
        <w:numPr>
          <w:ilvl w:val="0"/>
          <w:numId w:val="18"/>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Nevada</w:t>
      </w:r>
      <w:r w:rsidRPr="00BE3B4E">
        <w:rPr>
          <w:rFonts w:eastAsiaTheme="minorEastAsia"/>
          <w:bCs/>
          <w:sz w:val="24"/>
          <w:szCs w:val="24"/>
          <w:lang w:val="en-IN" w:eastAsia="zh-CN"/>
        </w:rPr>
        <w:t xml:space="preserve"> leads in average CLV per client, highlighting its profitability despite contributing less in terms of total CLV and client count.</w:t>
      </w:r>
    </w:p>
    <w:p w14:paraId="54D133A8" w14:textId="77777777" w:rsidR="00BE3B4E" w:rsidRPr="00BE3B4E" w:rsidRDefault="00BE3B4E" w:rsidP="00BE3B4E">
      <w:pPr>
        <w:numPr>
          <w:ilvl w:val="0"/>
          <w:numId w:val="18"/>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Arizona</w:t>
      </w:r>
      <w:r w:rsidRPr="00BE3B4E">
        <w:rPr>
          <w:rFonts w:eastAsiaTheme="minorEastAsia"/>
          <w:bCs/>
          <w:sz w:val="24"/>
          <w:szCs w:val="24"/>
          <w:lang w:val="en-IN" w:eastAsia="zh-CN"/>
        </w:rPr>
        <w:t xml:space="preserve"> has the lowest contribution in both metrics, presenting an opportunity for targeted campaigns to improve penetration.</w:t>
      </w:r>
    </w:p>
    <w:p w14:paraId="38B2C8AE" w14:textId="40E59490"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lastRenderedPageBreak/>
        <w:t>These findings guide resource allocation, with a focus on retaining high-value clients in leading states while driving growth in underperforming regions.</w:t>
      </w:r>
    </w:p>
    <w:p w14:paraId="3DC98611"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4.6 Average CLV by Car Class and Size</w:t>
      </w:r>
    </w:p>
    <w:p w14:paraId="09592352" w14:textId="2596C34B"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23CEE83E" wp14:editId="7E92F807">
            <wp:extent cx="2613811" cy="1796995"/>
            <wp:effectExtent l="0" t="0" r="0" b="0"/>
            <wp:docPr id="183403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5594" name=""/>
                    <pic:cNvPicPr/>
                  </pic:nvPicPr>
                  <pic:blipFill>
                    <a:blip r:embed="rId17"/>
                    <a:stretch>
                      <a:fillRect/>
                    </a:stretch>
                  </pic:blipFill>
                  <pic:spPr>
                    <a:xfrm>
                      <a:off x="0" y="0"/>
                      <a:ext cx="2624520" cy="1804357"/>
                    </a:xfrm>
                    <a:prstGeom prst="rect">
                      <a:avLst/>
                    </a:prstGeom>
                  </pic:spPr>
                </pic:pic>
              </a:graphicData>
            </a:graphic>
          </wp:inline>
        </w:drawing>
      </w:r>
    </w:p>
    <w:p w14:paraId="7728FF42"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analysis of car class and size highlights significant differences in CLV generation:</w:t>
      </w:r>
    </w:p>
    <w:p w14:paraId="7AD572F2" w14:textId="77777777" w:rsidR="00BE3B4E" w:rsidRPr="00BE3B4E" w:rsidRDefault="00BE3B4E" w:rsidP="00BE3B4E">
      <w:pPr>
        <w:numPr>
          <w:ilvl w:val="0"/>
          <w:numId w:val="19"/>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Luxury Vehicles</w:t>
      </w:r>
      <w:r w:rsidRPr="00BE3B4E">
        <w:rPr>
          <w:rFonts w:eastAsiaTheme="minorEastAsia"/>
          <w:bCs/>
          <w:sz w:val="24"/>
          <w:szCs w:val="24"/>
          <w:lang w:val="en-IN" w:eastAsia="zh-CN"/>
        </w:rPr>
        <w:t>, especially Small Luxury Cars and Large Luxury SUVs, yield the highest average CLV ($22,637 and $21,294, respectively). This finding reinforces the profitability of targeting high-end vehicle owners.</w:t>
      </w:r>
    </w:p>
    <w:p w14:paraId="69A7A460" w14:textId="77777777" w:rsidR="00BE3B4E" w:rsidRPr="00BE3B4E" w:rsidRDefault="00BE3B4E" w:rsidP="00BE3B4E">
      <w:pPr>
        <w:numPr>
          <w:ilvl w:val="0"/>
          <w:numId w:val="19"/>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Economy vehicles dominate in customer volume but generate significantly lower average CLV, reflecting their mass-market appeal but limited profitability.</w:t>
      </w:r>
    </w:p>
    <w:p w14:paraId="14AB8284" w14:textId="4BAC3224"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These insights underscore the need to prioritize high-value segments like luxury vehicle owners with premium offerings while exploring ways to enhance the value proposition for economy vehicle customers.</w:t>
      </w:r>
    </w:p>
    <w:p w14:paraId="12BAC1B8"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4.7 Demand by Location</w:t>
      </w:r>
    </w:p>
    <w:p w14:paraId="7D809413" w14:textId="6A96A1E3"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2FCD741B" wp14:editId="600473F7">
            <wp:extent cx="2353378" cy="1367624"/>
            <wp:effectExtent l="0" t="0" r="0" b="4445"/>
            <wp:docPr id="160206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64531" name=""/>
                    <pic:cNvPicPr/>
                  </pic:nvPicPr>
                  <pic:blipFill>
                    <a:blip r:embed="rId18"/>
                    <a:stretch>
                      <a:fillRect/>
                    </a:stretch>
                  </pic:blipFill>
                  <pic:spPr>
                    <a:xfrm>
                      <a:off x="0" y="0"/>
                      <a:ext cx="2354982" cy="1368556"/>
                    </a:xfrm>
                    <a:prstGeom prst="rect">
                      <a:avLst/>
                    </a:prstGeom>
                  </pic:spPr>
                </pic:pic>
              </a:graphicData>
            </a:graphic>
          </wp:inline>
        </w:drawing>
      </w:r>
    </w:p>
    <w:p w14:paraId="0A8D0C50" w14:textId="492C1015"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lastRenderedPageBreak/>
        <w:t>The geographic distribution of demand reveals that suburban areas dominate in client density, followed by urban and rural regions. The relatively lower client density in rural areas represents untapped potential, which can be addressed through tailored marketing strategies and localized offerings. Strengthening the suburban customer base while expanding into rural markets could drive significant growth.</w:t>
      </w:r>
    </w:p>
    <w:p w14:paraId="601E1800"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4.8 Popular vs. Profitable Coverage Type</w:t>
      </w:r>
    </w:p>
    <w:p w14:paraId="171E5E1B" w14:textId="1DA4B995"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53703F73" wp14:editId="49081FBB">
            <wp:extent cx="3267986" cy="1276682"/>
            <wp:effectExtent l="0" t="0" r="8890" b="0"/>
            <wp:docPr id="110421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9478" name=""/>
                    <pic:cNvPicPr/>
                  </pic:nvPicPr>
                  <pic:blipFill>
                    <a:blip r:embed="rId19"/>
                    <a:stretch>
                      <a:fillRect/>
                    </a:stretch>
                  </pic:blipFill>
                  <pic:spPr>
                    <a:xfrm>
                      <a:off x="0" y="0"/>
                      <a:ext cx="3285809" cy="1283645"/>
                    </a:xfrm>
                    <a:prstGeom prst="rect">
                      <a:avLst/>
                    </a:prstGeom>
                  </pic:spPr>
                </pic:pic>
              </a:graphicData>
            </a:graphic>
          </wp:inline>
        </w:drawing>
      </w:r>
    </w:p>
    <w:p w14:paraId="7D8BA804"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analysis of coverage types reveals a clear distinction between popularity and profitability:</w:t>
      </w:r>
    </w:p>
    <w:p w14:paraId="71B9907F" w14:textId="77777777" w:rsidR="00BE3B4E" w:rsidRPr="00BE3B4E" w:rsidRDefault="00BE3B4E" w:rsidP="00BE3B4E">
      <w:pPr>
        <w:numPr>
          <w:ilvl w:val="0"/>
          <w:numId w:val="20"/>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Premium Coverage</w:t>
      </w:r>
      <w:r w:rsidRPr="00BE3B4E">
        <w:rPr>
          <w:rFonts w:eastAsiaTheme="minorEastAsia"/>
          <w:bCs/>
          <w:sz w:val="24"/>
          <w:szCs w:val="24"/>
          <w:lang w:val="en-IN" w:eastAsia="zh-CN"/>
        </w:rPr>
        <w:t>: Generates the highest average CLV ($10,947), making it the most profitable plan, but has the lowest client count, indicating limited adoption.</w:t>
      </w:r>
    </w:p>
    <w:p w14:paraId="76E93977" w14:textId="77777777" w:rsidR="00BE3B4E" w:rsidRPr="00BE3B4E" w:rsidRDefault="00BE3B4E" w:rsidP="00BE3B4E">
      <w:pPr>
        <w:numPr>
          <w:ilvl w:val="0"/>
          <w:numId w:val="20"/>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Basic Coverage</w:t>
      </w:r>
      <w:r w:rsidRPr="00BE3B4E">
        <w:rPr>
          <w:rFonts w:eastAsiaTheme="minorEastAsia"/>
          <w:bCs/>
          <w:sz w:val="24"/>
          <w:szCs w:val="24"/>
          <w:lang w:val="en-IN" w:eastAsia="zh-CN"/>
        </w:rPr>
        <w:t>: Attracts the highest client count but contributes the lowest average CLV, reflecting its mass-market appeal but limited profitability.</w:t>
      </w:r>
    </w:p>
    <w:p w14:paraId="6628FFE4" w14:textId="6C6F707F" w:rsidR="00AB5678" w:rsidRPr="00AB5678" w:rsidRDefault="00BE3B4E" w:rsidP="00AB5678">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This imbalance underscores the importance of targeted upsell strategies to transition basic policyholders to premium plans. Additionally, introducing mid-tier options could bridge the gap and attract more customers toward profitable plans.</w:t>
      </w:r>
      <w:r w:rsidR="00AB5678">
        <w:rPr>
          <w:rFonts w:eastAsiaTheme="minorEastAsia"/>
          <w:b/>
          <w:bCs/>
          <w:sz w:val="24"/>
          <w:szCs w:val="24"/>
          <w:lang w:val="en-IN" w:eastAsia="zh-CN"/>
        </w:rPr>
        <w:br w:type="page"/>
      </w:r>
    </w:p>
    <w:p w14:paraId="78ED2398" w14:textId="36654586"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lastRenderedPageBreak/>
        <w:t>4.9 Average CLV and Demand by Clientele Type</w:t>
      </w:r>
    </w:p>
    <w:p w14:paraId="31D03868" w14:textId="12F4BF51"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525C4FB4" wp14:editId="74F21B87">
            <wp:extent cx="1455089" cy="2328141"/>
            <wp:effectExtent l="0" t="0" r="0" b="0"/>
            <wp:docPr id="1521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5194" name=""/>
                    <pic:cNvPicPr/>
                  </pic:nvPicPr>
                  <pic:blipFill>
                    <a:blip r:embed="rId20"/>
                    <a:stretch>
                      <a:fillRect/>
                    </a:stretch>
                  </pic:blipFill>
                  <pic:spPr>
                    <a:xfrm>
                      <a:off x="0" y="0"/>
                      <a:ext cx="1461161" cy="2337857"/>
                    </a:xfrm>
                    <a:prstGeom prst="rect">
                      <a:avLst/>
                    </a:prstGeom>
                  </pic:spPr>
                </pic:pic>
              </a:graphicData>
            </a:graphic>
          </wp:inline>
        </w:drawing>
      </w:r>
    </w:p>
    <w:p w14:paraId="3C7B6CAA"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segmentation by gender and marital status reveals distinct trends:</w:t>
      </w:r>
    </w:p>
    <w:p w14:paraId="660485B4" w14:textId="77777777" w:rsidR="00BE3B4E" w:rsidRPr="00BE3B4E" w:rsidRDefault="00BE3B4E" w:rsidP="00BE3B4E">
      <w:pPr>
        <w:numPr>
          <w:ilvl w:val="0"/>
          <w:numId w:val="21"/>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Married Women</w:t>
      </w:r>
      <w:r w:rsidRPr="00BE3B4E">
        <w:rPr>
          <w:rFonts w:eastAsiaTheme="minorEastAsia"/>
          <w:bCs/>
          <w:sz w:val="24"/>
          <w:szCs w:val="24"/>
          <w:lang w:val="en-IN" w:eastAsia="zh-CN"/>
        </w:rPr>
        <w:t xml:space="preserve"> dominate in client count, suggesting an opportunity to design family-oriented policies.</w:t>
      </w:r>
    </w:p>
    <w:p w14:paraId="1145A770" w14:textId="2BAABF86" w:rsidR="00BE3B4E" w:rsidRPr="00BE3B4E" w:rsidRDefault="00BE3B4E" w:rsidP="00BE3B4E">
      <w:pPr>
        <w:numPr>
          <w:ilvl w:val="0"/>
          <w:numId w:val="21"/>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Divorced Women</w:t>
      </w:r>
      <w:r w:rsidRPr="00BE3B4E">
        <w:rPr>
          <w:rFonts w:eastAsiaTheme="minorEastAsia"/>
          <w:bCs/>
          <w:sz w:val="24"/>
          <w:szCs w:val="24"/>
          <w:lang w:val="en-IN" w:eastAsia="zh-CN"/>
        </w:rPr>
        <w:t xml:space="preserve"> generate the highest average CLV, presenting a niche high-value market for tailored offerings. These findings highlight the importance of understanding client demographics to design effective marketing strategies.</w:t>
      </w:r>
    </w:p>
    <w:p w14:paraId="383536D3"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4.10 Popular Offer Type</w:t>
      </w:r>
    </w:p>
    <w:p w14:paraId="4C69A89A" w14:textId="06BE04C6"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42C9E17E" wp14:editId="08E67D1E">
            <wp:extent cx="1781092" cy="2038361"/>
            <wp:effectExtent l="0" t="0" r="0" b="0"/>
            <wp:docPr id="26544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6050" name=""/>
                    <pic:cNvPicPr/>
                  </pic:nvPicPr>
                  <pic:blipFill>
                    <a:blip r:embed="rId21"/>
                    <a:stretch>
                      <a:fillRect/>
                    </a:stretch>
                  </pic:blipFill>
                  <pic:spPr>
                    <a:xfrm>
                      <a:off x="0" y="0"/>
                      <a:ext cx="1798128" cy="2057858"/>
                    </a:xfrm>
                    <a:prstGeom prst="rect">
                      <a:avLst/>
                    </a:prstGeom>
                  </pic:spPr>
                </pic:pic>
              </a:graphicData>
            </a:graphic>
          </wp:inline>
        </w:drawing>
      </w:r>
    </w:p>
    <w:p w14:paraId="474CC200" w14:textId="704A920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 xml:space="preserve">Offer1 outperforms other offers in client count and total CLV contribution. Despite similar average CLV across all offer types, the higher adoption of Offer1 suggests features or </w:t>
      </w:r>
      <w:r w:rsidRPr="00BE3B4E">
        <w:rPr>
          <w:rFonts w:eastAsiaTheme="minorEastAsia"/>
          <w:bCs/>
          <w:sz w:val="24"/>
          <w:szCs w:val="24"/>
          <w:lang w:val="en-IN" w:eastAsia="zh-CN"/>
        </w:rPr>
        <w:lastRenderedPageBreak/>
        <w:t xml:space="preserve">incentives that resonate well with customers. By </w:t>
      </w:r>
      <w:proofErr w:type="spellStart"/>
      <w:r w:rsidRPr="00BE3B4E">
        <w:rPr>
          <w:rFonts w:eastAsiaTheme="minorEastAsia"/>
          <w:bCs/>
          <w:sz w:val="24"/>
          <w:szCs w:val="24"/>
          <w:lang w:val="en-IN" w:eastAsia="zh-CN"/>
        </w:rPr>
        <w:t>analyzing</w:t>
      </w:r>
      <w:proofErr w:type="spellEnd"/>
      <w:r w:rsidRPr="00BE3B4E">
        <w:rPr>
          <w:rFonts w:eastAsiaTheme="minorEastAsia"/>
          <w:bCs/>
          <w:sz w:val="24"/>
          <w:szCs w:val="24"/>
          <w:lang w:val="en-IN" w:eastAsia="zh-CN"/>
        </w:rPr>
        <w:t xml:space="preserve"> the success factors of Offer1, businesses can replicate its appeal across other offers to improve overall performance.</w:t>
      </w:r>
    </w:p>
    <w:p w14:paraId="66BB49F2" w14:textId="77777777" w:rsidR="00BE3B4E" w:rsidRPr="00542984" w:rsidRDefault="00BE3B4E" w:rsidP="00BE3B4E">
      <w:pPr>
        <w:overflowPunct/>
        <w:autoSpaceDE/>
        <w:autoSpaceDN/>
        <w:adjustRightInd/>
        <w:spacing w:after="160" w:line="480" w:lineRule="auto"/>
        <w:textAlignment w:val="auto"/>
        <w:rPr>
          <w:rFonts w:eastAsiaTheme="minorEastAsia"/>
          <w:b/>
          <w:bCs/>
          <w:sz w:val="24"/>
          <w:szCs w:val="24"/>
          <w:lang w:val="en-IN" w:eastAsia="zh-CN"/>
        </w:rPr>
      </w:pPr>
      <w:r w:rsidRPr="00BE3B4E">
        <w:rPr>
          <w:rFonts w:eastAsiaTheme="minorEastAsia"/>
          <w:b/>
          <w:bCs/>
          <w:sz w:val="24"/>
          <w:szCs w:val="24"/>
          <w:lang w:val="en-IN" w:eastAsia="zh-CN"/>
        </w:rPr>
        <w:t>4.11 Average CLV by Education and Employment Status</w:t>
      </w:r>
    </w:p>
    <w:p w14:paraId="67B58C3B" w14:textId="7A5361B7" w:rsidR="004B7DA3" w:rsidRPr="00BE3B4E" w:rsidRDefault="004B7DA3" w:rsidP="00BE3B4E">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noProof/>
          <w:sz w:val="24"/>
          <w:szCs w:val="24"/>
          <w:lang w:val="en-IN" w:eastAsia="zh-CN"/>
        </w:rPr>
        <w:drawing>
          <wp:inline distT="0" distB="0" distL="0" distR="0" wp14:anchorId="6BD89A78" wp14:editId="50B75892">
            <wp:extent cx="3323645" cy="1745915"/>
            <wp:effectExtent l="0" t="0" r="0" b="6985"/>
            <wp:docPr id="84158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80519" name=""/>
                    <pic:cNvPicPr/>
                  </pic:nvPicPr>
                  <pic:blipFill>
                    <a:blip r:embed="rId22"/>
                    <a:stretch>
                      <a:fillRect/>
                    </a:stretch>
                  </pic:blipFill>
                  <pic:spPr>
                    <a:xfrm>
                      <a:off x="0" y="0"/>
                      <a:ext cx="3334229" cy="1751475"/>
                    </a:xfrm>
                    <a:prstGeom prst="rect">
                      <a:avLst/>
                    </a:prstGeom>
                  </pic:spPr>
                </pic:pic>
              </a:graphicData>
            </a:graphic>
          </wp:inline>
        </w:drawing>
      </w:r>
    </w:p>
    <w:p w14:paraId="3A10C1D9" w14:textId="77777777"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 analysis of education and employment status reveals that:</w:t>
      </w:r>
    </w:p>
    <w:p w14:paraId="2FE9821E" w14:textId="77777777" w:rsidR="00BE3B4E" w:rsidRPr="00BE3B4E" w:rsidRDefault="00BE3B4E" w:rsidP="00BE3B4E">
      <w:pPr>
        <w:numPr>
          <w:ilvl w:val="0"/>
          <w:numId w:val="22"/>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
          <w:bCs/>
          <w:sz w:val="24"/>
          <w:szCs w:val="24"/>
          <w:lang w:val="en-IN" w:eastAsia="zh-CN"/>
        </w:rPr>
        <w:t>Doctorate holders on medical leave</w:t>
      </w:r>
      <w:r w:rsidRPr="00BE3B4E">
        <w:rPr>
          <w:rFonts w:eastAsiaTheme="minorEastAsia"/>
          <w:bCs/>
          <w:sz w:val="24"/>
          <w:szCs w:val="24"/>
          <w:lang w:val="en-IN" w:eastAsia="zh-CN"/>
        </w:rPr>
        <w:t xml:space="preserve"> and </w:t>
      </w:r>
      <w:r w:rsidRPr="00BE3B4E">
        <w:rPr>
          <w:rFonts w:eastAsiaTheme="minorEastAsia"/>
          <w:b/>
          <w:bCs/>
          <w:sz w:val="24"/>
          <w:szCs w:val="24"/>
          <w:lang w:val="en-IN" w:eastAsia="zh-CN"/>
        </w:rPr>
        <w:t>Master's degree retirees</w:t>
      </w:r>
      <w:r w:rsidRPr="00BE3B4E">
        <w:rPr>
          <w:rFonts w:eastAsiaTheme="minorEastAsia"/>
          <w:bCs/>
          <w:sz w:val="24"/>
          <w:szCs w:val="24"/>
          <w:lang w:val="en-IN" w:eastAsia="zh-CN"/>
        </w:rPr>
        <w:t xml:space="preserve"> generate the highest average CLV, representing niche but highly profitable customer segments.</w:t>
      </w:r>
    </w:p>
    <w:p w14:paraId="2C317C09" w14:textId="77777777" w:rsidR="00BE3B4E" w:rsidRPr="00BE3B4E" w:rsidRDefault="00BE3B4E" w:rsidP="00BE3B4E">
      <w:pPr>
        <w:numPr>
          <w:ilvl w:val="0"/>
          <w:numId w:val="22"/>
        </w:num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Higher education levels generally correlate with higher CLV, emphasizing the importance of targeting educated customers with tailored packages.</w:t>
      </w:r>
    </w:p>
    <w:p w14:paraId="48C1F766" w14:textId="18A0D848" w:rsidR="00BE3B4E" w:rsidRPr="00BE3B4E" w:rsidRDefault="00BE3B4E" w:rsidP="00BE3B4E">
      <w:pPr>
        <w:overflowPunct/>
        <w:autoSpaceDE/>
        <w:autoSpaceDN/>
        <w:adjustRightInd/>
        <w:spacing w:after="160" w:line="480" w:lineRule="auto"/>
        <w:textAlignment w:val="auto"/>
        <w:rPr>
          <w:rFonts w:eastAsiaTheme="minorEastAsia"/>
          <w:bCs/>
          <w:sz w:val="24"/>
          <w:szCs w:val="24"/>
          <w:lang w:val="en-IN" w:eastAsia="zh-CN"/>
        </w:rPr>
      </w:pPr>
      <w:r w:rsidRPr="00BE3B4E">
        <w:rPr>
          <w:rFonts w:eastAsiaTheme="minorEastAsia"/>
          <w:bCs/>
          <w:sz w:val="24"/>
          <w:szCs w:val="24"/>
          <w:lang w:val="en-IN" w:eastAsia="zh-CN"/>
        </w:rPr>
        <w:t>These findings suggest opportunities to design specialized offerings for highly educated and temporarily unemployed professionals, as well as retirees with substantial purchasing power.</w:t>
      </w:r>
    </w:p>
    <w:p w14:paraId="7951475C" w14:textId="3AAA34CA" w:rsidR="00B300B7" w:rsidRPr="00B300B7" w:rsidRDefault="00B300B7" w:rsidP="00B300B7">
      <w:pPr>
        <w:overflowPunct/>
        <w:autoSpaceDE/>
        <w:autoSpaceDN/>
        <w:adjustRightInd/>
        <w:spacing w:after="160" w:line="480" w:lineRule="auto"/>
        <w:textAlignment w:val="auto"/>
        <w:rPr>
          <w:rFonts w:eastAsiaTheme="minorEastAsia"/>
          <w:b/>
          <w:bCs/>
          <w:sz w:val="24"/>
          <w:szCs w:val="24"/>
          <w:u w:val="single"/>
          <w:lang w:val="en-IN" w:eastAsia="zh-CN"/>
        </w:rPr>
      </w:pPr>
      <w:r w:rsidRPr="00B300B7">
        <w:rPr>
          <w:rFonts w:eastAsiaTheme="minorEastAsia"/>
          <w:b/>
          <w:bCs/>
          <w:sz w:val="24"/>
          <w:szCs w:val="24"/>
          <w:u w:val="single"/>
          <w:lang w:val="en-IN" w:eastAsia="zh-CN"/>
        </w:rPr>
        <w:t>5. Theoretical and Managerial Implications</w:t>
      </w:r>
    </w:p>
    <w:p w14:paraId="3E2B8D22" w14:textId="77777777" w:rsidR="00B300B7" w:rsidRPr="00B300B7" w:rsidRDefault="00B300B7" w:rsidP="00B300B7">
      <w:pPr>
        <w:overflowPunct/>
        <w:autoSpaceDE/>
        <w:autoSpaceDN/>
        <w:adjustRightInd/>
        <w:spacing w:after="160" w:line="480" w:lineRule="auto"/>
        <w:textAlignment w:val="auto"/>
        <w:rPr>
          <w:rFonts w:eastAsiaTheme="minorEastAsia"/>
          <w:b/>
          <w:bCs/>
          <w:sz w:val="24"/>
          <w:szCs w:val="24"/>
          <w:lang w:val="en-IN" w:eastAsia="zh-CN"/>
        </w:rPr>
      </w:pPr>
      <w:r w:rsidRPr="00B300B7">
        <w:rPr>
          <w:rFonts w:eastAsiaTheme="minorEastAsia"/>
          <w:b/>
          <w:bCs/>
          <w:sz w:val="24"/>
          <w:szCs w:val="24"/>
          <w:lang w:val="en-IN" w:eastAsia="zh-CN"/>
        </w:rPr>
        <w:t>5.1 Theoretical Implications</w:t>
      </w:r>
    </w:p>
    <w:p w14:paraId="27D21CCE"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Our findings make significant contributions to the understanding of </w:t>
      </w:r>
      <w:r w:rsidRPr="00B300B7">
        <w:rPr>
          <w:rFonts w:eastAsiaTheme="minorEastAsia"/>
          <w:b/>
          <w:bCs/>
          <w:sz w:val="24"/>
          <w:szCs w:val="24"/>
          <w:lang w:val="en-IN" w:eastAsia="zh-CN"/>
        </w:rPr>
        <w:t>Customer Lifetime Value (CLV)</w:t>
      </w:r>
      <w:r w:rsidRPr="00B300B7">
        <w:rPr>
          <w:rFonts w:eastAsiaTheme="minorEastAsia"/>
          <w:bCs/>
          <w:sz w:val="24"/>
          <w:szCs w:val="24"/>
          <w:lang w:val="en-IN" w:eastAsia="zh-CN"/>
        </w:rPr>
        <w:t>, providing a deeper understanding of its drivers, patterns, and actionable segmentation strategies:</w:t>
      </w:r>
    </w:p>
    <w:p w14:paraId="42A7E14E" w14:textId="77777777" w:rsidR="00B300B7" w:rsidRPr="00B300B7" w:rsidRDefault="00B300B7" w:rsidP="00B300B7">
      <w:pPr>
        <w:numPr>
          <w:ilvl w:val="0"/>
          <w:numId w:val="2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Advancing CLV Models</w:t>
      </w:r>
      <w:r w:rsidRPr="00B300B7">
        <w:rPr>
          <w:rFonts w:eastAsiaTheme="minorEastAsia"/>
          <w:bCs/>
          <w:sz w:val="24"/>
          <w:szCs w:val="24"/>
          <w:lang w:val="en-IN" w:eastAsia="zh-CN"/>
        </w:rPr>
        <w:t>:</w:t>
      </w:r>
      <w:r w:rsidRPr="00B300B7">
        <w:rPr>
          <w:rFonts w:eastAsiaTheme="minorEastAsia"/>
          <w:bCs/>
          <w:sz w:val="24"/>
          <w:szCs w:val="24"/>
          <w:lang w:val="en-IN" w:eastAsia="zh-CN"/>
        </w:rPr>
        <w:br/>
        <w:t xml:space="preserve">The predictive model showcases how demographic, geographic, and product-specific </w:t>
      </w:r>
      <w:r w:rsidRPr="00B300B7">
        <w:rPr>
          <w:rFonts w:eastAsiaTheme="minorEastAsia"/>
          <w:bCs/>
          <w:sz w:val="24"/>
          <w:szCs w:val="24"/>
          <w:lang w:val="en-IN" w:eastAsia="zh-CN"/>
        </w:rPr>
        <w:lastRenderedPageBreak/>
        <w:t>factors interact to influence CLV. This aligns with and extends existing frameworks on customer profitability by integrating high-dimensional predictive analytics.</w:t>
      </w:r>
    </w:p>
    <w:p w14:paraId="3D7B3857" w14:textId="77777777" w:rsidR="00B300B7" w:rsidRPr="00B300B7" w:rsidRDefault="00B300B7" w:rsidP="00B300B7">
      <w:pPr>
        <w:numPr>
          <w:ilvl w:val="1"/>
          <w:numId w:val="23"/>
        </w:numPr>
        <w:tabs>
          <w:tab w:val="num" w:pos="1440"/>
        </w:tabs>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For instance, the observed high average CLV among luxury vehicle owners and educated retirees confirms theories that higher disposable income drives customer value. However, the niche finding of medical leave customers having high CLV suggests new areas for further study in customer </w:t>
      </w:r>
      <w:proofErr w:type="spellStart"/>
      <w:r w:rsidRPr="00B300B7">
        <w:rPr>
          <w:rFonts w:eastAsiaTheme="minorEastAsia"/>
          <w:bCs/>
          <w:sz w:val="24"/>
          <w:szCs w:val="24"/>
          <w:lang w:val="en-IN" w:eastAsia="zh-CN"/>
        </w:rPr>
        <w:t>behavior</w:t>
      </w:r>
      <w:proofErr w:type="spellEnd"/>
      <w:r w:rsidRPr="00B300B7">
        <w:rPr>
          <w:rFonts w:eastAsiaTheme="minorEastAsia"/>
          <w:bCs/>
          <w:sz w:val="24"/>
          <w:szCs w:val="24"/>
          <w:lang w:val="en-IN" w:eastAsia="zh-CN"/>
        </w:rPr>
        <w:t xml:space="preserve"> during life transitions.</w:t>
      </w:r>
    </w:p>
    <w:p w14:paraId="3B2D34A0" w14:textId="77777777" w:rsidR="00B300B7" w:rsidRPr="00B300B7" w:rsidRDefault="00B300B7" w:rsidP="00B300B7">
      <w:pPr>
        <w:numPr>
          <w:ilvl w:val="0"/>
          <w:numId w:val="2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Understanding Profitability by Segment</w:t>
      </w:r>
      <w:r w:rsidRPr="00B300B7">
        <w:rPr>
          <w:rFonts w:eastAsiaTheme="minorEastAsia"/>
          <w:bCs/>
          <w:sz w:val="24"/>
          <w:szCs w:val="24"/>
          <w:lang w:val="en-IN" w:eastAsia="zh-CN"/>
        </w:rPr>
        <w:t>:</w:t>
      </w:r>
      <w:r w:rsidRPr="00B300B7">
        <w:rPr>
          <w:rFonts w:eastAsiaTheme="minorEastAsia"/>
          <w:bCs/>
          <w:sz w:val="24"/>
          <w:szCs w:val="24"/>
          <w:lang w:val="en-IN" w:eastAsia="zh-CN"/>
        </w:rPr>
        <w:br/>
        <w:t>Insights such as suburban dominance, premium coverage profitability, and gender-based preferences highlight the interplay between product type, location, and demographics. These findings can refine segmentation theory and help academics develop more nuanced customer models.</w:t>
      </w:r>
    </w:p>
    <w:p w14:paraId="1241BF56" w14:textId="2CC75538" w:rsidR="00B300B7" w:rsidRPr="00B300B7" w:rsidRDefault="00B300B7" w:rsidP="00B300B7">
      <w:pPr>
        <w:numPr>
          <w:ilvl w:val="0"/>
          <w:numId w:val="2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Exploring Underrepresented Segments</w:t>
      </w:r>
      <w:r w:rsidRPr="00B300B7">
        <w:rPr>
          <w:rFonts w:eastAsiaTheme="minorEastAsia"/>
          <w:bCs/>
          <w:sz w:val="24"/>
          <w:szCs w:val="24"/>
          <w:lang w:val="en-IN" w:eastAsia="zh-CN"/>
        </w:rPr>
        <w:t>:</w:t>
      </w:r>
      <w:r w:rsidRPr="00B300B7">
        <w:rPr>
          <w:rFonts w:eastAsiaTheme="minorEastAsia"/>
          <w:bCs/>
          <w:sz w:val="24"/>
          <w:szCs w:val="24"/>
          <w:lang w:val="en-IN" w:eastAsia="zh-CN"/>
        </w:rPr>
        <w:br/>
        <w:t>Outliers like rural regions or small luxury vehicle owners suggest opportunities for further research into niche or underserved markets. These insights help address gaps in traditional CLV studies, which often focus on the mainstream customer base.</w:t>
      </w:r>
    </w:p>
    <w:p w14:paraId="7F55F25F" w14:textId="36F336BE" w:rsidR="00B300B7" w:rsidRPr="00542984" w:rsidRDefault="00B300B7" w:rsidP="00D14B7B">
      <w:pPr>
        <w:pStyle w:val="ListParagraph"/>
        <w:numPr>
          <w:ilvl w:val="1"/>
          <w:numId w:val="41"/>
        </w:num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Managerial Implications</w:t>
      </w:r>
    </w:p>
    <w:p w14:paraId="21909DFC" w14:textId="77777777" w:rsidR="00D14B7B" w:rsidRPr="00542984" w:rsidRDefault="00B300B7" w:rsidP="00D14B7B">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The findings provide a roadmap for strategic decision-making to optimize customer retention, maximize profitability, and expand market share. Here are actionable recommendations for each insight:</w:t>
      </w:r>
    </w:p>
    <w:p w14:paraId="2D642853" w14:textId="75421E2B"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Leveraging Model Insights</w:t>
      </w:r>
    </w:p>
    <w:p w14:paraId="766BC3E7" w14:textId="77777777" w:rsidR="00B300B7" w:rsidRPr="00B300B7" w:rsidRDefault="00B300B7" w:rsidP="00B300B7">
      <w:pPr>
        <w:numPr>
          <w:ilvl w:val="0"/>
          <w:numId w:val="2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The CLV model equips managers with a predictive tool for segmentation and personalization.</w:t>
      </w:r>
    </w:p>
    <w:p w14:paraId="1F476743" w14:textId="77777777" w:rsidR="00B300B7" w:rsidRPr="00B300B7" w:rsidRDefault="00B300B7" w:rsidP="00B300B7">
      <w:pPr>
        <w:numPr>
          <w:ilvl w:val="0"/>
          <w:numId w:val="2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lastRenderedPageBreak/>
        <w:t>Actions</w:t>
      </w:r>
      <w:r w:rsidRPr="00B300B7">
        <w:rPr>
          <w:rFonts w:eastAsiaTheme="minorEastAsia"/>
          <w:bCs/>
          <w:sz w:val="24"/>
          <w:szCs w:val="24"/>
          <w:lang w:val="en-IN" w:eastAsia="zh-CN"/>
        </w:rPr>
        <w:t xml:space="preserve">: </w:t>
      </w:r>
    </w:p>
    <w:p w14:paraId="11513003" w14:textId="77777777" w:rsidR="00B300B7" w:rsidRPr="00B300B7" w:rsidRDefault="00B300B7" w:rsidP="00B300B7">
      <w:pPr>
        <w:numPr>
          <w:ilvl w:val="1"/>
          <w:numId w:val="2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Develop </w:t>
      </w:r>
      <w:r w:rsidRPr="00B300B7">
        <w:rPr>
          <w:rFonts w:eastAsiaTheme="minorEastAsia"/>
          <w:b/>
          <w:bCs/>
          <w:sz w:val="24"/>
          <w:szCs w:val="24"/>
          <w:lang w:val="en-IN" w:eastAsia="zh-CN"/>
        </w:rPr>
        <w:t>high-CLV customer retention strategies</w:t>
      </w:r>
      <w:r w:rsidRPr="00B300B7">
        <w:rPr>
          <w:rFonts w:eastAsiaTheme="minorEastAsia"/>
          <w:bCs/>
          <w:sz w:val="24"/>
          <w:szCs w:val="24"/>
          <w:lang w:val="en-IN" w:eastAsia="zh-CN"/>
        </w:rPr>
        <w:t>: Offer loyalty rewards and premium benefits to top-tier customers identified by the model.</w:t>
      </w:r>
    </w:p>
    <w:p w14:paraId="3D069B7A" w14:textId="109FF119" w:rsidR="00B300B7" w:rsidRPr="00B300B7" w:rsidRDefault="00B300B7" w:rsidP="00B300B7">
      <w:pPr>
        <w:numPr>
          <w:ilvl w:val="1"/>
          <w:numId w:val="2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Use </w:t>
      </w:r>
      <w:r w:rsidRPr="00B300B7">
        <w:rPr>
          <w:rFonts w:eastAsiaTheme="minorEastAsia"/>
          <w:b/>
          <w:bCs/>
          <w:sz w:val="24"/>
          <w:szCs w:val="24"/>
          <w:lang w:val="en-IN" w:eastAsia="zh-CN"/>
        </w:rPr>
        <w:t>CLV-based segmentation</w:t>
      </w:r>
      <w:r w:rsidRPr="00B300B7">
        <w:rPr>
          <w:rFonts w:eastAsiaTheme="minorEastAsia"/>
          <w:bCs/>
          <w:sz w:val="24"/>
          <w:szCs w:val="24"/>
          <w:lang w:val="en-IN" w:eastAsia="zh-CN"/>
        </w:rPr>
        <w:t xml:space="preserve"> to prioritize marketing spend: For example, allocate higher budgets to customers with high predicted CLV and offer cross-sell opportunities to mid-CLV segments.</w:t>
      </w:r>
    </w:p>
    <w:p w14:paraId="41876339" w14:textId="0E3A4FB3" w:rsidR="00B300B7" w:rsidRPr="00542984" w:rsidRDefault="00CE18F1"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w:t>
      </w:r>
      <w:r w:rsidR="00B300B7" w:rsidRPr="00542984">
        <w:rPr>
          <w:rFonts w:eastAsiaTheme="minorEastAsia"/>
          <w:b/>
          <w:bCs/>
          <w:sz w:val="24"/>
          <w:szCs w:val="24"/>
          <w:lang w:val="en-IN" w:eastAsia="zh-CN"/>
        </w:rPr>
        <w:t>Sales Channel Optimization</w:t>
      </w:r>
    </w:p>
    <w:p w14:paraId="01F65BA0" w14:textId="77777777" w:rsidR="00B300B7" w:rsidRPr="00B300B7" w:rsidRDefault="00B300B7" w:rsidP="00B300B7">
      <w:pPr>
        <w:numPr>
          <w:ilvl w:val="0"/>
          <w:numId w:val="2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xml:space="preserve">: Call </w:t>
      </w:r>
      <w:proofErr w:type="spellStart"/>
      <w:r w:rsidRPr="00B300B7">
        <w:rPr>
          <w:rFonts w:eastAsiaTheme="minorEastAsia"/>
          <w:bCs/>
          <w:sz w:val="24"/>
          <w:szCs w:val="24"/>
          <w:lang w:val="en-IN" w:eastAsia="zh-CN"/>
        </w:rPr>
        <w:t>centers</w:t>
      </w:r>
      <w:proofErr w:type="spellEnd"/>
      <w:r w:rsidRPr="00B300B7">
        <w:rPr>
          <w:rFonts w:eastAsiaTheme="minorEastAsia"/>
          <w:bCs/>
          <w:sz w:val="24"/>
          <w:szCs w:val="24"/>
          <w:lang w:val="en-IN" w:eastAsia="zh-CN"/>
        </w:rPr>
        <w:t xml:space="preserve"> show the highest average CLV but lower client count, while web channels underperform across both metrics. Agents and branches dominate sales count but require better targeting strategies.</w:t>
      </w:r>
    </w:p>
    <w:p w14:paraId="6325BB66" w14:textId="77777777" w:rsidR="00B300B7" w:rsidRPr="00B300B7" w:rsidRDefault="00B300B7" w:rsidP="00B300B7">
      <w:pPr>
        <w:numPr>
          <w:ilvl w:val="0"/>
          <w:numId w:val="2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399333B0" w14:textId="77777777" w:rsidR="00B300B7" w:rsidRPr="00B300B7" w:rsidRDefault="00B300B7" w:rsidP="00B300B7">
      <w:pPr>
        <w:numPr>
          <w:ilvl w:val="1"/>
          <w:numId w:val="2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 xml:space="preserve">Call </w:t>
      </w:r>
      <w:proofErr w:type="spellStart"/>
      <w:r w:rsidRPr="00B300B7">
        <w:rPr>
          <w:rFonts w:eastAsiaTheme="minorEastAsia"/>
          <w:b/>
          <w:bCs/>
          <w:sz w:val="24"/>
          <w:szCs w:val="24"/>
          <w:lang w:val="en-IN" w:eastAsia="zh-CN"/>
        </w:rPr>
        <w:t>Center</w:t>
      </w:r>
      <w:proofErr w:type="spellEnd"/>
      <w:r w:rsidRPr="00B300B7">
        <w:rPr>
          <w:rFonts w:eastAsiaTheme="minorEastAsia"/>
          <w:bCs/>
          <w:sz w:val="24"/>
          <w:szCs w:val="24"/>
          <w:lang w:val="en-IN" w:eastAsia="zh-CN"/>
        </w:rPr>
        <w:t xml:space="preserve">: Invest in training for call </w:t>
      </w:r>
      <w:proofErr w:type="spellStart"/>
      <w:r w:rsidRPr="00B300B7">
        <w:rPr>
          <w:rFonts w:eastAsiaTheme="minorEastAsia"/>
          <w:bCs/>
          <w:sz w:val="24"/>
          <w:szCs w:val="24"/>
          <w:lang w:val="en-IN" w:eastAsia="zh-CN"/>
        </w:rPr>
        <w:t>center</w:t>
      </w:r>
      <w:proofErr w:type="spellEnd"/>
      <w:r w:rsidRPr="00B300B7">
        <w:rPr>
          <w:rFonts w:eastAsiaTheme="minorEastAsia"/>
          <w:bCs/>
          <w:sz w:val="24"/>
          <w:szCs w:val="24"/>
          <w:lang w:val="en-IN" w:eastAsia="zh-CN"/>
        </w:rPr>
        <w:t xml:space="preserve"> staff to promote premium products effectively. Leverage their high-CLV potential by routing high-value customer inquiries directly to them.</w:t>
      </w:r>
    </w:p>
    <w:p w14:paraId="5F32CC8A" w14:textId="77777777" w:rsidR="00B300B7" w:rsidRPr="00B300B7" w:rsidRDefault="00B300B7" w:rsidP="00B300B7">
      <w:pPr>
        <w:numPr>
          <w:ilvl w:val="1"/>
          <w:numId w:val="2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Web Channel</w:t>
      </w:r>
      <w:r w:rsidRPr="00B300B7">
        <w:rPr>
          <w:rFonts w:eastAsiaTheme="minorEastAsia"/>
          <w:bCs/>
          <w:sz w:val="24"/>
          <w:szCs w:val="24"/>
          <w:lang w:val="en-IN" w:eastAsia="zh-CN"/>
        </w:rPr>
        <w:t>: Implement AI-driven recommendations and dynamic pricing on the web platform. Enhance the user experience to convert more visitors into high-CLV customers.</w:t>
      </w:r>
    </w:p>
    <w:p w14:paraId="65A8C4F4" w14:textId="3891420D" w:rsidR="00B300B7" w:rsidRPr="00B300B7" w:rsidRDefault="00B300B7" w:rsidP="00B300B7">
      <w:pPr>
        <w:numPr>
          <w:ilvl w:val="1"/>
          <w:numId w:val="2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Agent Sales</w:t>
      </w:r>
      <w:r w:rsidRPr="00B300B7">
        <w:rPr>
          <w:rFonts w:eastAsiaTheme="minorEastAsia"/>
          <w:bCs/>
          <w:sz w:val="24"/>
          <w:szCs w:val="24"/>
          <w:lang w:val="en-IN" w:eastAsia="zh-CN"/>
        </w:rPr>
        <w:t>: Focus agent campaigns on upselling policies to existing customers or targeting luxury segments.</w:t>
      </w:r>
    </w:p>
    <w:p w14:paraId="1698A753" w14:textId="452E3579" w:rsidR="00B300B7" w:rsidRPr="00542984" w:rsidRDefault="00CE18F1"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w:t>
      </w:r>
      <w:r w:rsidR="00B300B7" w:rsidRPr="00542984">
        <w:rPr>
          <w:rFonts w:eastAsiaTheme="minorEastAsia"/>
          <w:b/>
          <w:bCs/>
          <w:sz w:val="24"/>
          <w:szCs w:val="24"/>
          <w:lang w:val="en-IN" w:eastAsia="zh-CN"/>
        </w:rPr>
        <w:t>Geographic Strategy</w:t>
      </w:r>
    </w:p>
    <w:p w14:paraId="7957D718" w14:textId="77777777" w:rsidR="00B300B7" w:rsidRPr="00B300B7" w:rsidRDefault="00B300B7" w:rsidP="00B300B7">
      <w:pPr>
        <w:numPr>
          <w:ilvl w:val="0"/>
          <w:numId w:val="2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California and Oregon dominate in client count and CLV, while Nevada shows the highest CLV per customer. Arizona underperforms in both metrics.</w:t>
      </w:r>
    </w:p>
    <w:p w14:paraId="39E3998C" w14:textId="77777777" w:rsidR="00B300B7" w:rsidRPr="00B300B7" w:rsidRDefault="00B300B7" w:rsidP="00B300B7">
      <w:pPr>
        <w:numPr>
          <w:ilvl w:val="0"/>
          <w:numId w:val="2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lastRenderedPageBreak/>
        <w:t>Actions</w:t>
      </w:r>
      <w:r w:rsidRPr="00B300B7">
        <w:rPr>
          <w:rFonts w:eastAsiaTheme="minorEastAsia"/>
          <w:bCs/>
          <w:sz w:val="24"/>
          <w:szCs w:val="24"/>
          <w:lang w:val="en-IN" w:eastAsia="zh-CN"/>
        </w:rPr>
        <w:t xml:space="preserve">: </w:t>
      </w:r>
    </w:p>
    <w:p w14:paraId="6B866400" w14:textId="77777777" w:rsidR="00B300B7" w:rsidRPr="00B300B7" w:rsidRDefault="00B300B7" w:rsidP="00B300B7">
      <w:pPr>
        <w:numPr>
          <w:ilvl w:val="1"/>
          <w:numId w:val="2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Retention in High-Performing States</w:t>
      </w:r>
      <w:r w:rsidRPr="00B300B7">
        <w:rPr>
          <w:rFonts w:eastAsiaTheme="minorEastAsia"/>
          <w:bCs/>
          <w:sz w:val="24"/>
          <w:szCs w:val="24"/>
          <w:lang w:val="en-IN" w:eastAsia="zh-CN"/>
        </w:rPr>
        <w:t>: Reinforce loyalty programs in California and Nevada to retain existing high-value customers.</w:t>
      </w:r>
    </w:p>
    <w:p w14:paraId="1DB75388" w14:textId="77777777" w:rsidR="00B300B7" w:rsidRPr="00B300B7" w:rsidRDefault="00B300B7" w:rsidP="00B300B7">
      <w:pPr>
        <w:numPr>
          <w:ilvl w:val="1"/>
          <w:numId w:val="2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Expand in Underrepresented Markets</w:t>
      </w:r>
      <w:r w:rsidRPr="00B300B7">
        <w:rPr>
          <w:rFonts w:eastAsiaTheme="minorEastAsia"/>
          <w:bCs/>
          <w:sz w:val="24"/>
          <w:szCs w:val="24"/>
          <w:lang w:val="en-IN" w:eastAsia="zh-CN"/>
        </w:rPr>
        <w:t>: Launch localized campaigns in Arizona and rural regions offering affordable bundles to attract new customers.</w:t>
      </w:r>
    </w:p>
    <w:p w14:paraId="7A48146D" w14:textId="2EB37112" w:rsidR="00B300B7" w:rsidRPr="00B300B7" w:rsidRDefault="00B300B7" w:rsidP="00B300B7">
      <w:pPr>
        <w:numPr>
          <w:ilvl w:val="1"/>
          <w:numId w:val="2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Targeting High-CLV States</w:t>
      </w:r>
      <w:r w:rsidRPr="00B300B7">
        <w:rPr>
          <w:rFonts w:eastAsiaTheme="minorEastAsia"/>
          <w:bCs/>
          <w:sz w:val="24"/>
          <w:szCs w:val="24"/>
          <w:lang w:val="en-IN" w:eastAsia="zh-CN"/>
        </w:rPr>
        <w:t>: For Nevada, focus on high-value segments like luxury vehicle owners and premium policyholders.</w:t>
      </w:r>
    </w:p>
    <w:p w14:paraId="3A448293" w14:textId="3BA4B12D"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Product-Based Strategies (Car Class and Size)</w:t>
      </w:r>
    </w:p>
    <w:p w14:paraId="7152074F" w14:textId="77777777" w:rsidR="00B300B7" w:rsidRPr="00B300B7" w:rsidRDefault="00B300B7" w:rsidP="00B300B7">
      <w:pPr>
        <w:numPr>
          <w:ilvl w:val="0"/>
          <w:numId w:val="27"/>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Luxury vehicles generate significantly higher average CLV, with small luxury cars leading the segment. Economy cars dominate in count but lag in profitability.</w:t>
      </w:r>
    </w:p>
    <w:p w14:paraId="72EF4D98" w14:textId="77777777" w:rsidR="00B300B7" w:rsidRPr="00B300B7" w:rsidRDefault="00B300B7" w:rsidP="00B300B7">
      <w:pPr>
        <w:numPr>
          <w:ilvl w:val="0"/>
          <w:numId w:val="27"/>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6180AFA3" w14:textId="77777777" w:rsidR="00B300B7" w:rsidRPr="00B300B7" w:rsidRDefault="00B300B7" w:rsidP="00B300B7">
      <w:pPr>
        <w:numPr>
          <w:ilvl w:val="1"/>
          <w:numId w:val="27"/>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Develop </w:t>
      </w:r>
      <w:r w:rsidRPr="00B300B7">
        <w:rPr>
          <w:rFonts w:eastAsiaTheme="minorEastAsia"/>
          <w:b/>
          <w:bCs/>
          <w:sz w:val="24"/>
          <w:szCs w:val="24"/>
          <w:lang w:val="en-IN" w:eastAsia="zh-CN"/>
        </w:rPr>
        <w:t>exclusive premium services</w:t>
      </w:r>
      <w:r w:rsidRPr="00B300B7">
        <w:rPr>
          <w:rFonts w:eastAsiaTheme="minorEastAsia"/>
          <w:bCs/>
          <w:sz w:val="24"/>
          <w:szCs w:val="24"/>
          <w:lang w:val="en-IN" w:eastAsia="zh-CN"/>
        </w:rPr>
        <w:t xml:space="preserve"> (e.g., concierge assistance, luxury repair networks) tailored to luxury vehicle owners.</w:t>
      </w:r>
    </w:p>
    <w:p w14:paraId="20F59609" w14:textId="34DD6C40" w:rsidR="00B300B7" w:rsidRPr="00B300B7" w:rsidRDefault="00B300B7" w:rsidP="00B300B7">
      <w:pPr>
        <w:numPr>
          <w:ilvl w:val="1"/>
          <w:numId w:val="27"/>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Create </w:t>
      </w:r>
      <w:r w:rsidRPr="00B300B7">
        <w:rPr>
          <w:rFonts w:eastAsiaTheme="minorEastAsia"/>
          <w:b/>
          <w:bCs/>
          <w:sz w:val="24"/>
          <w:szCs w:val="24"/>
          <w:lang w:val="en-IN" w:eastAsia="zh-CN"/>
        </w:rPr>
        <w:t>value-based add-ons</w:t>
      </w:r>
      <w:r w:rsidRPr="00B300B7">
        <w:rPr>
          <w:rFonts w:eastAsiaTheme="minorEastAsia"/>
          <w:bCs/>
          <w:sz w:val="24"/>
          <w:szCs w:val="24"/>
          <w:lang w:val="en-IN" w:eastAsia="zh-CN"/>
        </w:rPr>
        <w:t xml:space="preserve"> for economy car owners, such as accident forgiveness or extended warranties, to increase their CLV.</w:t>
      </w:r>
    </w:p>
    <w:p w14:paraId="08899A2F" w14:textId="79D37758"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Policy Type Optimization</w:t>
      </w:r>
    </w:p>
    <w:p w14:paraId="21ECB86B" w14:textId="77777777" w:rsidR="00B300B7" w:rsidRPr="00B300B7" w:rsidRDefault="00B300B7" w:rsidP="00B300B7">
      <w:pPr>
        <w:numPr>
          <w:ilvl w:val="0"/>
          <w:numId w:val="28"/>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Premium policies generate the highest average CLV but have the lowest adoption. Basic policies dominate in count but offer the lowest profitability.</w:t>
      </w:r>
    </w:p>
    <w:p w14:paraId="116BB552" w14:textId="77777777" w:rsidR="00B300B7" w:rsidRPr="00B300B7" w:rsidRDefault="00B300B7" w:rsidP="00B300B7">
      <w:pPr>
        <w:numPr>
          <w:ilvl w:val="0"/>
          <w:numId w:val="28"/>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6C17B319" w14:textId="77777777" w:rsidR="00B300B7" w:rsidRPr="00B300B7" w:rsidRDefault="00B300B7" w:rsidP="00B300B7">
      <w:pPr>
        <w:numPr>
          <w:ilvl w:val="1"/>
          <w:numId w:val="28"/>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lastRenderedPageBreak/>
        <w:t>Upsell Strategies</w:t>
      </w:r>
      <w:r w:rsidRPr="00B300B7">
        <w:rPr>
          <w:rFonts w:eastAsiaTheme="minorEastAsia"/>
          <w:bCs/>
          <w:sz w:val="24"/>
          <w:szCs w:val="24"/>
          <w:lang w:val="en-IN" w:eastAsia="zh-CN"/>
        </w:rPr>
        <w:t>: Educate basic policyholders on the benefits of premium coverage through targeted marketing campaigns and testimonials.</w:t>
      </w:r>
    </w:p>
    <w:p w14:paraId="643EBBA5" w14:textId="77777777" w:rsidR="00B300B7" w:rsidRPr="00B300B7" w:rsidRDefault="00B300B7" w:rsidP="00B300B7">
      <w:pPr>
        <w:numPr>
          <w:ilvl w:val="1"/>
          <w:numId w:val="28"/>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Mid-Tier Options</w:t>
      </w:r>
      <w:r w:rsidRPr="00B300B7">
        <w:rPr>
          <w:rFonts w:eastAsiaTheme="minorEastAsia"/>
          <w:bCs/>
          <w:sz w:val="24"/>
          <w:szCs w:val="24"/>
          <w:lang w:val="en-IN" w:eastAsia="zh-CN"/>
        </w:rPr>
        <w:t xml:space="preserve">: Introduce an intermediate policy bridging basic and premium coverage to appeal to customers reluctant to jump </w:t>
      </w:r>
      <w:proofErr w:type="gramStart"/>
      <w:r w:rsidRPr="00B300B7">
        <w:rPr>
          <w:rFonts w:eastAsiaTheme="minorEastAsia"/>
          <w:bCs/>
          <w:sz w:val="24"/>
          <w:szCs w:val="24"/>
          <w:lang w:val="en-IN" w:eastAsia="zh-CN"/>
        </w:rPr>
        <w:t>to</w:t>
      </w:r>
      <w:proofErr w:type="gramEnd"/>
      <w:r w:rsidRPr="00B300B7">
        <w:rPr>
          <w:rFonts w:eastAsiaTheme="minorEastAsia"/>
          <w:bCs/>
          <w:sz w:val="24"/>
          <w:szCs w:val="24"/>
          <w:lang w:val="en-IN" w:eastAsia="zh-CN"/>
        </w:rPr>
        <w:t xml:space="preserve"> premium.</w:t>
      </w:r>
    </w:p>
    <w:p w14:paraId="15ED4497" w14:textId="579B1E67" w:rsidR="00B300B7" w:rsidRPr="00B300B7" w:rsidRDefault="00B300B7" w:rsidP="00B300B7">
      <w:pPr>
        <w:numPr>
          <w:ilvl w:val="1"/>
          <w:numId w:val="28"/>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Reward Systems</w:t>
      </w:r>
      <w:r w:rsidRPr="00B300B7">
        <w:rPr>
          <w:rFonts w:eastAsiaTheme="minorEastAsia"/>
          <w:bCs/>
          <w:sz w:val="24"/>
          <w:szCs w:val="24"/>
          <w:lang w:val="en-IN" w:eastAsia="zh-CN"/>
        </w:rPr>
        <w:t>: Provide discounts or cashback incentives for upgrading policies.</w:t>
      </w:r>
    </w:p>
    <w:p w14:paraId="4A6D1020" w14:textId="233D5B72"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Demographic Insights</w:t>
      </w:r>
    </w:p>
    <w:p w14:paraId="5510691A" w14:textId="77777777" w:rsidR="00B300B7" w:rsidRPr="00B300B7" w:rsidRDefault="00B300B7" w:rsidP="00B300B7">
      <w:pPr>
        <w:numPr>
          <w:ilvl w:val="0"/>
          <w:numId w:val="29"/>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Married women dominate in policy count, while divorced women generate the highest average CLV.</w:t>
      </w:r>
    </w:p>
    <w:p w14:paraId="719CDD3D" w14:textId="77777777" w:rsidR="00B300B7" w:rsidRPr="00B300B7" w:rsidRDefault="00B300B7" w:rsidP="00B300B7">
      <w:pPr>
        <w:numPr>
          <w:ilvl w:val="0"/>
          <w:numId w:val="29"/>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29E0625A" w14:textId="77777777" w:rsidR="00B300B7" w:rsidRPr="00542984" w:rsidRDefault="00B300B7" w:rsidP="00542984">
      <w:pPr>
        <w:pStyle w:val="ListParagraph"/>
        <w:numPr>
          <w:ilvl w:val="1"/>
          <w:numId w:val="2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Design </w:t>
      </w:r>
      <w:r w:rsidRPr="00542984">
        <w:rPr>
          <w:rFonts w:eastAsiaTheme="minorEastAsia"/>
          <w:b/>
          <w:bCs/>
          <w:sz w:val="24"/>
          <w:szCs w:val="24"/>
          <w:lang w:val="en-IN" w:eastAsia="zh-CN"/>
        </w:rPr>
        <w:t>family-centric marketing campaigns</w:t>
      </w:r>
      <w:r w:rsidRPr="00542984">
        <w:rPr>
          <w:rFonts w:eastAsiaTheme="minorEastAsia"/>
          <w:bCs/>
          <w:sz w:val="24"/>
          <w:szCs w:val="24"/>
          <w:lang w:val="en-IN" w:eastAsia="zh-CN"/>
        </w:rPr>
        <w:t xml:space="preserve"> targeting married women, emphasizing long-term benefits like family protection.</w:t>
      </w:r>
    </w:p>
    <w:p w14:paraId="7EBC45F6" w14:textId="2B621525" w:rsidR="00B300B7" w:rsidRPr="00542984" w:rsidRDefault="00B300B7" w:rsidP="00542984">
      <w:pPr>
        <w:pStyle w:val="ListParagraph"/>
        <w:numPr>
          <w:ilvl w:val="1"/>
          <w:numId w:val="29"/>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Cs/>
          <w:sz w:val="24"/>
          <w:szCs w:val="24"/>
          <w:lang w:val="en-IN" w:eastAsia="zh-CN"/>
        </w:rPr>
        <w:t xml:space="preserve">Develop </w:t>
      </w:r>
      <w:r w:rsidRPr="00542984">
        <w:rPr>
          <w:rFonts w:eastAsiaTheme="minorEastAsia"/>
          <w:b/>
          <w:bCs/>
          <w:sz w:val="24"/>
          <w:szCs w:val="24"/>
          <w:lang w:val="en-IN" w:eastAsia="zh-CN"/>
        </w:rPr>
        <w:t>customized offers for divorced women</w:t>
      </w:r>
      <w:r w:rsidRPr="00542984">
        <w:rPr>
          <w:rFonts w:eastAsiaTheme="minorEastAsia"/>
          <w:bCs/>
          <w:sz w:val="24"/>
          <w:szCs w:val="24"/>
          <w:lang w:val="en-IN" w:eastAsia="zh-CN"/>
        </w:rPr>
        <w:t>, such as flexible payment plans or enhanced coverage, to tap into their high-CLV potential.</w:t>
      </w:r>
    </w:p>
    <w:p w14:paraId="17D4F89D" w14:textId="366478C5"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Education and Employment Focus</w:t>
      </w:r>
    </w:p>
    <w:p w14:paraId="60525774" w14:textId="77777777" w:rsidR="00B300B7" w:rsidRPr="00B300B7" w:rsidRDefault="00B300B7" w:rsidP="00B300B7">
      <w:pPr>
        <w:numPr>
          <w:ilvl w:val="0"/>
          <w:numId w:val="30"/>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Doctorate holders on medical leave and Master’s degree retirees show unexpectedly high CLV. Higher education correlates with higher CLV overall.</w:t>
      </w:r>
    </w:p>
    <w:p w14:paraId="51F1F4BA" w14:textId="77777777" w:rsidR="00B300B7" w:rsidRPr="00B300B7" w:rsidRDefault="00B300B7" w:rsidP="00B300B7">
      <w:pPr>
        <w:numPr>
          <w:ilvl w:val="0"/>
          <w:numId w:val="30"/>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4A465983" w14:textId="77777777" w:rsidR="00B300B7" w:rsidRPr="00B300B7" w:rsidRDefault="00B300B7" w:rsidP="00B300B7">
      <w:pPr>
        <w:numPr>
          <w:ilvl w:val="1"/>
          <w:numId w:val="30"/>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Create </w:t>
      </w:r>
      <w:r w:rsidRPr="00B300B7">
        <w:rPr>
          <w:rFonts w:eastAsiaTheme="minorEastAsia"/>
          <w:b/>
          <w:bCs/>
          <w:sz w:val="24"/>
          <w:szCs w:val="24"/>
          <w:lang w:val="en-IN" w:eastAsia="zh-CN"/>
        </w:rPr>
        <w:t>special plans for retirees and medical leave customers</w:t>
      </w:r>
      <w:r w:rsidRPr="00B300B7">
        <w:rPr>
          <w:rFonts w:eastAsiaTheme="minorEastAsia"/>
          <w:bCs/>
          <w:sz w:val="24"/>
          <w:szCs w:val="24"/>
          <w:lang w:val="en-IN" w:eastAsia="zh-CN"/>
        </w:rPr>
        <w:t>, offering flexibility and long-term security.</w:t>
      </w:r>
    </w:p>
    <w:p w14:paraId="7213E6FF" w14:textId="20D29CE0" w:rsidR="00B300B7" w:rsidRPr="00B300B7" w:rsidRDefault="00B300B7" w:rsidP="00B300B7">
      <w:pPr>
        <w:numPr>
          <w:ilvl w:val="1"/>
          <w:numId w:val="30"/>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Offer </w:t>
      </w:r>
      <w:r w:rsidRPr="00B300B7">
        <w:rPr>
          <w:rFonts w:eastAsiaTheme="minorEastAsia"/>
          <w:b/>
          <w:bCs/>
          <w:sz w:val="24"/>
          <w:szCs w:val="24"/>
          <w:lang w:val="en-IN" w:eastAsia="zh-CN"/>
        </w:rPr>
        <w:t>education-based discounts</w:t>
      </w:r>
      <w:r w:rsidRPr="00B300B7">
        <w:rPr>
          <w:rFonts w:eastAsiaTheme="minorEastAsia"/>
          <w:bCs/>
          <w:sz w:val="24"/>
          <w:szCs w:val="24"/>
          <w:lang w:val="en-IN" w:eastAsia="zh-CN"/>
        </w:rPr>
        <w:t xml:space="preserve"> or tiered plans to attract and retain high-CLV educated customers.</w:t>
      </w:r>
    </w:p>
    <w:p w14:paraId="0091CC1C" w14:textId="4A20AAF6"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lastRenderedPageBreak/>
        <w:t xml:space="preserve"> Offer Type Analysis</w:t>
      </w:r>
    </w:p>
    <w:p w14:paraId="7450113B" w14:textId="77777777" w:rsidR="00B300B7" w:rsidRPr="00B300B7" w:rsidRDefault="00B300B7" w:rsidP="00B300B7">
      <w:pPr>
        <w:numPr>
          <w:ilvl w:val="0"/>
          <w:numId w:val="31"/>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Offer1 dominates in client count, but other offers show similar average CLV.</w:t>
      </w:r>
    </w:p>
    <w:p w14:paraId="3EB1F414" w14:textId="77777777" w:rsidR="00B300B7" w:rsidRPr="00B300B7" w:rsidRDefault="00B300B7" w:rsidP="00B300B7">
      <w:pPr>
        <w:numPr>
          <w:ilvl w:val="0"/>
          <w:numId w:val="31"/>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4BED7B02" w14:textId="77777777" w:rsidR="00B300B7" w:rsidRPr="00B300B7" w:rsidRDefault="00B300B7" w:rsidP="00B300B7">
      <w:pPr>
        <w:numPr>
          <w:ilvl w:val="1"/>
          <w:numId w:val="31"/>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Investigate the unique features of Offer1 that make it appealing, and replicate those across other offers.</w:t>
      </w:r>
    </w:p>
    <w:p w14:paraId="171A2123" w14:textId="6EE89BAD" w:rsidR="00B300B7" w:rsidRPr="00B300B7" w:rsidRDefault="00B300B7" w:rsidP="00B300B7">
      <w:pPr>
        <w:numPr>
          <w:ilvl w:val="1"/>
          <w:numId w:val="31"/>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Reevaluate underperforming offers and enhance their attractiveness through additional perks or simplified terms.</w:t>
      </w:r>
    </w:p>
    <w:p w14:paraId="6075FF86" w14:textId="1FFEEB97" w:rsidR="00B300B7" w:rsidRPr="00542984" w:rsidRDefault="00B300B7" w:rsidP="00D14B7B">
      <w:pPr>
        <w:pStyle w:val="ListParagraph"/>
        <w:numPr>
          <w:ilvl w:val="0"/>
          <w:numId w:val="42"/>
        </w:numPr>
        <w:overflowPunct/>
        <w:autoSpaceDE/>
        <w:autoSpaceDN/>
        <w:adjustRightInd/>
        <w:spacing w:after="160" w:line="480" w:lineRule="auto"/>
        <w:textAlignment w:val="auto"/>
        <w:rPr>
          <w:rFonts w:eastAsiaTheme="minorEastAsia"/>
          <w:bCs/>
          <w:sz w:val="24"/>
          <w:szCs w:val="24"/>
          <w:lang w:val="en-IN" w:eastAsia="zh-CN"/>
        </w:rPr>
      </w:pPr>
      <w:r w:rsidRPr="00542984">
        <w:rPr>
          <w:rFonts w:eastAsiaTheme="minorEastAsia"/>
          <w:b/>
          <w:bCs/>
          <w:sz w:val="24"/>
          <w:szCs w:val="24"/>
          <w:lang w:val="en-IN" w:eastAsia="zh-CN"/>
        </w:rPr>
        <w:t xml:space="preserve"> Rural Market Potential</w:t>
      </w:r>
    </w:p>
    <w:p w14:paraId="29D8A048" w14:textId="77777777" w:rsidR="00B300B7" w:rsidRPr="00B300B7" w:rsidRDefault="00B300B7" w:rsidP="00B300B7">
      <w:pPr>
        <w:numPr>
          <w:ilvl w:val="0"/>
          <w:numId w:val="32"/>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Implication</w:t>
      </w:r>
      <w:r w:rsidRPr="00B300B7">
        <w:rPr>
          <w:rFonts w:eastAsiaTheme="minorEastAsia"/>
          <w:bCs/>
          <w:sz w:val="24"/>
          <w:szCs w:val="24"/>
          <w:lang w:val="en-IN" w:eastAsia="zh-CN"/>
        </w:rPr>
        <w:t>: Rural regions lag significantly in both client count and CLV.</w:t>
      </w:r>
    </w:p>
    <w:p w14:paraId="7689B382" w14:textId="77777777" w:rsidR="00B300B7" w:rsidRPr="00B300B7" w:rsidRDefault="00B300B7" w:rsidP="00B300B7">
      <w:pPr>
        <w:numPr>
          <w:ilvl w:val="0"/>
          <w:numId w:val="32"/>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Actions</w:t>
      </w:r>
      <w:r w:rsidRPr="00B300B7">
        <w:rPr>
          <w:rFonts w:eastAsiaTheme="minorEastAsia"/>
          <w:bCs/>
          <w:sz w:val="24"/>
          <w:szCs w:val="24"/>
          <w:lang w:val="en-IN" w:eastAsia="zh-CN"/>
        </w:rPr>
        <w:t xml:space="preserve">: </w:t>
      </w:r>
    </w:p>
    <w:p w14:paraId="1BB87BC3" w14:textId="77777777" w:rsidR="00B300B7" w:rsidRPr="00B300B7" w:rsidRDefault="00B300B7" w:rsidP="00B300B7">
      <w:pPr>
        <w:numPr>
          <w:ilvl w:val="1"/>
          <w:numId w:val="32"/>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Develop </w:t>
      </w:r>
      <w:r w:rsidRPr="00B300B7">
        <w:rPr>
          <w:rFonts w:eastAsiaTheme="minorEastAsia"/>
          <w:b/>
          <w:bCs/>
          <w:sz w:val="24"/>
          <w:szCs w:val="24"/>
          <w:lang w:val="en-IN" w:eastAsia="zh-CN"/>
        </w:rPr>
        <w:t>community-specific bundles</w:t>
      </w:r>
      <w:r w:rsidRPr="00B300B7">
        <w:rPr>
          <w:rFonts w:eastAsiaTheme="minorEastAsia"/>
          <w:bCs/>
          <w:sz w:val="24"/>
          <w:szCs w:val="24"/>
          <w:lang w:val="en-IN" w:eastAsia="zh-CN"/>
        </w:rPr>
        <w:t xml:space="preserve"> to address affordability and access barriers.</w:t>
      </w:r>
    </w:p>
    <w:p w14:paraId="719B1AB6" w14:textId="1D038744" w:rsidR="00B300B7" w:rsidRPr="00B300B7" w:rsidRDefault="00B300B7" w:rsidP="00B300B7">
      <w:pPr>
        <w:numPr>
          <w:ilvl w:val="1"/>
          <w:numId w:val="32"/>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Partner with local organizations to increase trust and drive awareness in rural markets.</w:t>
      </w:r>
    </w:p>
    <w:p w14:paraId="665CA97B" w14:textId="77777777" w:rsidR="00B300B7" w:rsidRPr="00B300B7" w:rsidRDefault="00B300B7" w:rsidP="00B300B7">
      <w:pPr>
        <w:overflowPunct/>
        <w:autoSpaceDE/>
        <w:autoSpaceDN/>
        <w:adjustRightInd/>
        <w:spacing w:after="160" w:line="480" w:lineRule="auto"/>
        <w:textAlignment w:val="auto"/>
        <w:rPr>
          <w:rFonts w:eastAsiaTheme="minorEastAsia"/>
          <w:b/>
          <w:bCs/>
          <w:sz w:val="24"/>
          <w:szCs w:val="24"/>
          <w:lang w:val="en-IN" w:eastAsia="zh-CN"/>
        </w:rPr>
      </w:pPr>
      <w:r w:rsidRPr="00B300B7">
        <w:rPr>
          <w:rFonts w:eastAsiaTheme="minorEastAsia"/>
          <w:b/>
          <w:bCs/>
          <w:sz w:val="24"/>
          <w:szCs w:val="24"/>
          <w:lang w:val="en-IN" w:eastAsia="zh-CN"/>
        </w:rPr>
        <w:t>5.3 Limitations and Future Research</w:t>
      </w:r>
    </w:p>
    <w:p w14:paraId="0BDECD25"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While the findings provide robust insights, several limitations must be acknowledged:</w:t>
      </w:r>
    </w:p>
    <w:p w14:paraId="7D70C8C6" w14:textId="77777777" w:rsidR="00B300B7" w:rsidRPr="00B300B7" w:rsidRDefault="00B300B7" w:rsidP="00B300B7">
      <w:pPr>
        <w:numPr>
          <w:ilvl w:val="0"/>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Data Dependency</w:t>
      </w:r>
      <w:r w:rsidRPr="00B300B7">
        <w:rPr>
          <w:rFonts w:eastAsiaTheme="minorEastAsia"/>
          <w:bCs/>
          <w:sz w:val="24"/>
          <w:szCs w:val="24"/>
          <w:lang w:val="en-IN" w:eastAsia="zh-CN"/>
        </w:rPr>
        <w:t>:</w:t>
      </w:r>
    </w:p>
    <w:p w14:paraId="6AD346F1" w14:textId="77777777" w:rsidR="00B300B7" w:rsidRPr="00B300B7" w:rsidRDefault="00B300B7" w:rsidP="00B300B7">
      <w:pPr>
        <w:numPr>
          <w:ilvl w:val="1"/>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The model is trained on historical data, which may not account for sudden market changes or emerging trends.</w:t>
      </w:r>
    </w:p>
    <w:p w14:paraId="465584DC" w14:textId="77777777" w:rsidR="00B300B7" w:rsidRPr="00B300B7" w:rsidRDefault="00B300B7" w:rsidP="00B300B7">
      <w:pPr>
        <w:numPr>
          <w:ilvl w:val="1"/>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lastRenderedPageBreak/>
        <w:t xml:space="preserve">The lack of </w:t>
      </w:r>
      <w:proofErr w:type="spellStart"/>
      <w:r w:rsidRPr="00B300B7">
        <w:rPr>
          <w:rFonts w:eastAsiaTheme="minorEastAsia"/>
          <w:bCs/>
          <w:sz w:val="24"/>
          <w:szCs w:val="24"/>
          <w:lang w:val="en-IN" w:eastAsia="zh-CN"/>
        </w:rPr>
        <w:t>behavioral</w:t>
      </w:r>
      <w:proofErr w:type="spellEnd"/>
      <w:r w:rsidRPr="00B300B7">
        <w:rPr>
          <w:rFonts w:eastAsiaTheme="minorEastAsia"/>
          <w:bCs/>
          <w:sz w:val="24"/>
          <w:szCs w:val="24"/>
          <w:lang w:val="en-IN" w:eastAsia="zh-CN"/>
        </w:rPr>
        <w:t xml:space="preserve"> data (e.g., loyalty metrics) limits the granularity of predictions.</w:t>
      </w:r>
    </w:p>
    <w:p w14:paraId="59D6C8C2" w14:textId="77777777" w:rsidR="00B300B7" w:rsidRPr="00B300B7" w:rsidRDefault="00B300B7" w:rsidP="00B300B7">
      <w:pPr>
        <w:numPr>
          <w:ilvl w:val="0"/>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Niche Segment Challenges</w:t>
      </w:r>
      <w:r w:rsidRPr="00B300B7">
        <w:rPr>
          <w:rFonts w:eastAsiaTheme="minorEastAsia"/>
          <w:bCs/>
          <w:sz w:val="24"/>
          <w:szCs w:val="24"/>
          <w:lang w:val="en-IN" w:eastAsia="zh-CN"/>
        </w:rPr>
        <w:t>:</w:t>
      </w:r>
    </w:p>
    <w:p w14:paraId="1FE09657" w14:textId="77777777" w:rsidR="00B300B7" w:rsidRPr="00B300B7" w:rsidRDefault="00B300B7" w:rsidP="00B300B7">
      <w:pPr>
        <w:numPr>
          <w:ilvl w:val="1"/>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Smaller sample sizes for segments like rural customers or medical leave policies may skew results.</w:t>
      </w:r>
    </w:p>
    <w:p w14:paraId="05F4559C" w14:textId="77777777" w:rsidR="00B300B7" w:rsidRPr="00B300B7" w:rsidRDefault="00B300B7" w:rsidP="00B300B7">
      <w:pPr>
        <w:numPr>
          <w:ilvl w:val="0"/>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Operational Scalability</w:t>
      </w:r>
      <w:r w:rsidRPr="00B300B7">
        <w:rPr>
          <w:rFonts w:eastAsiaTheme="minorEastAsia"/>
          <w:bCs/>
          <w:sz w:val="24"/>
          <w:szCs w:val="24"/>
          <w:lang w:val="en-IN" w:eastAsia="zh-CN"/>
        </w:rPr>
        <w:t>:</w:t>
      </w:r>
    </w:p>
    <w:p w14:paraId="4D3EDEA8" w14:textId="3E401330" w:rsidR="00B300B7" w:rsidRPr="00B300B7" w:rsidRDefault="00B300B7" w:rsidP="00B300B7">
      <w:pPr>
        <w:numPr>
          <w:ilvl w:val="1"/>
          <w:numId w:val="33"/>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Translating insights into actionable strategies may require significant operational changes, such as upgrading call </w:t>
      </w:r>
      <w:proofErr w:type="spellStart"/>
      <w:r w:rsidRPr="00B300B7">
        <w:rPr>
          <w:rFonts w:eastAsiaTheme="minorEastAsia"/>
          <w:bCs/>
          <w:sz w:val="24"/>
          <w:szCs w:val="24"/>
          <w:lang w:val="en-IN" w:eastAsia="zh-CN"/>
        </w:rPr>
        <w:t>centers</w:t>
      </w:r>
      <w:proofErr w:type="spellEnd"/>
      <w:r w:rsidRPr="00B300B7">
        <w:rPr>
          <w:rFonts w:eastAsiaTheme="minorEastAsia"/>
          <w:bCs/>
          <w:sz w:val="24"/>
          <w:szCs w:val="24"/>
          <w:lang w:val="en-IN" w:eastAsia="zh-CN"/>
        </w:rPr>
        <w:t xml:space="preserve"> or introducing new policy tiers.</w:t>
      </w:r>
    </w:p>
    <w:p w14:paraId="7FF0B2C9"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Future Research Directions</w:t>
      </w:r>
      <w:r w:rsidRPr="00B300B7">
        <w:rPr>
          <w:rFonts w:eastAsiaTheme="minorEastAsia"/>
          <w:bCs/>
          <w:sz w:val="24"/>
          <w:szCs w:val="24"/>
          <w:lang w:val="en-IN" w:eastAsia="zh-CN"/>
        </w:rPr>
        <w:t>:</w:t>
      </w:r>
    </w:p>
    <w:p w14:paraId="5007CE77" w14:textId="77777777" w:rsidR="00B300B7" w:rsidRPr="00B300B7" w:rsidRDefault="00B300B7" w:rsidP="00B300B7">
      <w:pPr>
        <w:numPr>
          <w:ilvl w:val="0"/>
          <w:numId w:val="3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Explore the impact of customer engagement and loyalty metrics on CLV prediction.</w:t>
      </w:r>
    </w:p>
    <w:p w14:paraId="56889866" w14:textId="77777777" w:rsidR="00B300B7" w:rsidRPr="00B300B7" w:rsidRDefault="00B300B7" w:rsidP="00B300B7">
      <w:pPr>
        <w:numPr>
          <w:ilvl w:val="0"/>
          <w:numId w:val="3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Conduct market experiments in underrepresented regions or segments to validate recommendations.</w:t>
      </w:r>
    </w:p>
    <w:p w14:paraId="6471BC7D" w14:textId="52E4992E" w:rsidR="00AB5678" w:rsidRPr="00AB5678" w:rsidRDefault="00B300B7" w:rsidP="00AB5678">
      <w:pPr>
        <w:numPr>
          <w:ilvl w:val="0"/>
          <w:numId w:val="34"/>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Incorporate external economic factors (e.g., inflation, unemployment) into CLV prediction models for richer insights.</w:t>
      </w:r>
      <w:r w:rsidR="00AB5678" w:rsidRPr="00AB5678">
        <w:rPr>
          <w:rFonts w:eastAsiaTheme="minorEastAsia"/>
          <w:b/>
          <w:bCs/>
          <w:sz w:val="24"/>
          <w:szCs w:val="24"/>
          <w:u w:val="single"/>
          <w:lang w:val="en-IN" w:eastAsia="zh-CN"/>
        </w:rPr>
        <w:br w:type="page"/>
      </w:r>
    </w:p>
    <w:p w14:paraId="20A0039D" w14:textId="6FCE9D34" w:rsidR="00B300B7" w:rsidRPr="00B300B7" w:rsidRDefault="00B300B7" w:rsidP="00B300B7">
      <w:pPr>
        <w:overflowPunct/>
        <w:autoSpaceDE/>
        <w:autoSpaceDN/>
        <w:adjustRightInd/>
        <w:spacing w:after="160" w:line="480" w:lineRule="auto"/>
        <w:textAlignment w:val="auto"/>
        <w:rPr>
          <w:rFonts w:eastAsiaTheme="minorEastAsia"/>
          <w:b/>
          <w:bCs/>
          <w:sz w:val="24"/>
          <w:szCs w:val="24"/>
          <w:u w:val="single"/>
          <w:lang w:val="en-IN" w:eastAsia="zh-CN"/>
        </w:rPr>
      </w:pPr>
      <w:r w:rsidRPr="00B300B7">
        <w:rPr>
          <w:rFonts w:eastAsiaTheme="minorEastAsia"/>
          <w:b/>
          <w:bCs/>
          <w:sz w:val="24"/>
          <w:szCs w:val="24"/>
          <w:u w:val="single"/>
          <w:lang w:val="en-IN" w:eastAsia="zh-CN"/>
        </w:rPr>
        <w:lastRenderedPageBreak/>
        <w:t>6. Conclusion</w:t>
      </w:r>
    </w:p>
    <w:p w14:paraId="35B773D4"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This study utilized predictive analytics and advanced visualizations to estimate and </w:t>
      </w:r>
      <w:proofErr w:type="spellStart"/>
      <w:r w:rsidRPr="00B300B7">
        <w:rPr>
          <w:rFonts w:eastAsiaTheme="minorEastAsia"/>
          <w:bCs/>
          <w:sz w:val="24"/>
          <w:szCs w:val="24"/>
          <w:lang w:val="en-IN" w:eastAsia="zh-CN"/>
        </w:rPr>
        <w:t>analyze</w:t>
      </w:r>
      <w:proofErr w:type="spellEnd"/>
      <w:r w:rsidRPr="00B300B7">
        <w:rPr>
          <w:rFonts w:eastAsiaTheme="minorEastAsia"/>
          <w:bCs/>
          <w:sz w:val="24"/>
          <w:szCs w:val="24"/>
          <w:lang w:val="en-IN" w:eastAsia="zh-CN"/>
        </w:rPr>
        <w:t xml:space="preserve"> Customer Lifetime Value (CLV), focusing on uncovering key drivers and actionable insights for business optimization. The results underscore the pivotal role of predictive </w:t>
      </w:r>
      <w:proofErr w:type="spellStart"/>
      <w:r w:rsidRPr="00B300B7">
        <w:rPr>
          <w:rFonts w:eastAsiaTheme="minorEastAsia"/>
          <w:bCs/>
          <w:sz w:val="24"/>
          <w:szCs w:val="24"/>
          <w:lang w:val="en-IN" w:eastAsia="zh-CN"/>
        </w:rPr>
        <w:t>modeling</w:t>
      </w:r>
      <w:proofErr w:type="spellEnd"/>
      <w:r w:rsidRPr="00B300B7">
        <w:rPr>
          <w:rFonts w:eastAsiaTheme="minorEastAsia"/>
          <w:bCs/>
          <w:sz w:val="24"/>
          <w:szCs w:val="24"/>
          <w:lang w:val="en-IN" w:eastAsia="zh-CN"/>
        </w:rPr>
        <w:t xml:space="preserve"> in understanding customer segments and identifying opportunities to enhance profitability. Key findings include:</w:t>
      </w:r>
    </w:p>
    <w:p w14:paraId="59E36507" w14:textId="77777777" w:rsidR="00B300B7" w:rsidRPr="00B300B7" w:rsidRDefault="00B300B7" w:rsidP="00B300B7">
      <w:pPr>
        <w:numPr>
          <w:ilvl w:val="0"/>
          <w:numId w:val="3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Significant Insights on Coverage Types</w:t>
      </w:r>
      <w:r w:rsidRPr="00B300B7">
        <w:rPr>
          <w:rFonts w:eastAsiaTheme="minorEastAsia"/>
          <w:bCs/>
          <w:sz w:val="24"/>
          <w:szCs w:val="24"/>
          <w:lang w:val="en-IN" w:eastAsia="zh-CN"/>
        </w:rPr>
        <w:t>: Premium coverage plans generate the highest average CLV, suggesting a need for targeted upsell strategies. Conversely, basic plans dominate in client count but underperform in profitability, highlighting untapped potential for growth.</w:t>
      </w:r>
    </w:p>
    <w:p w14:paraId="03A7B5A8" w14:textId="77777777" w:rsidR="00B300B7" w:rsidRPr="00B300B7" w:rsidRDefault="00B300B7" w:rsidP="00B300B7">
      <w:pPr>
        <w:numPr>
          <w:ilvl w:val="0"/>
          <w:numId w:val="3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Geographic Trends</w:t>
      </w:r>
      <w:r w:rsidRPr="00B300B7">
        <w:rPr>
          <w:rFonts w:eastAsiaTheme="minorEastAsia"/>
          <w:bCs/>
          <w:sz w:val="24"/>
          <w:szCs w:val="24"/>
          <w:lang w:val="en-IN" w:eastAsia="zh-CN"/>
        </w:rPr>
        <w:t>: States such as California lead in both total CLV and client count, while regions like Nevada boast high average CLV per client, offering an opportunity for geographically tailored strategies.</w:t>
      </w:r>
    </w:p>
    <w:p w14:paraId="53F0A806" w14:textId="77777777" w:rsidR="00B300B7" w:rsidRPr="00B300B7" w:rsidRDefault="00B300B7" w:rsidP="00B300B7">
      <w:pPr>
        <w:numPr>
          <w:ilvl w:val="0"/>
          <w:numId w:val="3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Client Demographics and Preferences</w:t>
      </w:r>
      <w:r w:rsidRPr="00B300B7">
        <w:rPr>
          <w:rFonts w:eastAsiaTheme="minorEastAsia"/>
          <w:bCs/>
          <w:sz w:val="24"/>
          <w:szCs w:val="24"/>
          <w:lang w:val="en-IN" w:eastAsia="zh-CN"/>
        </w:rPr>
        <w:t>: High-CLV segments include educated retirees and married women, presenting a niche for customized policies and marketing efforts.</w:t>
      </w:r>
    </w:p>
    <w:p w14:paraId="526ADEA5" w14:textId="77777777" w:rsidR="00B300B7" w:rsidRPr="00B300B7" w:rsidRDefault="00B300B7" w:rsidP="00B300B7">
      <w:pPr>
        <w:numPr>
          <w:ilvl w:val="0"/>
          <w:numId w:val="35"/>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
          <w:bCs/>
          <w:sz w:val="24"/>
          <w:szCs w:val="24"/>
          <w:lang w:val="en-IN" w:eastAsia="zh-CN"/>
        </w:rPr>
        <w:t>Channel and Product Performance</w:t>
      </w:r>
      <w:r w:rsidRPr="00B300B7">
        <w:rPr>
          <w:rFonts w:eastAsiaTheme="minorEastAsia"/>
          <w:bCs/>
          <w:sz w:val="24"/>
          <w:szCs w:val="24"/>
          <w:lang w:val="en-IN" w:eastAsia="zh-CN"/>
        </w:rPr>
        <w:t xml:space="preserve">: Call </w:t>
      </w:r>
      <w:proofErr w:type="spellStart"/>
      <w:r w:rsidRPr="00B300B7">
        <w:rPr>
          <w:rFonts w:eastAsiaTheme="minorEastAsia"/>
          <w:bCs/>
          <w:sz w:val="24"/>
          <w:szCs w:val="24"/>
          <w:lang w:val="en-IN" w:eastAsia="zh-CN"/>
        </w:rPr>
        <w:t>centers</w:t>
      </w:r>
      <w:proofErr w:type="spellEnd"/>
      <w:r w:rsidRPr="00B300B7">
        <w:rPr>
          <w:rFonts w:eastAsiaTheme="minorEastAsia"/>
          <w:bCs/>
          <w:sz w:val="24"/>
          <w:szCs w:val="24"/>
          <w:lang w:val="en-IN" w:eastAsia="zh-CN"/>
        </w:rPr>
        <w:t xml:space="preserve"> exhibit the highest average CLV, although they lag in client volume. Luxury vehicles, particularly small luxury cars and SUVs, significantly drive higher CLV.</w:t>
      </w:r>
    </w:p>
    <w:p w14:paraId="4D2334C8" w14:textId="2F687D71"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These findings provide a foundation for implementing focused, data-driven strategies to improve customer retention, enhance resource allocation, and maximize profitability. The integration of machine learning models like Random Forest with tools such as Tableau enables organizations to translate complex data into actionable business solutions.</w:t>
      </w:r>
    </w:p>
    <w:p w14:paraId="5AACA8EF" w14:textId="77777777" w:rsidR="00B300B7" w:rsidRPr="00B300B7" w:rsidRDefault="00B300B7" w:rsidP="00B300B7">
      <w:pPr>
        <w:overflowPunct/>
        <w:autoSpaceDE/>
        <w:autoSpaceDN/>
        <w:adjustRightInd/>
        <w:spacing w:after="160" w:line="480" w:lineRule="auto"/>
        <w:textAlignment w:val="auto"/>
        <w:rPr>
          <w:rFonts w:eastAsiaTheme="minorEastAsia"/>
          <w:b/>
          <w:bCs/>
          <w:sz w:val="24"/>
          <w:szCs w:val="24"/>
          <w:lang w:val="en-IN" w:eastAsia="zh-CN"/>
        </w:rPr>
      </w:pPr>
      <w:r w:rsidRPr="00B300B7">
        <w:rPr>
          <w:rFonts w:eastAsiaTheme="minorEastAsia"/>
          <w:b/>
          <w:bCs/>
          <w:sz w:val="24"/>
          <w:szCs w:val="24"/>
          <w:lang w:val="en-IN" w:eastAsia="zh-CN"/>
        </w:rPr>
        <w:lastRenderedPageBreak/>
        <w:t>7. References</w:t>
      </w:r>
    </w:p>
    <w:p w14:paraId="2CD9AF38" w14:textId="77777777" w:rsidR="00B300B7" w:rsidRPr="00B300B7" w:rsidRDefault="00B300B7" w:rsidP="00B300B7">
      <w:pPr>
        <w:numPr>
          <w:ilvl w:val="0"/>
          <w:numId w:val="3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Breiman, L. (2001). Random forests. </w:t>
      </w:r>
      <w:r w:rsidRPr="00B300B7">
        <w:rPr>
          <w:rFonts w:eastAsiaTheme="minorEastAsia"/>
          <w:bCs/>
          <w:i/>
          <w:iCs/>
          <w:sz w:val="24"/>
          <w:szCs w:val="24"/>
          <w:lang w:val="en-IN" w:eastAsia="zh-CN"/>
        </w:rPr>
        <w:t>Machine Learning, 45</w:t>
      </w:r>
      <w:r w:rsidRPr="00B300B7">
        <w:rPr>
          <w:rFonts w:eastAsiaTheme="minorEastAsia"/>
          <w:bCs/>
          <w:sz w:val="24"/>
          <w:szCs w:val="24"/>
          <w:lang w:val="en-IN" w:eastAsia="zh-CN"/>
        </w:rPr>
        <w:t xml:space="preserve">(1), 5–32. </w:t>
      </w:r>
      <w:hyperlink r:id="rId23" w:history="1">
        <w:r w:rsidRPr="00B300B7">
          <w:rPr>
            <w:rStyle w:val="Hyperlink"/>
            <w:rFonts w:eastAsiaTheme="minorEastAsia"/>
            <w:bCs/>
            <w:sz w:val="24"/>
            <w:szCs w:val="24"/>
            <w:lang w:val="en-IN" w:eastAsia="zh-CN"/>
          </w:rPr>
          <w:t>https://doi.org/10.1023/A:1010933404324</w:t>
        </w:r>
      </w:hyperlink>
    </w:p>
    <w:p w14:paraId="3623BB61" w14:textId="77777777" w:rsidR="00B300B7" w:rsidRPr="00B300B7" w:rsidRDefault="00B300B7" w:rsidP="00B300B7">
      <w:pPr>
        <w:numPr>
          <w:ilvl w:val="0"/>
          <w:numId w:val="3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Chen, T., &amp; </w:t>
      </w:r>
      <w:proofErr w:type="spellStart"/>
      <w:r w:rsidRPr="00B300B7">
        <w:rPr>
          <w:rFonts w:eastAsiaTheme="minorEastAsia"/>
          <w:bCs/>
          <w:sz w:val="24"/>
          <w:szCs w:val="24"/>
          <w:lang w:val="en-IN" w:eastAsia="zh-CN"/>
        </w:rPr>
        <w:t>Guestrin</w:t>
      </w:r>
      <w:proofErr w:type="spellEnd"/>
      <w:r w:rsidRPr="00B300B7">
        <w:rPr>
          <w:rFonts w:eastAsiaTheme="minorEastAsia"/>
          <w:bCs/>
          <w:sz w:val="24"/>
          <w:szCs w:val="24"/>
          <w:lang w:val="en-IN" w:eastAsia="zh-CN"/>
        </w:rPr>
        <w:t xml:space="preserve">, C. (2020). </w:t>
      </w:r>
      <w:proofErr w:type="spellStart"/>
      <w:r w:rsidRPr="00B300B7">
        <w:rPr>
          <w:rFonts w:eastAsiaTheme="minorEastAsia"/>
          <w:bCs/>
          <w:sz w:val="24"/>
          <w:szCs w:val="24"/>
          <w:lang w:val="en-IN" w:eastAsia="zh-CN"/>
        </w:rPr>
        <w:t>XGBoost</w:t>
      </w:r>
      <w:proofErr w:type="spellEnd"/>
      <w:r w:rsidRPr="00B300B7">
        <w:rPr>
          <w:rFonts w:eastAsiaTheme="minorEastAsia"/>
          <w:bCs/>
          <w:sz w:val="24"/>
          <w:szCs w:val="24"/>
          <w:lang w:val="en-IN" w:eastAsia="zh-CN"/>
        </w:rPr>
        <w:t xml:space="preserve">: A scalable tree boosting system. </w:t>
      </w:r>
      <w:r w:rsidRPr="00B300B7">
        <w:rPr>
          <w:rFonts w:eastAsiaTheme="minorEastAsia"/>
          <w:bCs/>
          <w:i/>
          <w:iCs/>
          <w:sz w:val="24"/>
          <w:szCs w:val="24"/>
          <w:lang w:val="en-IN" w:eastAsia="zh-CN"/>
        </w:rPr>
        <w:t>Proceedings of the 22nd ACM SIGKDD International Conference on Knowledge Discovery and Data Mining</w:t>
      </w:r>
      <w:r w:rsidRPr="00B300B7">
        <w:rPr>
          <w:rFonts w:eastAsiaTheme="minorEastAsia"/>
          <w:bCs/>
          <w:sz w:val="24"/>
          <w:szCs w:val="24"/>
          <w:lang w:val="en-IN" w:eastAsia="zh-CN"/>
        </w:rPr>
        <w:t xml:space="preserve">, 785–794. </w:t>
      </w:r>
      <w:hyperlink r:id="rId24" w:history="1">
        <w:r w:rsidRPr="00B300B7">
          <w:rPr>
            <w:rStyle w:val="Hyperlink"/>
            <w:rFonts w:eastAsiaTheme="minorEastAsia"/>
            <w:bCs/>
            <w:sz w:val="24"/>
            <w:szCs w:val="24"/>
            <w:lang w:val="en-IN" w:eastAsia="zh-CN"/>
          </w:rPr>
          <w:t>https://doi.org/10.1145/2939672.2939785</w:t>
        </w:r>
      </w:hyperlink>
    </w:p>
    <w:p w14:paraId="13D84F62" w14:textId="77777777" w:rsidR="00B300B7" w:rsidRPr="00B300B7" w:rsidRDefault="00B300B7" w:rsidP="00B300B7">
      <w:pPr>
        <w:numPr>
          <w:ilvl w:val="0"/>
          <w:numId w:val="3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Few, S. (2006). </w:t>
      </w:r>
      <w:r w:rsidRPr="00B300B7">
        <w:rPr>
          <w:rFonts w:eastAsiaTheme="minorEastAsia"/>
          <w:bCs/>
          <w:i/>
          <w:iCs/>
          <w:sz w:val="24"/>
          <w:szCs w:val="24"/>
          <w:lang w:val="en-IN" w:eastAsia="zh-CN"/>
        </w:rPr>
        <w:t>Information dashboard design: The effective visual communication of data.</w:t>
      </w:r>
      <w:r w:rsidRPr="00B300B7">
        <w:rPr>
          <w:rFonts w:eastAsiaTheme="minorEastAsia"/>
          <w:bCs/>
          <w:sz w:val="24"/>
          <w:szCs w:val="24"/>
          <w:lang w:val="en-IN" w:eastAsia="zh-CN"/>
        </w:rPr>
        <w:t xml:space="preserve"> O'Reilly Media.</w:t>
      </w:r>
    </w:p>
    <w:p w14:paraId="6C6A1F97" w14:textId="77777777" w:rsidR="00B300B7" w:rsidRPr="00B300B7" w:rsidRDefault="00B300B7" w:rsidP="00B300B7">
      <w:pPr>
        <w:numPr>
          <w:ilvl w:val="0"/>
          <w:numId w:val="3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Gupta, S., Lehmann, D. R., &amp; Stuart, J. A. (2006). Valuing customers. </w:t>
      </w:r>
      <w:r w:rsidRPr="00B300B7">
        <w:rPr>
          <w:rFonts w:eastAsiaTheme="minorEastAsia"/>
          <w:bCs/>
          <w:i/>
          <w:iCs/>
          <w:sz w:val="24"/>
          <w:szCs w:val="24"/>
          <w:lang w:val="en-IN" w:eastAsia="zh-CN"/>
        </w:rPr>
        <w:t>Journal of Marketing Research, 41</w:t>
      </w:r>
      <w:r w:rsidRPr="00B300B7">
        <w:rPr>
          <w:rFonts w:eastAsiaTheme="minorEastAsia"/>
          <w:bCs/>
          <w:sz w:val="24"/>
          <w:szCs w:val="24"/>
          <w:lang w:val="en-IN" w:eastAsia="zh-CN"/>
        </w:rPr>
        <w:t xml:space="preserve">(1), 7–18. </w:t>
      </w:r>
      <w:hyperlink r:id="rId25" w:history="1">
        <w:r w:rsidRPr="00B300B7">
          <w:rPr>
            <w:rStyle w:val="Hyperlink"/>
            <w:rFonts w:eastAsiaTheme="minorEastAsia"/>
            <w:bCs/>
            <w:sz w:val="24"/>
            <w:szCs w:val="24"/>
            <w:lang w:val="en-IN" w:eastAsia="zh-CN"/>
          </w:rPr>
          <w:t>https://doi.org/10.1509/jmkr.41.1.7</w:t>
        </w:r>
      </w:hyperlink>
    </w:p>
    <w:p w14:paraId="7ACB3DC0" w14:textId="511C8397" w:rsidR="00027EA5" w:rsidRPr="00542984" w:rsidRDefault="00B300B7" w:rsidP="00CE18F1">
      <w:pPr>
        <w:numPr>
          <w:ilvl w:val="0"/>
          <w:numId w:val="36"/>
        </w:num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Kumar, V., &amp; Reinartz, W. (2008). </w:t>
      </w:r>
      <w:r w:rsidRPr="00B300B7">
        <w:rPr>
          <w:rFonts w:eastAsiaTheme="minorEastAsia"/>
          <w:bCs/>
          <w:i/>
          <w:iCs/>
          <w:sz w:val="24"/>
          <w:szCs w:val="24"/>
          <w:lang w:val="en-IN" w:eastAsia="zh-CN"/>
        </w:rPr>
        <w:t>Customer relationship management: Concept, strategy, and tools.</w:t>
      </w:r>
      <w:r w:rsidRPr="00B300B7">
        <w:rPr>
          <w:rFonts w:eastAsiaTheme="minorEastAsia"/>
          <w:bCs/>
          <w:sz w:val="24"/>
          <w:szCs w:val="24"/>
          <w:lang w:val="en-IN" w:eastAsia="zh-CN"/>
        </w:rPr>
        <w:t xml:space="preserve"> Springer.</w:t>
      </w:r>
    </w:p>
    <w:p w14:paraId="1383BF15" w14:textId="04EB12BE" w:rsidR="00027EA5" w:rsidRPr="00542984" w:rsidRDefault="00027EA5" w:rsidP="00542984">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Dashboard:</w:t>
      </w:r>
    </w:p>
    <w:p w14:paraId="2470A921" w14:textId="28126D8D" w:rsidR="00027EA5" w:rsidRPr="00542984" w:rsidRDefault="00027EA5" w:rsidP="00AB5678">
      <w:pPr>
        <w:overflowPunct/>
        <w:autoSpaceDE/>
        <w:autoSpaceDN/>
        <w:adjustRightInd/>
        <w:spacing w:after="160"/>
        <w:textAlignment w:val="auto"/>
        <w:rPr>
          <w:rFonts w:eastAsiaTheme="minorEastAsia"/>
          <w:b/>
          <w:bCs/>
          <w:sz w:val="24"/>
          <w:szCs w:val="24"/>
          <w:lang w:val="en-IN" w:eastAsia="zh-CN"/>
        </w:rPr>
      </w:pPr>
      <w:hyperlink r:id="rId26" w:history="1">
        <w:r w:rsidRPr="00542984">
          <w:rPr>
            <w:rStyle w:val="Hyperlink"/>
            <w:rFonts w:eastAsiaTheme="minorEastAsia"/>
            <w:sz w:val="24"/>
            <w:szCs w:val="24"/>
            <w:lang w:val="en-IN" w:eastAsia="zh-CN"/>
          </w:rPr>
          <w:t>https://public.tableau.com/views/FinalProject286/Dashboard2?:language=en-US&amp;:sid=&amp;:redirect=auth&amp;:display_count=n&amp;:origin=viz_share_link</w:t>
        </w:r>
      </w:hyperlink>
      <w:r w:rsidRPr="00542984">
        <w:rPr>
          <w:rFonts w:eastAsiaTheme="minorEastAsia"/>
          <w:b/>
          <w:bCs/>
          <w:sz w:val="24"/>
          <w:szCs w:val="24"/>
          <w:lang w:val="en-IN" w:eastAsia="zh-CN"/>
        </w:rPr>
        <w:t xml:space="preserve"> </w:t>
      </w:r>
    </w:p>
    <w:p w14:paraId="103BB0F6" w14:textId="77777777" w:rsidR="00027EA5" w:rsidRPr="00542984" w:rsidRDefault="00027EA5" w:rsidP="00542984">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Predictive Model: </w:t>
      </w:r>
    </w:p>
    <w:p w14:paraId="1C633743" w14:textId="0483D288" w:rsidR="00027EA5" w:rsidRPr="00542984" w:rsidRDefault="00027EA5" w:rsidP="00AB5678">
      <w:pPr>
        <w:overflowPunct/>
        <w:autoSpaceDE/>
        <w:autoSpaceDN/>
        <w:adjustRightInd/>
        <w:spacing w:after="160"/>
        <w:textAlignment w:val="auto"/>
        <w:rPr>
          <w:rFonts w:eastAsiaTheme="minorEastAsia"/>
          <w:b/>
          <w:bCs/>
          <w:sz w:val="24"/>
          <w:szCs w:val="24"/>
          <w:lang w:val="en-IN" w:eastAsia="zh-CN"/>
        </w:rPr>
      </w:pPr>
      <w:hyperlink r:id="rId27" w:history="1">
        <w:r w:rsidRPr="00542984">
          <w:rPr>
            <w:rStyle w:val="Hyperlink"/>
            <w:rFonts w:eastAsiaTheme="minorEastAsia"/>
            <w:sz w:val="24"/>
            <w:szCs w:val="24"/>
            <w:lang w:val="en-IN" w:eastAsia="zh-CN"/>
          </w:rPr>
          <w:t>https://drive.google.com/file/d/1cKsTP9lzWYADkC48YB04Z_nhX-aNodM7/view?usp=sharing</w:t>
        </w:r>
      </w:hyperlink>
      <w:r w:rsidRPr="00542984">
        <w:rPr>
          <w:rFonts w:eastAsiaTheme="minorEastAsia"/>
          <w:sz w:val="24"/>
          <w:szCs w:val="24"/>
          <w:lang w:val="en-IN" w:eastAsia="zh-CN"/>
        </w:rPr>
        <w:t xml:space="preserve"> </w:t>
      </w:r>
    </w:p>
    <w:p w14:paraId="7F831AA6" w14:textId="1453DA5C" w:rsidR="00027EA5" w:rsidRPr="00542984" w:rsidRDefault="00027EA5" w:rsidP="00542984">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 xml:space="preserve">Final Data: </w:t>
      </w:r>
    </w:p>
    <w:p w14:paraId="2D2AF4B0" w14:textId="58F5E595" w:rsidR="00027EA5" w:rsidRPr="00542984" w:rsidRDefault="00027EA5" w:rsidP="00AB5678">
      <w:pPr>
        <w:overflowPunct/>
        <w:autoSpaceDE/>
        <w:autoSpaceDN/>
        <w:adjustRightInd/>
        <w:spacing w:after="160"/>
        <w:textAlignment w:val="auto"/>
        <w:rPr>
          <w:rFonts w:eastAsiaTheme="minorEastAsia"/>
          <w:sz w:val="24"/>
          <w:szCs w:val="24"/>
          <w:lang w:val="en-IN" w:eastAsia="zh-CN"/>
        </w:rPr>
      </w:pPr>
      <w:hyperlink r:id="rId28" w:history="1">
        <w:r w:rsidRPr="00542984">
          <w:rPr>
            <w:rStyle w:val="Hyperlink"/>
            <w:rFonts w:eastAsiaTheme="minorEastAsia"/>
            <w:sz w:val="24"/>
            <w:szCs w:val="24"/>
            <w:lang w:val="en-IN" w:eastAsia="zh-CN"/>
          </w:rPr>
          <w:t>https://drive.google.com/file/d/1e8CwXfaWbRLCyFWQxjYSGaG0kET4INXI/view?usp=sharing</w:t>
        </w:r>
      </w:hyperlink>
      <w:r w:rsidRPr="00542984">
        <w:rPr>
          <w:rFonts w:eastAsiaTheme="minorEastAsia"/>
          <w:sz w:val="24"/>
          <w:szCs w:val="24"/>
          <w:lang w:val="en-IN" w:eastAsia="zh-CN"/>
        </w:rPr>
        <w:t xml:space="preserve"> </w:t>
      </w:r>
    </w:p>
    <w:p w14:paraId="491A5E32" w14:textId="77777777" w:rsidR="00027EA5" w:rsidRPr="00542984" w:rsidRDefault="00027EA5" w:rsidP="00542984">
      <w:pPr>
        <w:overflowPunct/>
        <w:autoSpaceDE/>
        <w:autoSpaceDN/>
        <w:adjustRightInd/>
        <w:spacing w:after="160" w:line="480" w:lineRule="auto"/>
        <w:textAlignment w:val="auto"/>
        <w:rPr>
          <w:rFonts w:eastAsiaTheme="minorEastAsia"/>
          <w:b/>
          <w:bCs/>
          <w:sz w:val="24"/>
          <w:szCs w:val="24"/>
          <w:lang w:val="en-IN" w:eastAsia="zh-CN"/>
        </w:rPr>
      </w:pPr>
      <w:r w:rsidRPr="00542984">
        <w:rPr>
          <w:rFonts w:eastAsiaTheme="minorEastAsia"/>
          <w:b/>
          <w:bCs/>
          <w:sz w:val="24"/>
          <w:szCs w:val="24"/>
          <w:lang w:val="en-IN" w:eastAsia="zh-CN"/>
        </w:rPr>
        <w:t>Full Project Folder:</w:t>
      </w:r>
    </w:p>
    <w:p w14:paraId="2F039F29" w14:textId="594963FD" w:rsidR="00542984" w:rsidRPr="00542984" w:rsidRDefault="00027EA5" w:rsidP="00AB5678">
      <w:pPr>
        <w:overflowPunct/>
        <w:autoSpaceDE/>
        <w:autoSpaceDN/>
        <w:adjustRightInd/>
        <w:spacing w:after="160"/>
        <w:textAlignment w:val="auto"/>
        <w:rPr>
          <w:rFonts w:eastAsiaTheme="minorEastAsia"/>
          <w:sz w:val="24"/>
          <w:szCs w:val="24"/>
          <w:lang w:val="en-IN" w:eastAsia="zh-CN"/>
        </w:rPr>
      </w:pPr>
      <w:hyperlink r:id="rId29" w:history="1">
        <w:r w:rsidRPr="00542984">
          <w:rPr>
            <w:rStyle w:val="Hyperlink"/>
            <w:rFonts w:eastAsiaTheme="minorEastAsia"/>
            <w:sz w:val="24"/>
            <w:szCs w:val="24"/>
            <w:lang w:val="en-IN" w:eastAsia="zh-CN"/>
          </w:rPr>
          <w:t>https://drive.google.com/drive/folders/1PJh0dv_H0nteBg0rfUmNZdfPJdD-NnnH?usp=sharing</w:t>
        </w:r>
      </w:hyperlink>
      <w:r w:rsidRPr="00542984">
        <w:rPr>
          <w:rFonts w:eastAsiaTheme="minorEastAsia"/>
          <w:sz w:val="24"/>
          <w:szCs w:val="24"/>
          <w:lang w:val="en-IN" w:eastAsia="zh-CN"/>
        </w:rPr>
        <w:t xml:space="preserve"> </w:t>
      </w:r>
      <w:r w:rsidR="00542984" w:rsidRPr="00542984">
        <w:rPr>
          <w:rFonts w:eastAsiaTheme="minorEastAsia"/>
          <w:b/>
          <w:bCs/>
          <w:sz w:val="24"/>
          <w:szCs w:val="24"/>
          <w:u w:val="single"/>
          <w:lang w:val="en-IN" w:eastAsia="zh-CN"/>
        </w:rPr>
        <w:br w:type="page"/>
      </w:r>
    </w:p>
    <w:p w14:paraId="46C7EA03" w14:textId="0D776287" w:rsidR="00542984" w:rsidRPr="00542984" w:rsidRDefault="00DB366E" w:rsidP="00542984">
      <w:pPr>
        <w:overflowPunct/>
        <w:autoSpaceDE/>
        <w:autoSpaceDN/>
        <w:adjustRightInd/>
        <w:spacing w:after="160" w:line="480" w:lineRule="auto"/>
        <w:textAlignment w:val="auto"/>
        <w:rPr>
          <w:rFonts w:eastAsiaTheme="minorEastAsia"/>
          <w:b/>
          <w:bCs/>
          <w:sz w:val="24"/>
          <w:szCs w:val="24"/>
          <w:u w:val="single"/>
          <w:lang w:val="en-IN" w:eastAsia="zh-CN"/>
        </w:rPr>
      </w:pPr>
      <w:r w:rsidRPr="00542984">
        <w:rPr>
          <w:rFonts w:eastAsiaTheme="minorEastAsia"/>
          <w:b/>
          <w:bCs/>
          <w:sz w:val="24"/>
          <w:szCs w:val="24"/>
          <w:u w:val="single"/>
          <w:lang w:val="en-IN" w:eastAsia="zh-CN"/>
        </w:rPr>
        <w:lastRenderedPageBreak/>
        <w:t>8</w:t>
      </w:r>
      <w:r w:rsidR="00D14B7B" w:rsidRPr="00542984">
        <w:rPr>
          <w:rFonts w:eastAsiaTheme="minorEastAsia"/>
          <w:b/>
          <w:bCs/>
          <w:sz w:val="24"/>
          <w:szCs w:val="24"/>
          <w:u w:val="single"/>
          <w:lang w:val="en-IN" w:eastAsia="zh-CN"/>
        </w:rPr>
        <w:t>.</w:t>
      </w:r>
      <w:r w:rsidR="00B300B7" w:rsidRPr="00542984">
        <w:rPr>
          <w:rFonts w:eastAsiaTheme="minorEastAsia"/>
          <w:b/>
          <w:bCs/>
          <w:sz w:val="24"/>
          <w:szCs w:val="24"/>
          <w:u w:val="single"/>
          <w:lang w:val="en-IN" w:eastAsia="zh-CN"/>
        </w:rPr>
        <w:t>Appendix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2"/>
        <w:gridCol w:w="5415"/>
      </w:tblGrid>
      <w:tr w:rsidR="00B300B7" w:rsidRPr="00B300B7" w14:paraId="726F9B2E" w14:textId="77777777" w:rsidTr="001A5385">
        <w:trPr>
          <w:tblHeader/>
          <w:tblCellSpacing w:w="15" w:type="dxa"/>
        </w:trPr>
        <w:tc>
          <w:tcPr>
            <w:tcW w:w="0" w:type="auto"/>
            <w:vAlign w:val="center"/>
            <w:hideMark/>
          </w:tcPr>
          <w:p w14:paraId="3663A2C8" w14:textId="77777777" w:rsidR="00B300B7" w:rsidRPr="00B300B7" w:rsidRDefault="00B300B7" w:rsidP="00B300B7">
            <w:pPr>
              <w:overflowPunct/>
              <w:autoSpaceDE/>
              <w:autoSpaceDN/>
              <w:adjustRightInd/>
              <w:spacing w:after="160" w:line="480" w:lineRule="auto"/>
              <w:textAlignment w:val="auto"/>
              <w:rPr>
                <w:rFonts w:eastAsiaTheme="minorEastAsia"/>
                <w:b/>
                <w:bCs/>
                <w:sz w:val="24"/>
                <w:szCs w:val="24"/>
                <w:lang w:val="en-IN" w:eastAsia="zh-CN"/>
              </w:rPr>
            </w:pPr>
            <w:r w:rsidRPr="00B300B7">
              <w:rPr>
                <w:rFonts w:eastAsiaTheme="minorEastAsia"/>
                <w:b/>
                <w:bCs/>
                <w:sz w:val="24"/>
                <w:szCs w:val="24"/>
                <w:lang w:val="en-IN" w:eastAsia="zh-CN"/>
              </w:rPr>
              <w:t>Time</w:t>
            </w:r>
          </w:p>
        </w:tc>
        <w:tc>
          <w:tcPr>
            <w:tcW w:w="0" w:type="auto"/>
            <w:vAlign w:val="center"/>
            <w:hideMark/>
          </w:tcPr>
          <w:p w14:paraId="276896D8" w14:textId="77777777" w:rsidR="00B300B7" w:rsidRPr="00B300B7" w:rsidRDefault="00B300B7" w:rsidP="00B300B7">
            <w:pPr>
              <w:overflowPunct/>
              <w:autoSpaceDE/>
              <w:autoSpaceDN/>
              <w:adjustRightInd/>
              <w:spacing w:after="160" w:line="480" w:lineRule="auto"/>
              <w:textAlignment w:val="auto"/>
              <w:rPr>
                <w:rFonts w:eastAsiaTheme="minorEastAsia"/>
                <w:b/>
                <w:bCs/>
                <w:sz w:val="24"/>
                <w:szCs w:val="24"/>
                <w:lang w:val="en-IN" w:eastAsia="zh-CN"/>
              </w:rPr>
            </w:pPr>
            <w:r w:rsidRPr="00B300B7">
              <w:rPr>
                <w:rFonts w:eastAsiaTheme="minorEastAsia"/>
                <w:b/>
                <w:bCs/>
                <w:sz w:val="24"/>
                <w:szCs w:val="24"/>
                <w:lang w:val="en-IN" w:eastAsia="zh-CN"/>
              </w:rPr>
              <w:t>Contents</w:t>
            </w:r>
          </w:p>
        </w:tc>
      </w:tr>
      <w:tr w:rsidR="00B300B7" w:rsidRPr="00B300B7" w14:paraId="25FD19BE" w14:textId="77777777" w:rsidTr="001A5385">
        <w:trPr>
          <w:tblCellSpacing w:w="15" w:type="dxa"/>
        </w:trPr>
        <w:tc>
          <w:tcPr>
            <w:tcW w:w="0" w:type="auto"/>
            <w:vAlign w:val="center"/>
            <w:hideMark/>
          </w:tcPr>
          <w:p w14:paraId="3EA13530"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Saturday, October 19, 2024</w:t>
            </w:r>
          </w:p>
        </w:tc>
        <w:tc>
          <w:tcPr>
            <w:tcW w:w="0" w:type="auto"/>
            <w:vAlign w:val="center"/>
            <w:hideMark/>
          </w:tcPr>
          <w:p w14:paraId="4982477B"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Project Group Formation</w:t>
            </w:r>
          </w:p>
        </w:tc>
      </w:tr>
      <w:tr w:rsidR="00B300B7" w:rsidRPr="00B300B7" w14:paraId="3C8F4E0C" w14:textId="77777777" w:rsidTr="001A5385">
        <w:trPr>
          <w:tblCellSpacing w:w="15" w:type="dxa"/>
        </w:trPr>
        <w:tc>
          <w:tcPr>
            <w:tcW w:w="0" w:type="auto"/>
            <w:vAlign w:val="center"/>
            <w:hideMark/>
          </w:tcPr>
          <w:p w14:paraId="79D1629D"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Saturday, November 2, 2024</w:t>
            </w:r>
          </w:p>
        </w:tc>
        <w:tc>
          <w:tcPr>
            <w:tcW w:w="0" w:type="auto"/>
            <w:vAlign w:val="center"/>
            <w:hideMark/>
          </w:tcPr>
          <w:p w14:paraId="70C12402"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Proposal Submission</w:t>
            </w:r>
          </w:p>
        </w:tc>
      </w:tr>
      <w:tr w:rsidR="00B300B7" w:rsidRPr="00B300B7" w14:paraId="4405870B" w14:textId="77777777" w:rsidTr="001A5385">
        <w:trPr>
          <w:tblCellSpacing w:w="15" w:type="dxa"/>
        </w:trPr>
        <w:tc>
          <w:tcPr>
            <w:tcW w:w="0" w:type="auto"/>
            <w:vAlign w:val="center"/>
            <w:hideMark/>
          </w:tcPr>
          <w:p w14:paraId="60B1FCCC"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Saturday, November 16, 2024</w:t>
            </w:r>
          </w:p>
        </w:tc>
        <w:tc>
          <w:tcPr>
            <w:tcW w:w="0" w:type="auto"/>
            <w:vAlign w:val="center"/>
            <w:hideMark/>
          </w:tcPr>
          <w:p w14:paraId="273C012B"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Data Cleaning and Model Training</w:t>
            </w:r>
          </w:p>
        </w:tc>
      </w:tr>
      <w:tr w:rsidR="00B300B7" w:rsidRPr="00B300B7" w14:paraId="3833FB79" w14:textId="77777777" w:rsidTr="001A5385">
        <w:trPr>
          <w:tblCellSpacing w:w="15" w:type="dxa"/>
        </w:trPr>
        <w:tc>
          <w:tcPr>
            <w:tcW w:w="0" w:type="auto"/>
            <w:vAlign w:val="center"/>
            <w:hideMark/>
          </w:tcPr>
          <w:p w14:paraId="231A8238"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Saturday, November 30, 2024</w:t>
            </w:r>
          </w:p>
        </w:tc>
        <w:tc>
          <w:tcPr>
            <w:tcW w:w="0" w:type="auto"/>
            <w:vAlign w:val="center"/>
            <w:hideMark/>
          </w:tcPr>
          <w:p w14:paraId="4B027449"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Dashboard Creation and Initial Findings</w:t>
            </w:r>
          </w:p>
        </w:tc>
      </w:tr>
      <w:tr w:rsidR="00B300B7" w:rsidRPr="00B300B7" w14:paraId="086796E3" w14:textId="77777777" w:rsidTr="001A5385">
        <w:trPr>
          <w:tblCellSpacing w:w="15" w:type="dxa"/>
        </w:trPr>
        <w:tc>
          <w:tcPr>
            <w:tcW w:w="0" w:type="auto"/>
            <w:vAlign w:val="center"/>
            <w:hideMark/>
          </w:tcPr>
          <w:p w14:paraId="3D431A76" w14:textId="6B3CA32B"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 xml:space="preserve">Saturday, December </w:t>
            </w:r>
            <w:r w:rsidR="00C57191">
              <w:rPr>
                <w:rFonts w:eastAsiaTheme="minorEastAsia"/>
                <w:bCs/>
                <w:sz w:val="24"/>
                <w:szCs w:val="24"/>
                <w:lang w:val="en-IN" w:eastAsia="zh-CN"/>
              </w:rPr>
              <w:t>5</w:t>
            </w:r>
            <w:r w:rsidRPr="00B300B7">
              <w:rPr>
                <w:rFonts w:eastAsiaTheme="minorEastAsia"/>
                <w:bCs/>
                <w:sz w:val="24"/>
                <w:szCs w:val="24"/>
                <w:lang w:val="en-IN" w:eastAsia="zh-CN"/>
              </w:rPr>
              <w:t>, 2024</w:t>
            </w:r>
          </w:p>
        </w:tc>
        <w:tc>
          <w:tcPr>
            <w:tcW w:w="0" w:type="auto"/>
            <w:vAlign w:val="center"/>
            <w:hideMark/>
          </w:tcPr>
          <w:p w14:paraId="525B01F9"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Final Report Draft and Review</w:t>
            </w:r>
          </w:p>
        </w:tc>
      </w:tr>
      <w:tr w:rsidR="00B300B7" w:rsidRPr="00B300B7" w14:paraId="238B6A43" w14:textId="77777777" w:rsidTr="001A5385">
        <w:trPr>
          <w:tblCellSpacing w:w="15" w:type="dxa"/>
        </w:trPr>
        <w:tc>
          <w:tcPr>
            <w:tcW w:w="0" w:type="auto"/>
            <w:vAlign w:val="center"/>
            <w:hideMark/>
          </w:tcPr>
          <w:p w14:paraId="09142563"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Monday, December 9, 2024</w:t>
            </w:r>
          </w:p>
        </w:tc>
        <w:tc>
          <w:tcPr>
            <w:tcW w:w="0" w:type="auto"/>
            <w:vAlign w:val="center"/>
            <w:hideMark/>
          </w:tcPr>
          <w:p w14:paraId="64EAECCD" w14:textId="77777777" w:rsidR="00B300B7" w:rsidRPr="00B300B7" w:rsidRDefault="00B300B7" w:rsidP="00B300B7">
            <w:pPr>
              <w:overflowPunct/>
              <w:autoSpaceDE/>
              <w:autoSpaceDN/>
              <w:adjustRightInd/>
              <w:spacing w:after="160" w:line="480" w:lineRule="auto"/>
              <w:textAlignment w:val="auto"/>
              <w:rPr>
                <w:rFonts w:eastAsiaTheme="minorEastAsia"/>
                <w:bCs/>
                <w:sz w:val="24"/>
                <w:szCs w:val="24"/>
                <w:lang w:val="en-IN" w:eastAsia="zh-CN"/>
              </w:rPr>
            </w:pPr>
            <w:r w:rsidRPr="00B300B7">
              <w:rPr>
                <w:rFonts w:eastAsiaTheme="minorEastAsia"/>
                <w:bCs/>
                <w:sz w:val="24"/>
                <w:szCs w:val="24"/>
                <w:lang w:val="en-IN" w:eastAsia="zh-CN"/>
              </w:rPr>
              <w:t>Final Project Paper Submission and Presentation Slides</w:t>
            </w:r>
          </w:p>
        </w:tc>
      </w:tr>
    </w:tbl>
    <w:p w14:paraId="788C0322" w14:textId="0FE58DC3" w:rsidR="00253DEA" w:rsidRPr="00015F22" w:rsidRDefault="00253DEA" w:rsidP="00AB5678">
      <w:pPr>
        <w:overflowPunct/>
        <w:autoSpaceDE/>
        <w:autoSpaceDN/>
        <w:adjustRightInd/>
        <w:spacing w:after="160" w:line="259" w:lineRule="auto"/>
        <w:textAlignment w:val="auto"/>
        <w:rPr>
          <w:rFonts w:eastAsiaTheme="minorEastAsia"/>
          <w:bCs/>
          <w:sz w:val="24"/>
          <w:szCs w:val="24"/>
          <w:lang w:val="en-IN" w:eastAsia="zh-CN"/>
        </w:rPr>
      </w:pPr>
    </w:p>
    <w:sectPr w:rsidR="00253DEA" w:rsidRPr="00015F22" w:rsidSect="009D46CF">
      <w:footerReference w:type="default" r:id="rId3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55994" w14:textId="77777777" w:rsidR="00246CE3" w:rsidRDefault="00246CE3" w:rsidP="00EF6F53">
      <w:r>
        <w:separator/>
      </w:r>
    </w:p>
  </w:endnote>
  <w:endnote w:type="continuationSeparator" w:id="0">
    <w:p w14:paraId="560F3DD1" w14:textId="77777777" w:rsidR="00246CE3" w:rsidRDefault="00246CE3" w:rsidP="00EF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732839"/>
      <w:docPartObj>
        <w:docPartGallery w:val="Page Numbers (Bottom of Page)"/>
        <w:docPartUnique/>
      </w:docPartObj>
    </w:sdtPr>
    <w:sdtEndPr>
      <w:rPr>
        <w:noProof/>
      </w:rPr>
    </w:sdtEndPr>
    <w:sdtContent>
      <w:p w14:paraId="1C2CE545" w14:textId="77777777" w:rsidR="00EF6F53" w:rsidRDefault="00EF6F53">
        <w:pPr>
          <w:pStyle w:val="Footer"/>
          <w:jc w:val="right"/>
        </w:pPr>
      </w:p>
      <w:p w14:paraId="5FE916D4" w14:textId="08BB8012" w:rsidR="00EF6F53" w:rsidRDefault="00EF6F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0C406" w14:textId="77777777" w:rsidR="00EF6F53" w:rsidRDefault="00EF6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7946" w14:textId="77777777" w:rsidR="00246CE3" w:rsidRDefault="00246CE3" w:rsidP="00EF6F53">
      <w:r>
        <w:separator/>
      </w:r>
    </w:p>
  </w:footnote>
  <w:footnote w:type="continuationSeparator" w:id="0">
    <w:p w14:paraId="69A6F242" w14:textId="77777777" w:rsidR="00246CE3" w:rsidRDefault="00246CE3" w:rsidP="00EF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0402"/>
    <w:multiLevelType w:val="multilevel"/>
    <w:tmpl w:val="F8E62A8C"/>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019"/>
    <w:multiLevelType w:val="multilevel"/>
    <w:tmpl w:val="8D848B44"/>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CB8"/>
    <w:multiLevelType w:val="multilevel"/>
    <w:tmpl w:val="5D18BA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9036E"/>
    <w:multiLevelType w:val="multilevel"/>
    <w:tmpl w:val="8D78A00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DB21E5"/>
    <w:multiLevelType w:val="multilevel"/>
    <w:tmpl w:val="D96EDFB0"/>
    <w:lvl w:ilvl="0">
      <w:start w:val="1"/>
      <w:numFmt w:val="upp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4DAD"/>
    <w:multiLevelType w:val="multilevel"/>
    <w:tmpl w:val="5828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E0BC4"/>
    <w:multiLevelType w:val="multilevel"/>
    <w:tmpl w:val="CAD4A558"/>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144B3130"/>
    <w:multiLevelType w:val="multilevel"/>
    <w:tmpl w:val="B8367E02"/>
    <w:lvl w:ilvl="0">
      <w:start w:val="1"/>
      <w:numFmt w:val="lowerLetter"/>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155D4AEA"/>
    <w:multiLevelType w:val="multilevel"/>
    <w:tmpl w:val="CA2CA2A8"/>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3685F"/>
    <w:multiLevelType w:val="hybridMultilevel"/>
    <w:tmpl w:val="AEBAB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A61DAF"/>
    <w:multiLevelType w:val="multilevel"/>
    <w:tmpl w:val="6652C4CE"/>
    <w:lvl w:ilvl="0">
      <w:start w:val="1"/>
      <w:numFmt w:val="upperLetter"/>
      <w:lvlText w:val="%1."/>
      <w:lvlJc w:val="left"/>
      <w:pPr>
        <w:tabs>
          <w:tab w:val="num" w:pos="720"/>
        </w:tabs>
        <w:ind w:left="720" w:hanging="360"/>
      </w:pPr>
      <w:rPr>
        <w:b/>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B4906"/>
    <w:multiLevelType w:val="multilevel"/>
    <w:tmpl w:val="2BE453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969C2"/>
    <w:multiLevelType w:val="multilevel"/>
    <w:tmpl w:val="85A8E5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80A2C"/>
    <w:multiLevelType w:val="multilevel"/>
    <w:tmpl w:val="3EA0D544"/>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632D9"/>
    <w:multiLevelType w:val="multilevel"/>
    <w:tmpl w:val="5DBA000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90D4D"/>
    <w:multiLevelType w:val="multilevel"/>
    <w:tmpl w:val="D50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32C"/>
    <w:multiLevelType w:val="multilevel"/>
    <w:tmpl w:val="6F22D2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94DED"/>
    <w:multiLevelType w:val="multilevel"/>
    <w:tmpl w:val="9BDCC112"/>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26F4"/>
    <w:multiLevelType w:val="multilevel"/>
    <w:tmpl w:val="DCDC6C4C"/>
    <w:lvl w:ilvl="0">
      <w:start w:val="1"/>
      <w:numFmt w:val="upperLetter"/>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C11D7"/>
    <w:multiLevelType w:val="multilevel"/>
    <w:tmpl w:val="138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B6F51"/>
    <w:multiLevelType w:val="multilevel"/>
    <w:tmpl w:val="533A5674"/>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B3DD6"/>
    <w:multiLevelType w:val="multilevel"/>
    <w:tmpl w:val="06B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D3154"/>
    <w:multiLevelType w:val="multilevel"/>
    <w:tmpl w:val="280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D63E5"/>
    <w:multiLevelType w:val="multilevel"/>
    <w:tmpl w:val="196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A5980"/>
    <w:multiLevelType w:val="hybridMultilevel"/>
    <w:tmpl w:val="A03821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1779EE"/>
    <w:multiLevelType w:val="multilevel"/>
    <w:tmpl w:val="1696F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lowerLetter"/>
      <w:lvlText w:val="%3."/>
      <w:lvlJc w:val="left"/>
      <w:pPr>
        <w:ind w:left="2160" w:hanging="360"/>
      </w:pPr>
      <w:rPr>
        <w:rFonts w:hint="default"/>
        <w:b/>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6" w15:restartNumberingAfterBreak="0">
    <w:nsid w:val="494C3BB2"/>
    <w:multiLevelType w:val="multilevel"/>
    <w:tmpl w:val="CB2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75B11"/>
    <w:multiLevelType w:val="multilevel"/>
    <w:tmpl w:val="C09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61F18"/>
    <w:multiLevelType w:val="hybridMultilevel"/>
    <w:tmpl w:val="06949690"/>
    <w:lvl w:ilvl="0" w:tplc="7A7096EE">
      <w:start w:val="1"/>
      <w:numFmt w:val="upperLetter"/>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79534C"/>
    <w:multiLevelType w:val="multilevel"/>
    <w:tmpl w:val="FFBC684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90CCE"/>
    <w:multiLevelType w:val="multilevel"/>
    <w:tmpl w:val="C4EAE11A"/>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5206E"/>
    <w:multiLevelType w:val="multilevel"/>
    <w:tmpl w:val="A2C85964"/>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B0B39"/>
    <w:multiLevelType w:val="multilevel"/>
    <w:tmpl w:val="781E8DBC"/>
    <w:lvl w:ilvl="0">
      <w:start w:val="1"/>
      <w:numFmt w:val="upperLetter"/>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62A0A"/>
    <w:multiLevelType w:val="multilevel"/>
    <w:tmpl w:val="E038838A"/>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F6E8D"/>
    <w:multiLevelType w:val="multilevel"/>
    <w:tmpl w:val="2BE453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817D98"/>
    <w:multiLevelType w:val="multilevel"/>
    <w:tmpl w:val="CD744FB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14477"/>
    <w:multiLevelType w:val="hybridMultilevel"/>
    <w:tmpl w:val="7A5229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DDE3726"/>
    <w:multiLevelType w:val="multilevel"/>
    <w:tmpl w:val="C80600A6"/>
    <w:lvl w:ilvl="0">
      <w:start w:val="1"/>
      <w:numFmt w:val="upperLetter"/>
      <w:lvlText w:val="%1."/>
      <w:lvlJc w:val="left"/>
      <w:pPr>
        <w:tabs>
          <w:tab w:val="num" w:pos="720"/>
        </w:tabs>
        <w:ind w:left="720" w:hanging="360"/>
      </w:pPr>
      <w:rPr>
        <w:rFonts w:hint="default"/>
        <w:b/>
        <w:bCs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C6BDA"/>
    <w:multiLevelType w:val="multilevel"/>
    <w:tmpl w:val="B7CE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315D7"/>
    <w:multiLevelType w:val="multilevel"/>
    <w:tmpl w:val="2A9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26D09"/>
    <w:multiLevelType w:val="multilevel"/>
    <w:tmpl w:val="5C463CD6"/>
    <w:lvl w:ilvl="0">
      <w:start w:val="1"/>
      <w:numFmt w:val="lowerLetter"/>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1" w15:restartNumberingAfterBreak="0">
    <w:nsid w:val="7AAF6FF7"/>
    <w:multiLevelType w:val="multilevel"/>
    <w:tmpl w:val="55BC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F08A5"/>
    <w:multiLevelType w:val="multilevel"/>
    <w:tmpl w:val="4270406A"/>
    <w:lvl w:ilvl="0">
      <w:start w:val="1"/>
      <w:numFmt w:val="lowerLetter"/>
      <w:lvlText w:val="%1."/>
      <w:lvlJc w:val="left"/>
      <w:pPr>
        <w:tabs>
          <w:tab w:val="num" w:pos="720"/>
        </w:tabs>
        <w:ind w:left="720" w:hanging="360"/>
      </w:pPr>
      <w:rPr>
        <w:rFonts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001606">
    <w:abstractNumId w:val="9"/>
  </w:num>
  <w:num w:numId="2" w16cid:durableId="1801142471">
    <w:abstractNumId w:val="26"/>
  </w:num>
  <w:num w:numId="3" w16cid:durableId="294606253">
    <w:abstractNumId w:val="34"/>
  </w:num>
  <w:num w:numId="4" w16cid:durableId="1022972417">
    <w:abstractNumId w:val="5"/>
  </w:num>
  <w:num w:numId="5" w16cid:durableId="2141025631">
    <w:abstractNumId w:val="14"/>
  </w:num>
  <w:num w:numId="6" w16cid:durableId="430400157">
    <w:abstractNumId w:val="37"/>
  </w:num>
  <w:num w:numId="7" w16cid:durableId="1975136107">
    <w:abstractNumId w:val="41"/>
  </w:num>
  <w:num w:numId="8" w16cid:durableId="760414514">
    <w:abstractNumId w:val="32"/>
  </w:num>
  <w:num w:numId="9" w16cid:durableId="1249080590">
    <w:abstractNumId w:val="11"/>
  </w:num>
  <w:num w:numId="10" w16cid:durableId="1276671768">
    <w:abstractNumId w:val="29"/>
  </w:num>
  <w:num w:numId="11" w16cid:durableId="1701279168">
    <w:abstractNumId w:val="7"/>
  </w:num>
  <w:num w:numId="12" w16cid:durableId="425535606">
    <w:abstractNumId w:val="16"/>
  </w:num>
  <w:num w:numId="13" w16cid:durableId="544634171">
    <w:abstractNumId w:val="39"/>
  </w:num>
  <w:num w:numId="14" w16cid:durableId="41710602">
    <w:abstractNumId w:val="12"/>
  </w:num>
  <w:num w:numId="15" w16cid:durableId="2093623944">
    <w:abstractNumId w:val="1"/>
  </w:num>
  <w:num w:numId="16" w16cid:durableId="2038894759">
    <w:abstractNumId w:val="35"/>
  </w:num>
  <w:num w:numId="17" w16cid:durableId="1042051254">
    <w:abstractNumId w:val="25"/>
  </w:num>
  <w:num w:numId="18" w16cid:durableId="911937851">
    <w:abstractNumId w:val="22"/>
  </w:num>
  <w:num w:numId="19" w16cid:durableId="1119956975">
    <w:abstractNumId w:val="15"/>
  </w:num>
  <w:num w:numId="20" w16cid:durableId="1937248635">
    <w:abstractNumId w:val="19"/>
  </w:num>
  <w:num w:numId="21" w16cid:durableId="1887328977">
    <w:abstractNumId w:val="23"/>
  </w:num>
  <w:num w:numId="22" w16cid:durableId="635451115">
    <w:abstractNumId w:val="27"/>
  </w:num>
  <w:num w:numId="23" w16cid:durableId="957949392">
    <w:abstractNumId w:val="10"/>
  </w:num>
  <w:num w:numId="24" w16cid:durableId="45835925">
    <w:abstractNumId w:val="33"/>
  </w:num>
  <w:num w:numId="25" w16cid:durableId="1169976967">
    <w:abstractNumId w:val="13"/>
  </w:num>
  <w:num w:numId="26" w16cid:durableId="22369235">
    <w:abstractNumId w:val="0"/>
  </w:num>
  <w:num w:numId="27" w16cid:durableId="535002412">
    <w:abstractNumId w:val="42"/>
  </w:num>
  <w:num w:numId="28" w16cid:durableId="1746803441">
    <w:abstractNumId w:val="31"/>
  </w:num>
  <w:num w:numId="29" w16cid:durableId="175579246">
    <w:abstractNumId w:val="20"/>
  </w:num>
  <w:num w:numId="30" w16cid:durableId="1423915843">
    <w:abstractNumId w:val="30"/>
  </w:num>
  <w:num w:numId="31" w16cid:durableId="974221049">
    <w:abstractNumId w:val="17"/>
  </w:num>
  <w:num w:numId="32" w16cid:durableId="1075320833">
    <w:abstractNumId w:val="8"/>
  </w:num>
  <w:num w:numId="33" w16cid:durableId="1975600866">
    <w:abstractNumId w:val="4"/>
  </w:num>
  <w:num w:numId="34" w16cid:durableId="1682588978">
    <w:abstractNumId w:val="2"/>
  </w:num>
  <w:num w:numId="35" w16cid:durableId="1894121903">
    <w:abstractNumId w:val="18"/>
  </w:num>
  <w:num w:numId="36" w16cid:durableId="704329611">
    <w:abstractNumId w:val="21"/>
  </w:num>
  <w:num w:numId="37" w16cid:durableId="821241076">
    <w:abstractNumId w:val="38"/>
  </w:num>
  <w:num w:numId="38" w16cid:durableId="1077288461">
    <w:abstractNumId w:val="6"/>
  </w:num>
  <w:num w:numId="39" w16cid:durableId="1317761044">
    <w:abstractNumId w:val="40"/>
  </w:num>
  <w:num w:numId="40" w16cid:durableId="2047826701">
    <w:abstractNumId w:val="24"/>
  </w:num>
  <w:num w:numId="41" w16cid:durableId="1206334097">
    <w:abstractNumId w:val="3"/>
  </w:num>
  <w:num w:numId="42" w16cid:durableId="1389108154">
    <w:abstractNumId w:val="28"/>
  </w:num>
  <w:num w:numId="43" w16cid:durableId="18250484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0D"/>
    <w:rsid w:val="00015F22"/>
    <w:rsid w:val="00027EA5"/>
    <w:rsid w:val="000A6420"/>
    <w:rsid w:val="00126897"/>
    <w:rsid w:val="001741C1"/>
    <w:rsid w:val="001A5385"/>
    <w:rsid w:val="00246CE3"/>
    <w:rsid w:val="00253DEA"/>
    <w:rsid w:val="00277B36"/>
    <w:rsid w:val="00282099"/>
    <w:rsid w:val="004B7DA3"/>
    <w:rsid w:val="00542984"/>
    <w:rsid w:val="00583E4C"/>
    <w:rsid w:val="00766A34"/>
    <w:rsid w:val="008713E1"/>
    <w:rsid w:val="00996C5A"/>
    <w:rsid w:val="009D46CF"/>
    <w:rsid w:val="00A3289C"/>
    <w:rsid w:val="00A84FF1"/>
    <w:rsid w:val="00AB5678"/>
    <w:rsid w:val="00B300B7"/>
    <w:rsid w:val="00BE3B4E"/>
    <w:rsid w:val="00C57191"/>
    <w:rsid w:val="00CC478B"/>
    <w:rsid w:val="00CE18F1"/>
    <w:rsid w:val="00CF63E0"/>
    <w:rsid w:val="00D14B7B"/>
    <w:rsid w:val="00D47A0D"/>
    <w:rsid w:val="00DB366E"/>
    <w:rsid w:val="00E24DE5"/>
    <w:rsid w:val="00EF3029"/>
    <w:rsid w:val="00EF6F53"/>
    <w:rsid w:val="00F45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9D15"/>
  <w15:chartTrackingRefBased/>
  <w15:docId w15:val="{010CDE5A-D70D-47B2-9648-0246C70F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6CF"/>
    <w:pPr>
      <w:overflowPunct w:val="0"/>
      <w:autoSpaceDE w:val="0"/>
      <w:autoSpaceDN w:val="0"/>
      <w:adjustRightInd w:val="0"/>
      <w:spacing w:after="0" w:line="240" w:lineRule="auto"/>
      <w:textAlignment w:val="baseline"/>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CF"/>
    <w:pPr>
      <w:ind w:left="720"/>
      <w:contextualSpacing/>
    </w:pPr>
  </w:style>
  <w:style w:type="character" w:styleId="LineNumber">
    <w:name w:val="line number"/>
    <w:basedOn w:val="DefaultParagraphFont"/>
    <w:uiPriority w:val="99"/>
    <w:semiHidden/>
    <w:unhideWhenUsed/>
    <w:rsid w:val="009D46CF"/>
  </w:style>
  <w:style w:type="paragraph" w:styleId="Header">
    <w:name w:val="header"/>
    <w:basedOn w:val="Normal"/>
    <w:link w:val="HeaderChar"/>
    <w:uiPriority w:val="99"/>
    <w:unhideWhenUsed/>
    <w:rsid w:val="00EF6F53"/>
    <w:pPr>
      <w:tabs>
        <w:tab w:val="center" w:pos="4513"/>
        <w:tab w:val="right" w:pos="9026"/>
      </w:tabs>
    </w:pPr>
  </w:style>
  <w:style w:type="character" w:customStyle="1" w:styleId="HeaderChar">
    <w:name w:val="Header Char"/>
    <w:basedOn w:val="DefaultParagraphFont"/>
    <w:link w:val="Header"/>
    <w:uiPriority w:val="99"/>
    <w:rsid w:val="00EF6F53"/>
    <w:rPr>
      <w:rFonts w:ascii="Times New Roman" w:eastAsia="SimSun" w:hAnsi="Times New Roman" w:cs="Times New Roman"/>
      <w:kern w:val="0"/>
      <w:sz w:val="20"/>
      <w:szCs w:val="20"/>
      <w:lang w:val="en-US"/>
      <w14:ligatures w14:val="none"/>
    </w:rPr>
  </w:style>
  <w:style w:type="paragraph" w:styleId="Footer">
    <w:name w:val="footer"/>
    <w:basedOn w:val="Normal"/>
    <w:link w:val="FooterChar"/>
    <w:uiPriority w:val="99"/>
    <w:unhideWhenUsed/>
    <w:rsid w:val="00EF6F53"/>
    <w:pPr>
      <w:tabs>
        <w:tab w:val="center" w:pos="4513"/>
        <w:tab w:val="right" w:pos="9026"/>
      </w:tabs>
    </w:pPr>
  </w:style>
  <w:style w:type="character" w:customStyle="1" w:styleId="FooterChar">
    <w:name w:val="Footer Char"/>
    <w:basedOn w:val="DefaultParagraphFont"/>
    <w:link w:val="Footer"/>
    <w:uiPriority w:val="99"/>
    <w:rsid w:val="00EF6F53"/>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B300B7"/>
    <w:rPr>
      <w:color w:val="0563C1" w:themeColor="hyperlink"/>
      <w:u w:val="single"/>
    </w:rPr>
  </w:style>
  <w:style w:type="character" w:styleId="UnresolvedMention">
    <w:name w:val="Unresolved Mention"/>
    <w:basedOn w:val="DefaultParagraphFont"/>
    <w:uiPriority w:val="99"/>
    <w:semiHidden/>
    <w:unhideWhenUsed/>
    <w:rsid w:val="00B300B7"/>
    <w:rPr>
      <w:color w:val="605E5C"/>
      <w:shd w:val="clear" w:color="auto" w:fill="E1DFDD"/>
    </w:rPr>
  </w:style>
  <w:style w:type="character" w:styleId="FollowedHyperlink">
    <w:name w:val="FollowedHyperlink"/>
    <w:basedOn w:val="DefaultParagraphFont"/>
    <w:uiPriority w:val="99"/>
    <w:semiHidden/>
    <w:unhideWhenUsed/>
    <w:rsid w:val="00027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8556">
      <w:bodyDiv w:val="1"/>
      <w:marLeft w:val="0"/>
      <w:marRight w:val="0"/>
      <w:marTop w:val="0"/>
      <w:marBottom w:val="0"/>
      <w:divBdr>
        <w:top w:val="none" w:sz="0" w:space="0" w:color="auto"/>
        <w:left w:val="none" w:sz="0" w:space="0" w:color="auto"/>
        <w:bottom w:val="none" w:sz="0" w:space="0" w:color="auto"/>
        <w:right w:val="none" w:sz="0" w:space="0" w:color="auto"/>
      </w:divBdr>
    </w:div>
    <w:div w:id="174467957">
      <w:bodyDiv w:val="1"/>
      <w:marLeft w:val="0"/>
      <w:marRight w:val="0"/>
      <w:marTop w:val="0"/>
      <w:marBottom w:val="0"/>
      <w:divBdr>
        <w:top w:val="none" w:sz="0" w:space="0" w:color="auto"/>
        <w:left w:val="none" w:sz="0" w:space="0" w:color="auto"/>
        <w:bottom w:val="none" w:sz="0" w:space="0" w:color="auto"/>
        <w:right w:val="none" w:sz="0" w:space="0" w:color="auto"/>
      </w:divBdr>
    </w:div>
    <w:div w:id="257905329">
      <w:bodyDiv w:val="1"/>
      <w:marLeft w:val="0"/>
      <w:marRight w:val="0"/>
      <w:marTop w:val="0"/>
      <w:marBottom w:val="0"/>
      <w:divBdr>
        <w:top w:val="none" w:sz="0" w:space="0" w:color="auto"/>
        <w:left w:val="none" w:sz="0" w:space="0" w:color="auto"/>
        <w:bottom w:val="none" w:sz="0" w:space="0" w:color="auto"/>
        <w:right w:val="none" w:sz="0" w:space="0" w:color="auto"/>
      </w:divBdr>
    </w:div>
    <w:div w:id="636494681">
      <w:bodyDiv w:val="1"/>
      <w:marLeft w:val="0"/>
      <w:marRight w:val="0"/>
      <w:marTop w:val="0"/>
      <w:marBottom w:val="0"/>
      <w:divBdr>
        <w:top w:val="none" w:sz="0" w:space="0" w:color="auto"/>
        <w:left w:val="none" w:sz="0" w:space="0" w:color="auto"/>
        <w:bottom w:val="none" w:sz="0" w:space="0" w:color="auto"/>
        <w:right w:val="none" w:sz="0" w:space="0" w:color="auto"/>
      </w:divBdr>
    </w:div>
    <w:div w:id="761755371">
      <w:bodyDiv w:val="1"/>
      <w:marLeft w:val="0"/>
      <w:marRight w:val="0"/>
      <w:marTop w:val="0"/>
      <w:marBottom w:val="0"/>
      <w:divBdr>
        <w:top w:val="none" w:sz="0" w:space="0" w:color="auto"/>
        <w:left w:val="none" w:sz="0" w:space="0" w:color="auto"/>
        <w:bottom w:val="none" w:sz="0" w:space="0" w:color="auto"/>
        <w:right w:val="none" w:sz="0" w:space="0" w:color="auto"/>
      </w:divBdr>
    </w:div>
    <w:div w:id="1047610144">
      <w:bodyDiv w:val="1"/>
      <w:marLeft w:val="0"/>
      <w:marRight w:val="0"/>
      <w:marTop w:val="0"/>
      <w:marBottom w:val="0"/>
      <w:divBdr>
        <w:top w:val="none" w:sz="0" w:space="0" w:color="auto"/>
        <w:left w:val="none" w:sz="0" w:space="0" w:color="auto"/>
        <w:bottom w:val="none" w:sz="0" w:space="0" w:color="auto"/>
        <w:right w:val="none" w:sz="0" w:space="0" w:color="auto"/>
      </w:divBdr>
    </w:div>
    <w:div w:id="1145048944">
      <w:bodyDiv w:val="1"/>
      <w:marLeft w:val="0"/>
      <w:marRight w:val="0"/>
      <w:marTop w:val="0"/>
      <w:marBottom w:val="0"/>
      <w:divBdr>
        <w:top w:val="none" w:sz="0" w:space="0" w:color="auto"/>
        <w:left w:val="none" w:sz="0" w:space="0" w:color="auto"/>
        <w:bottom w:val="none" w:sz="0" w:space="0" w:color="auto"/>
        <w:right w:val="none" w:sz="0" w:space="0" w:color="auto"/>
      </w:divBdr>
    </w:div>
    <w:div w:id="1345668468">
      <w:bodyDiv w:val="1"/>
      <w:marLeft w:val="0"/>
      <w:marRight w:val="0"/>
      <w:marTop w:val="0"/>
      <w:marBottom w:val="0"/>
      <w:divBdr>
        <w:top w:val="none" w:sz="0" w:space="0" w:color="auto"/>
        <w:left w:val="none" w:sz="0" w:space="0" w:color="auto"/>
        <w:bottom w:val="none" w:sz="0" w:space="0" w:color="auto"/>
        <w:right w:val="none" w:sz="0" w:space="0" w:color="auto"/>
      </w:divBdr>
    </w:div>
    <w:div w:id="1868133955">
      <w:bodyDiv w:val="1"/>
      <w:marLeft w:val="0"/>
      <w:marRight w:val="0"/>
      <w:marTop w:val="0"/>
      <w:marBottom w:val="0"/>
      <w:divBdr>
        <w:top w:val="none" w:sz="0" w:space="0" w:color="auto"/>
        <w:left w:val="none" w:sz="0" w:space="0" w:color="auto"/>
        <w:bottom w:val="none" w:sz="0" w:space="0" w:color="auto"/>
        <w:right w:val="none" w:sz="0" w:space="0" w:color="auto"/>
      </w:divBdr>
    </w:div>
    <w:div w:id="208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ublic.tableau.com/views/FinalProject286/Dashboard2?:language=en-US&amp;:sid=&amp;:redirect=auth&amp;:display_count=n&amp;:origin=viz_share_link"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509/jmkr.41.1.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rive.google.com/drive/folders/1PJh0dv_H0nteBg0rfUmNZdfPJdD-NnnH?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45/2939672.293978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23/A:1010933404324" TargetMode="External"/><Relationship Id="rId28" Type="http://schemas.openxmlformats.org/officeDocument/2006/relationships/hyperlink" Target="https://drive.google.com/file/d/1e8CwXfaWbRLCyFWQxjYSGaG0kET4INXI/view?usp=sha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rive.google.com/file/d/1cKsTP9lzWYADkC48YB04Z_nhX-aNodM7/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29</Pages>
  <Words>4480</Words>
  <Characters>25538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pasam</dc:creator>
  <cp:keywords/>
  <dc:description/>
  <cp:lastModifiedBy>gaurav pasam</cp:lastModifiedBy>
  <cp:revision>9</cp:revision>
  <cp:lastPrinted>2024-12-04T10:16:00Z</cp:lastPrinted>
  <dcterms:created xsi:type="dcterms:W3CDTF">2024-12-03T09:11:00Z</dcterms:created>
  <dcterms:modified xsi:type="dcterms:W3CDTF">2024-12-04T10:25:00Z</dcterms:modified>
</cp:coreProperties>
</file>