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1F7B" w14:textId="77777777" w:rsidR="000A713F" w:rsidRPr="000A713F" w:rsidRDefault="000A713F" w:rsidP="000A713F">
      <w:pPr>
        <w:rPr>
          <w:b/>
          <w:bCs/>
        </w:rPr>
      </w:pPr>
      <w:r w:rsidRPr="000A713F">
        <w:rPr>
          <w:b/>
          <w:bCs/>
        </w:rPr>
        <w:t>TERMS &amp; CONDITIONS</w:t>
      </w:r>
    </w:p>
    <w:p w14:paraId="2EADA47A" w14:textId="7A6CEF1C" w:rsidR="000A713F" w:rsidRPr="000A713F" w:rsidRDefault="000A713F" w:rsidP="000A713F">
      <w:r w:rsidRPr="000A713F">
        <w:t xml:space="preserve">This Referral policy applies to users who are participating in </w:t>
      </w:r>
      <w:r w:rsidR="004D382D">
        <w:t>CNC WEBWORLD</w:t>
      </w:r>
      <w:r w:rsidRPr="000A713F">
        <w:t xml:space="preserve"> Referral Scheme. Your participation in the Scheme is deemed if (a) you share your referee details with others by any means whatsoever, or (b) you use another’s referee details in your application. By participating in this Scheme, you acknowledge and agree to be bound by all of the terms and conditions of this referral policy, which are in addition to and subject to </w:t>
      </w:r>
      <w:r w:rsidR="004D382D">
        <w:t xml:space="preserve">cnc </w:t>
      </w:r>
      <w:proofErr w:type="spellStart"/>
      <w:proofErr w:type="gramStart"/>
      <w:r w:rsidR="004D382D">
        <w:t>webworld’s</w:t>
      </w:r>
      <w:proofErr w:type="spellEnd"/>
      <w:r w:rsidR="004D382D">
        <w:t xml:space="preserve"> </w:t>
      </w:r>
      <w:r w:rsidRPr="000A713F">
        <w:t xml:space="preserve"> "</w:t>
      </w:r>
      <w:proofErr w:type="gramEnd"/>
      <w:r w:rsidRPr="000A713F">
        <w:t xml:space="preserve">Terms &amp; Conditions" available on the Platform. If you do not agree to this Policy, please do not participate in the Scheme. </w:t>
      </w:r>
      <w:r w:rsidR="004D382D">
        <w:t>Cnc webworld</w:t>
      </w:r>
      <w:r w:rsidRPr="000A713F">
        <w:t xml:space="preserve"> Education reserves the right to modify or terminate the Scheme, in whole or in part, at any time and in any manner.</w:t>
      </w:r>
    </w:p>
    <w:p w14:paraId="119BE845" w14:textId="77777777" w:rsidR="000A713F" w:rsidRPr="000A713F" w:rsidRDefault="000A713F" w:rsidP="000A713F">
      <w:pPr>
        <w:rPr>
          <w:b/>
          <w:bCs/>
        </w:rPr>
      </w:pPr>
      <w:proofErr w:type="gramStart"/>
      <w:r w:rsidRPr="000A713F">
        <w:rPr>
          <w:b/>
          <w:bCs/>
        </w:rPr>
        <w:t>Eligibility :</w:t>
      </w:r>
      <w:proofErr w:type="gramEnd"/>
    </w:p>
    <w:p w14:paraId="252A4F9F" w14:textId="77777777" w:rsidR="000A713F" w:rsidRPr="000A713F" w:rsidRDefault="000A713F" w:rsidP="000A713F">
      <w:pPr>
        <w:numPr>
          <w:ilvl w:val="0"/>
          <w:numId w:val="1"/>
        </w:numPr>
      </w:pPr>
      <w:r w:rsidRPr="000A713F">
        <w:t>Referral amount is eligible if referral done with the admission by Referee of Institute’s Student (Including Current or Alumni).</w:t>
      </w:r>
    </w:p>
    <w:p w14:paraId="633D5536" w14:textId="5B92BD50" w:rsidR="000A713F" w:rsidRPr="000A713F" w:rsidRDefault="000A713F" w:rsidP="000A713F">
      <w:pPr>
        <w:numPr>
          <w:ilvl w:val="0"/>
          <w:numId w:val="1"/>
        </w:numPr>
      </w:pPr>
      <w:r w:rsidRPr="000A713F">
        <w:t xml:space="preserve">For referral amount Eligibility, Referral students have to pay </w:t>
      </w:r>
      <w:r w:rsidR="004D382D">
        <w:t>6</w:t>
      </w:r>
      <w:r w:rsidRPr="000A713F">
        <w:t xml:space="preserve">0% of his </w:t>
      </w:r>
      <w:proofErr w:type="gramStart"/>
      <w:r w:rsidRPr="000A713F">
        <w:t>fees</w:t>
      </w:r>
      <w:proofErr w:type="gramEnd"/>
      <w:r w:rsidRPr="000A713F">
        <w:t xml:space="preserve"> payment after that only Referral amount will get handed over to the referee Student.</w:t>
      </w:r>
    </w:p>
    <w:p w14:paraId="42FAD946" w14:textId="77777777" w:rsidR="000A713F" w:rsidRPr="000A713F" w:rsidRDefault="000A713F" w:rsidP="000A713F">
      <w:pPr>
        <w:rPr>
          <w:b/>
          <w:bCs/>
        </w:rPr>
      </w:pPr>
      <w:r w:rsidRPr="000A713F">
        <w:rPr>
          <w:b/>
          <w:bCs/>
        </w:rPr>
        <w:t>Criteria</w:t>
      </w:r>
    </w:p>
    <w:p w14:paraId="2C6E3869" w14:textId="4056F127" w:rsidR="000A713F" w:rsidRPr="000A713F" w:rsidRDefault="000A713F" w:rsidP="000A713F">
      <w:r w:rsidRPr="000A713F">
        <w:t xml:space="preserve">The Referrer must fill the referral form with proper details of his/her Friend. </w:t>
      </w:r>
      <w:r w:rsidR="004D382D">
        <w:t>Cnc webworld</w:t>
      </w:r>
      <w:r w:rsidRPr="000A713F">
        <w:t xml:space="preserve"> shall not accept the Referee any time after the admission is made by that referee. Additionally, the Friend must pay the entire fee amount for the Referral to be considered completed.</w:t>
      </w:r>
    </w:p>
    <w:p w14:paraId="1B76CFCA" w14:textId="77777777" w:rsidR="000A713F" w:rsidRPr="000A713F" w:rsidRDefault="000A713F" w:rsidP="000A713F">
      <w:pPr>
        <w:numPr>
          <w:ilvl w:val="0"/>
          <w:numId w:val="2"/>
        </w:numPr>
      </w:pPr>
      <w:r w:rsidRPr="000A713F">
        <w:t>Referral amount can be divided between referee and referral as per their mutual communication</w:t>
      </w:r>
    </w:p>
    <w:p w14:paraId="65880401" w14:textId="77777777" w:rsidR="000A713F" w:rsidRPr="000A713F" w:rsidRDefault="000A713F" w:rsidP="000A713F">
      <w:pPr>
        <w:rPr>
          <w:b/>
          <w:bCs/>
        </w:rPr>
      </w:pPr>
      <w:r w:rsidRPr="000A713F">
        <w:rPr>
          <w:b/>
          <w:bCs/>
        </w:rPr>
        <w:t>Visitors Are most welcome</w:t>
      </w:r>
    </w:p>
    <w:p w14:paraId="2E0E879C" w14:textId="2D50C113" w:rsidR="000A713F" w:rsidRPr="000A713F" w:rsidRDefault="000A713F" w:rsidP="000A713F">
      <w:r w:rsidRPr="000A713F">
        <w:t xml:space="preserve">For "not </w:t>
      </w:r>
      <w:r w:rsidR="004D382D">
        <w:t>–</w:t>
      </w:r>
      <w:r w:rsidRPr="000A713F">
        <w:t xml:space="preserve"> </w:t>
      </w:r>
      <w:proofErr w:type="spellStart"/>
      <w:r w:rsidR="004D382D">
        <w:t>ccn</w:t>
      </w:r>
      <w:proofErr w:type="spellEnd"/>
      <w:r w:rsidR="004D382D">
        <w:t xml:space="preserve"> webworld</w:t>
      </w:r>
      <w:r w:rsidRPr="000A713F">
        <w:t xml:space="preserve">" Students or visitors are eligible for Referral </w:t>
      </w:r>
      <w:proofErr w:type="gramStart"/>
      <w:r w:rsidRPr="000A713F">
        <w:t>Scheme ,</w:t>
      </w:r>
      <w:proofErr w:type="gramEnd"/>
      <w:r w:rsidRPr="000A713F">
        <w:t xml:space="preserve"> As they can get a Special cash </w:t>
      </w:r>
      <w:r w:rsidR="004D382D">
        <w:t>back</w:t>
      </w:r>
      <w:r w:rsidRPr="000A713F">
        <w:t xml:space="preserve"> after receiving </w:t>
      </w:r>
      <w:r w:rsidR="004D382D">
        <w:t>6</w:t>
      </w:r>
      <w:r w:rsidRPr="000A713F">
        <w:t>0% fees amount of referral Student and submitting proper documentation.</w:t>
      </w:r>
    </w:p>
    <w:p w14:paraId="0CE449CA" w14:textId="24CCF73C" w:rsidR="000A713F" w:rsidRPr="000A713F" w:rsidRDefault="004D382D" w:rsidP="000A713F">
      <w:pPr>
        <w:rPr>
          <w:b/>
          <w:bCs/>
        </w:rPr>
      </w:pPr>
      <w:r>
        <w:rPr>
          <w:b/>
          <w:bCs/>
        </w:rPr>
        <w:t>Eligible Technologies for Cash Back</w:t>
      </w:r>
      <w:r w:rsidR="000A713F" w:rsidRPr="000A713F">
        <w:rPr>
          <w:b/>
          <w:bCs/>
        </w:rPr>
        <w:t>-</w:t>
      </w:r>
    </w:p>
    <w:tbl>
      <w:tblPr>
        <w:tblW w:w="16650" w:type="dxa"/>
        <w:tblCellMar>
          <w:left w:w="0" w:type="dxa"/>
          <w:right w:w="0" w:type="dxa"/>
        </w:tblCellMar>
        <w:tblLook w:val="04A0" w:firstRow="1" w:lastRow="0" w:firstColumn="1" w:lastColumn="0" w:noHBand="0" w:noVBand="1"/>
      </w:tblPr>
      <w:tblGrid>
        <w:gridCol w:w="15855"/>
        <w:gridCol w:w="795"/>
      </w:tblGrid>
      <w:tr w:rsidR="004D382D" w:rsidRPr="000A713F" w14:paraId="75DF0E22" w14:textId="77777777" w:rsidTr="004D382D">
        <w:tc>
          <w:tcPr>
            <w:tcW w:w="0" w:type="auto"/>
            <w:tcBorders>
              <w:top w:val="single" w:sz="6" w:space="0" w:color="DEE2E6"/>
              <w:left w:val="single" w:sz="6" w:space="0" w:color="DEE2E6"/>
              <w:bottom w:val="single" w:sz="6" w:space="0" w:color="DEE2E6"/>
              <w:right w:val="single" w:sz="6" w:space="0" w:color="DEE2E6"/>
            </w:tcBorders>
            <w:shd w:val="clear" w:color="auto" w:fill="F4F4FB"/>
            <w:tcMar>
              <w:top w:w="180" w:type="dxa"/>
              <w:left w:w="120" w:type="dxa"/>
              <w:bottom w:w="180" w:type="dxa"/>
              <w:right w:w="120" w:type="dxa"/>
            </w:tcMar>
          </w:tcPr>
          <w:p w14:paraId="2CEF7338" w14:textId="1A13EA11" w:rsidR="000A713F" w:rsidRPr="000A713F" w:rsidRDefault="004D382D" w:rsidP="000A713F">
            <w:pPr>
              <w:rPr>
                <w:b/>
                <w:bCs/>
              </w:rPr>
            </w:pPr>
            <w:r>
              <w:rPr>
                <w:b/>
                <w:bCs/>
              </w:rPr>
              <w:t>Program</w:t>
            </w:r>
          </w:p>
        </w:tc>
        <w:tc>
          <w:tcPr>
            <w:tcW w:w="0" w:type="auto"/>
            <w:tcBorders>
              <w:top w:val="single" w:sz="6" w:space="0" w:color="DEE2E6"/>
              <w:left w:val="single" w:sz="6" w:space="0" w:color="DEE2E6"/>
              <w:bottom w:val="single" w:sz="6" w:space="0" w:color="DEE2E6"/>
              <w:right w:val="single" w:sz="6" w:space="0" w:color="DEE2E6"/>
            </w:tcBorders>
            <w:shd w:val="clear" w:color="auto" w:fill="F4F4FB"/>
            <w:tcMar>
              <w:top w:w="180" w:type="dxa"/>
              <w:left w:w="120" w:type="dxa"/>
              <w:bottom w:w="180" w:type="dxa"/>
              <w:right w:w="120" w:type="dxa"/>
            </w:tcMar>
          </w:tcPr>
          <w:p w14:paraId="792404F4" w14:textId="0E0BC4F4" w:rsidR="000A713F" w:rsidRPr="000A713F" w:rsidRDefault="000A713F" w:rsidP="000A713F">
            <w:pPr>
              <w:rPr>
                <w:b/>
                <w:bCs/>
              </w:rPr>
            </w:pPr>
          </w:p>
        </w:tc>
      </w:tr>
      <w:tr w:rsidR="004D382D" w:rsidRPr="000A713F" w14:paraId="049936BA"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92E142F" w14:textId="15CE028C" w:rsidR="000A713F" w:rsidRPr="000A713F" w:rsidRDefault="004D382D" w:rsidP="000A713F">
            <w:r>
              <w:t>Full Stack Web Development (Any Technologies)</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47C8FCDB" w14:textId="42A05ECC" w:rsidR="000A713F" w:rsidRPr="000A713F" w:rsidRDefault="000A713F" w:rsidP="000A713F"/>
        </w:tc>
      </w:tr>
      <w:tr w:rsidR="004D382D" w:rsidRPr="000A713F" w14:paraId="73D62EC4"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4D536E5" w14:textId="3A78A67D" w:rsidR="000A713F" w:rsidRPr="000A713F" w:rsidRDefault="004D382D" w:rsidP="000A713F">
            <w:r>
              <w:t>Data Analysis</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2A7A0F3" w14:textId="44D8158D" w:rsidR="000A713F" w:rsidRPr="000A713F" w:rsidRDefault="000A713F" w:rsidP="000A713F"/>
        </w:tc>
      </w:tr>
      <w:tr w:rsidR="004D382D" w:rsidRPr="000A713F" w14:paraId="5B84E80F"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7ACD00A6" w14:textId="792E7E6A" w:rsidR="000A713F" w:rsidRPr="000A713F" w:rsidRDefault="004D382D" w:rsidP="000A713F">
            <w:r>
              <w:t>Software Testing</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259EE35B" w14:textId="411AEBC3" w:rsidR="000A713F" w:rsidRPr="000A713F" w:rsidRDefault="000A713F" w:rsidP="000A713F"/>
        </w:tc>
      </w:tr>
      <w:tr w:rsidR="004D382D" w:rsidRPr="000A713F" w14:paraId="40651FE7"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615C269" w14:textId="70FC4A93" w:rsidR="004D382D" w:rsidRDefault="004D382D" w:rsidP="000A713F">
            <w:proofErr w:type="spellStart"/>
            <w:r>
              <w:lastRenderedPageBreak/>
              <w:t>FrontEnd</w:t>
            </w:r>
            <w:proofErr w:type="spellEnd"/>
            <w:r>
              <w:t xml:space="preserve"> Development</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BCFDD30" w14:textId="77777777" w:rsidR="004D382D" w:rsidRPr="000A713F" w:rsidRDefault="004D382D" w:rsidP="000A713F"/>
        </w:tc>
      </w:tr>
      <w:tr w:rsidR="004D382D" w:rsidRPr="000A713F" w14:paraId="5EE94B34"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0BF5A099" w14:textId="00922674" w:rsidR="004D382D" w:rsidRDefault="004D382D" w:rsidP="000A713F">
            <w:r>
              <w:t>UI/UX Designing</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691ED549" w14:textId="77777777" w:rsidR="004D382D" w:rsidRPr="000A713F" w:rsidRDefault="004D382D" w:rsidP="000A713F"/>
        </w:tc>
      </w:tr>
      <w:tr w:rsidR="004D382D" w:rsidRPr="000A713F" w14:paraId="5E1F208E"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3124035F" w14:textId="719B3096" w:rsidR="004D382D" w:rsidRDefault="004D382D" w:rsidP="000A713F">
            <w:r>
              <w:t xml:space="preserve">Data Scientist or </w:t>
            </w:r>
            <w:proofErr w:type="gramStart"/>
            <w:r>
              <w:t>ML,AI</w:t>
            </w:r>
            <w:proofErr w:type="gramEnd"/>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4DA2157C" w14:textId="77777777" w:rsidR="004D382D" w:rsidRPr="000A713F" w:rsidRDefault="004D382D" w:rsidP="000A713F"/>
        </w:tc>
      </w:tr>
      <w:tr w:rsidR="004D382D" w:rsidRPr="000A713F" w14:paraId="2338401D" w14:textId="77777777" w:rsidTr="004D382D">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21F1C5BA" w14:textId="67062744" w:rsidR="004D382D" w:rsidRDefault="004D382D" w:rsidP="000A713F">
            <w:r>
              <w:t>DevOps With AWS</w:t>
            </w:r>
          </w:p>
        </w:tc>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tcPr>
          <w:p w14:paraId="533B40F8" w14:textId="77777777" w:rsidR="004D382D" w:rsidRPr="000A713F" w:rsidRDefault="004D382D" w:rsidP="000A713F"/>
        </w:tc>
      </w:tr>
    </w:tbl>
    <w:p w14:paraId="2C8CF3D3" w14:textId="77777777" w:rsidR="004D382D" w:rsidRDefault="004D382D" w:rsidP="000A713F">
      <w:pPr>
        <w:rPr>
          <w:b/>
          <w:bCs/>
        </w:rPr>
      </w:pPr>
    </w:p>
    <w:p w14:paraId="69296D77" w14:textId="3D5BCEDC" w:rsidR="004D382D" w:rsidRDefault="004D382D" w:rsidP="000A713F">
      <w:pPr>
        <w:rPr>
          <w:b/>
          <w:bCs/>
        </w:rPr>
      </w:pPr>
      <w:r>
        <w:rPr>
          <w:b/>
          <w:bCs/>
        </w:rPr>
        <w:t xml:space="preserve">Cash Back Amount </w:t>
      </w:r>
      <w:proofErr w:type="spellStart"/>
      <w:r>
        <w:rPr>
          <w:b/>
          <w:bCs/>
        </w:rPr>
        <w:t>Detributor</w:t>
      </w:r>
      <w:proofErr w:type="spellEnd"/>
      <w:r>
        <w:rPr>
          <w:b/>
          <w:bCs/>
        </w:rPr>
        <w:t>:</w:t>
      </w:r>
    </w:p>
    <w:p w14:paraId="6F36278B" w14:textId="65A49B44" w:rsidR="004D382D" w:rsidRDefault="004D382D" w:rsidP="000A713F">
      <w:pPr>
        <w:rPr>
          <w:b/>
          <w:bCs/>
        </w:rPr>
      </w:pPr>
      <w:r>
        <w:rPr>
          <w:b/>
          <w:bCs/>
        </w:rPr>
        <w:t>1.Refer 1-3 student get cash back 1000 for each student</w:t>
      </w:r>
    </w:p>
    <w:p w14:paraId="078921D6" w14:textId="53BEC958" w:rsidR="004D382D" w:rsidRDefault="004D382D" w:rsidP="000A713F">
      <w:pPr>
        <w:rPr>
          <w:b/>
          <w:bCs/>
        </w:rPr>
      </w:pPr>
      <w:r>
        <w:rPr>
          <w:b/>
          <w:bCs/>
        </w:rPr>
        <w:t>2.</w:t>
      </w:r>
      <w:r w:rsidRPr="004D382D">
        <w:rPr>
          <w:b/>
          <w:bCs/>
        </w:rPr>
        <w:t xml:space="preserve"> </w:t>
      </w:r>
      <w:r>
        <w:rPr>
          <w:b/>
          <w:bCs/>
        </w:rPr>
        <w:t xml:space="preserve">Refer </w:t>
      </w:r>
      <w:r w:rsidR="009B2BF5">
        <w:rPr>
          <w:b/>
          <w:bCs/>
        </w:rPr>
        <w:t>4</w:t>
      </w:r>
      <w:r>
        <w:rPr>
          <w:b/>
          <w:bCs/>
        </w:rPr>
        <w:t>-</w:t>
      </w:r>
      <w:r>
        <w:rPr>
          <w:b/>
          <w:bCs/>
        </w:rPr>
        <w:t>8</w:t>
      </w:r>
      <w:r>
        <w:rPr>
          <w:b/>
          <w:bCs/>
        </w:rPr>
        <w:t xml:space="preserve"> student get cash back </w:t>
      </w:r>
      <w:r>
        <w:rPr>
          <w:b/>
          <w:bCs/>
        </w:rPr>
        <w:t>2</w:t>
      </w:r>
      <w:r>
        <w:rPr>
          <w:b/>
          <w:bCs/>
        </w:rPr>
        <w:t>000 for each student</w:t>
      </w:r>
    </w:p>
    <w:p w14:paraId="1FBD7EA3" w14:textId="663A46C3" w:rsidR="004D382D" w:rsidRDefault="004D382D" w:rsidP="000A713F">
      <w:pPr>
        <w:rPr>
          <w:b/>
          <w:bCs/>
        </w:rPr>
      </w:pPr>
      <w:r>
        <w:rPr>
          <w:b/>
          <w:bCs/>
        </w:rPr>
        <w:t>3.</w:t>
      </w:r>
      <w:r w:rsidR="009B2BF5" w:rsidRPr="009B2BF5">
        <w:rPr>
          <w:b/>
          <w:bCs/>
        </w:rPr>
        <w:t xml:space="preserve"> </w:t>
      </w:r>
      <w:r w:rsidR="009B2BF5">
        <w:rPr>
          <w:b/>
          <w:bCs/>
        </w:rPr>
        <w:t xml:space="preserve">Refer </w:t>
      </w:r>
      <w:r w:rsidR="009B2BF5">
        <w:rPr>
          <w:b/>
          <w:bCs/>
        </w:rPr>
        <w:t>9+</w:t>
      </w:r>
      <w:r w:rsidR="009B2BF5">
        <w:rPr>
          <w:b/>
          <w:bCs/>
        </w:rPr>
        <w:t xml:space="preserve"> student get cash back </w:t>
      </w:r>
      <w:r w:rsidR="009B2BF5">
        <w:rPr>
          <w:b/>
          <w:bCs/>
        </w:rPr>
        <w:t>3</w:t>
      </w:r>
      <w:r w:rsidR="009B2BF5">
        <w:rPr>
          <w:b/>
          <w:bCs/>
        </w:rPr>
        <w:t>000 for each student</w:t>
      </w:r>
    </w:p>
    <w:p w14:paraId="14C764AA" w14:textId="663579C2" w:rsidR="000A713F" w:rsidRPr="000A713F" w:rsidRDefault="000A713F" w:rsidP="000A713F">
      <w:pPr>
        <w:rPr>
          <w:b/>
          <w:bCs/>
        </w:rPr>
      </w:pPr>
      <w:r w:rsidRPr="000A713F">
        <w:rPr>
          <w:b/>
          <w:bCs/>
        </w:rPr>
        <w:t xml:space="preserve">Other points to be </w:t>
      </w:r>
      <w:proofErr w:type="gramStart"/>
      <w:r w:rsidRPr="000A713F">
        <w:rPr>
          <w:b/>
          <w:bCs/>
        </w:rPr>
        <w:t>noted:-</w:t>
      </w:r>
      <w:proofErr w:type="gramEnd"/>
    </w:p>
    <w:p w14:paraId="406D7FBC" w14:textId="5743AD01" w:rsidR="000A713F" w:rsidRPr="000A713F" w:rsidRDefault="000A713F" w:rsidP="000A713F">
      <w:pPr>
        <w:numPr>
          <w:ilvl w:val="0"/>
          <w:numId w:val="4"/>
        </w:numPr>
      </w:pPr>
      <w:r w:rsidRPr="000A713F">
        <w:t xml:space="preserve">Existing students / Alumni who enrol themselves for a new program are eligible to receive the </w:t>
      </w:r>
      <w:r w:rsidR="004D382D">
        <w:t>Cash Back</w:t>
      </w:r>
      <w:r w:rsidRPr="000A713F">
        <w:t xml:space="preserve"> amount mentioned in the table in the form of a fee waiver, which shall be determined basis the new program he/she has enrolled for</w:t>
      </w:r>
    </w:p>
    <w:p w14:paraId="43CA2F0E" w14:textId="77777777" w:rsidR="000A713F" w:rsidRPr="000A713F" w:rsidRDefault="000A713F" w:rsidP="000A713F">
      <w:pPr>
        <w:numPr>
          <w:ilvl w:val="0"/>
          <w:numId w:val="4"/>
        </w:numPr>
      </w:pPr>
      <w:r w:rsidRPr="000A713F">
        <w:t>The benefits under this policy cannot be clubbed with any other scholarship/fee waiver or benefit. If you have already availed another benefit, the benefits of this policy shall not apply. For further clarity, please check with your counsellor.</w:t>
      </w:r>
    </w:p>
    <w:p w14:paraId="3E7C0B2C" w14:textId="77777777" w:rsidR="000A713F" w:rsidRPr="000A713F" w:rsidRDefault="000A713F" w:rsidP="000A713F">
      <w:pPr>
        <w:numPr>
          <w:ilvl w:val="0"/>
          <w:numId w:val="4"/>
        </w:numPr>
      </w:pPr>
      <w:r w:rsidRPr="000A713F">
        <w:t>In case the Reward is a cash payout, bank transfer will take 7 bank days with duly filled bank details in case.</w:t>
      </w:r>
    </w:p>
    <w:p w14:paraId="37C55DB8" w14:textId="77777777" w:rsidR="000A713F" w:rsidRPr="000A713F" w:rsidRDefault="000A713F" w:rsidP="000A713F">
      <w:pPr>
        <w:numPr>
          <w:ilvl w:val="0"/>
          <w:numId w:val="4"/>
        </w:numPr>
      </w:pPr>
      <w:r w:rsidRPr="000A713F">
        <w:t>Source of referee: There will be a check of the source of the Friend and of whether the Referrer used any marketing channel or through Referrer himself/herself.</w:t>
      </w:r>
    </w:p>
    <w:p w14:paraId="3EF83B6F" w14:textId="77777777" w:rsidR="000A713F" w:rsidRDefault="000A713F"/>
    <w:sectPr w:rsidR="000A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A1E78"/>
    <w:multiLevelType w:val="multilevel"/>
    <w:tmpl w:val="157ED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2646D2"/>
    <w:multiLevelType w:val="multilevel"/>
    <w:tmpl w:val="4762E8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6962959"/>
    <w:multiLevelType w:val="multilevel"/>
    <w:tmpl w:val="04B258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90333D8"/>
    <w:multiLevelType w:val="multilevel"/>
    <w:tmpl w:val="2A7A0A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15860312">
    <w:abstractNumId w:val="1"/>
  </w:num>
  <w:num w:numId="2" w16cid:durableId="1734232274">
    <w:abstractNumId w:val="0"/>
  </w:num>
  <w:num w:numId="3" w16cid:durableId="913584895">
    <w:abstractNumId w:val="2"/>
  </w:num>
  <w:num w:numId="4" w16cid:durableId="7879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F"/>
    <w:rsid w:val="000A713F"/>
    <w:rsid w:val="004D382D"/>
    <w:rsid w:val="00545B41"/>
    <w:rsid w:val="009B2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305D"/>
  <w15:chartTrackingRefBased/>
  <w15:docId w15:val="{2ECD7FA3-64E3-4337-BEBA-A8C9574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13F"/>
    <w:rPr>
      <w:rFonts w:eastAsiaTheme="majorEastAsia" w:cstheme="majorBidi"/>
      <w:color w:val="272727" w:themeColor="text1" w:themeTint="D8"/>
    </w:rPr>
  </w:style>
  <w:style w:type="paragraph" w:styleId="Title">
    <w:name w:val="Title"/>
    <w:basedOn w:val="Normal"/>
    <w:next w:val="Normal"/>
    <w:link w:val="TitleChar"/>
    <w:uiPriority w:val="10"/>
    <w:qFormat/>
    <w:rsid w:val="000A7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13F"/>
    <w:pPr>
      <w:spacing w:before="160"/>
      <w:jc w:val="center"/>
    </w:pPr>
    <w:rPr>
      <w:i/>
      <w:iCs/>
      <w:color w:val="404040" w:themeColor="text1" w:themeTint="BF"/>
    </w:rPr>
  </w:style>
  <w:style w:type="character" w:customStyle="1" w:styleId="QuoteChar">
    <w:name w:val="Quote Char"/>
    <w:basedOn w:val="DefaultParagraphFont"/>
    <w:link w:val="Quote"/>
    <w:uiPriority w:val="29"/>
    <w:rsid w:val="000A713F"/>
    <w:rPr>
      <w:i/>
      <w:iCs/>
      <w:color w:val="404040" w:themeColor="text1" w:themeTint="BF"/>
    </w:rPr>
  </w:style>
  <w:style w:type="paragraph" w:styleId="ListParagraph">
    <w:name w:val="List Paragraph"/>
    <w:basedOn w:val="Normal"/>
    <w:uiPriority w:val="34"/>
    <w:qFormat/>
    <w:rsid w:val="000A713F"/>
    <w:pPr>
      <w:ind w:left="720"/>
      <w:contextualSpacing/>
    </w:pPr>
  </w:style>
  <w:style w:type="character" w:styleId="IntenseEmphasis">
    <w:name w:val="Intense Emphasis"/>
    <w:basedOn w:val="DefaultParagraphFont"/>
    <w:uiPriority w:val="21"/>
    <w:qFormat/>
    <w:rsid w:val="000A713F"/>
    <w:rPr>
      <w:i/>
      <w:iCs/>
      <w:color w:val="2F5496" w:themeColor="accent1" w:themeShade="BF"/>
    </w:rPr>
  </w:style>
  <w:style w:type="paragraph" w:styleId="IntenseQuote">
    <w:name w:val="Intense Quote"/>
    <w:basedOn w:val="Normal"/>
    <w:next w:val="Normal"/>
    <w:link w:val="IntenseQuoteChar"/>
    <w:uiPriority w:val="30"/>
    <w:qFormat/>
    <w:rsid w:val="000A7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13F"/>
    <w:rPr>
      <w:i/>
      <w:iCs/>
      <w:color w:val="2F5496" w:themeColor="accent1" w:themeShade="BF"/>
    </w:rPr>
  </w:style>
  <w:style w:type="character" w:styleId="IntenseReference">
    <w:name w:val="Intense Reference"/>
    <w:basedOn w:val="DefaultParagraphFont"/>
    <w:uiPriority w:val="32"/>
    <w:qFormat/>
    <w:rsid w:val="000A713F"/>
    <w:rPr>
      <w:b/>
      <w:bCs/>
      <w:smallCaps/>
      <w:color w:val="2F5496" w:themeColor="accent1" w:themeShade="BF"/>
      <w:spacing w:val="5"/>
    </w:rPr>
  </w:style>
  <w:style w:type="character" w:styleId="Hyperlink">
    <w:name w:val="Hyperlink"/>
    <w:basedOn w:val="DefaultParagraphFont"/>
    <w:uiPriority w:val="99"/>
    <w:unhideWhenUsed/>
    <w:rsid w:val="000A713F"/>
    <w:rPr>
      <w:color w:val="0563C1" w:themeColor="hyperlink"/>
      <w:u w:val="single"/>
    </w:rPr>
  </w:style>
  <w:style w:type="character" w:styleId="UnresolvedMention">
    <w:name w:val="Unresolved Mention"/>
    <w:basedOn w:val="DefaultParagraphFont"/>
    <w:uiPriority w:val="99"/>
    <w:semiHidden/>
    <w:unhideWhenUsed/>
    <w:rsid w:val="000A7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06931">
      <w:bodyDiv w:val="1"/>
      <w:marLeft w:val="0"/>
      <w:marRight w:val="0"/>
      <w:marTop w:val="0"/>
      <w:marBottom w:val="0"/>
      <w:divBdr>
        <w:top w:val="none" w:sz="0" w:space="0" w:color="auto"/>
        <w:left w:val="none" w:sz="0" w:space="0" w:color="auto"/>
        <w:bottom w:val="none" w:sz="0" w:space="0" w:color="auto"/>
        <w:right w:val="none" w:sz="0" w:space="0" w:color="auto"/>
      </w:divBdr>
    </w:div>
    <w:div w:id="20554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Navale</dc:creator>
  <cp:keywords/>
  <dc:description/>
  <cp:lastModifiedBy>Sanjay Navale</cp:lastModifiedBy>
  <cp:revision>2</cp:revision>
  <dcterms:created xsi:type="dcterms:W3CDTF">2025-02-20T11:16:00Z</dcterms:created>
  <dcterms:modified xsi:type="dcterms:W3CDTF">2025-02-20T11:37:00Z</dcterms:modified>
</cp:coreProperties>
</file>