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60" w:lineRule="auto"/>
        <w:jc w:val="center"/>
      </w:pPr>
      <w:r>
        <w:rPr>
          <w:rFonts w:ascii="Times New Roman" w:hAnsi="Times New Roman"/>
          <w:b/>
          <w:i w:val="0"/>
          <w:sz w:val="36"/>
        </w:rPr>
        <w:t>A PROPOSED DESIGN AND IMPLEMENTATION OF DEEP LEARNING BASED PULMONARY TUBERCULOSIS DETECTION SYSTEM FROM CHEST RADIOGRAPHS</w:t>
      </w:r>
    </w:p>
    <w:p>
      <w:pPr>
        <w:spacing w:before="240" w:after="160" w:line="360" w:lineRule="auto"/>
        <w:jc w:val="center"/>
      </w:pPr>
      <w:r>
        <w:rPr>
          <w:rFonts w:ascii="Times New Roman" w:hAnsi="Times New Roman"/>
          <w:b/>
          <w:i w:val="0"/>
          <w:sz w:val="32"/>
        </w:rPr>
        <w:t>A PROJECT REPORT</w:t>
      </w:r>
    </w:p>
    <w:p>
      <w:pPr>
        <w:spacing w:before="120" w:after="280" w:line="360" w:lineRule="auto"/>
        <w:jc w:val="center"/>
      </w:pPr>
      <w:r>
        <w:rPr>
          <w:rFonts w:ascii="Times New Roman" w:hAnsi="Times New Roman"/>
          <w:b w:val="0"/>
          <w:i/>
          <w:sz w:val="28"/>
        </w:rPr>
        <w:t>Submitted by</w:t>
      </w:r>
    </w:p>
    <w:tbl>
      <w:tblPr>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b/>
                <w:sz w:val="26"/>
              </w:rPr>
              <w:t>Ishan Choudhary</w:t>
            </w:r>
          </w:p>
        </w:tc>
        <w:tc>
          <w:tcPr>
            <w:tcW w:type="dxa" w:w="4334"/>
          </w:tcPr>
          <w:p>
            <w:r>
              <w:rPr>
                <w:rFonts w:ascii="Times New Roman" w:hAnsi="Times New Roman"/>
                <w:b/>
                <w:sz w:val="26"/>
              </w:rPr>
              <w:t>(25BCE10753)</w:t>
            </w:r>
          </w:p>
        </w:tc>
      </w:tr>
      <w:tr>
        <w:tc>
          <w:tcPr>
            <w:tcW w:type="dxa" w:w="4334"/>
          </w:tcPr>
          <w:p>
            <w:r>
              <w:rPr>
                <w:rFonts w:ascii="Times New Roman" w:hAnsi="Times New Roman"/>
                <w:b/>
                <w:sz w:val="26"/>
              </w:rPr>
              <w:t>Khush Gupta</w:t>
            </w:r>
          </w:p>
        </w:tc>
        <w:tc>
          <w:tcPr>
            <w:tcW w:type="dxa" w:w="4334"/>
          </w:tcPr>
          <w:p>
            <w:r>
              <w:rPr>
                <w:rFonts w:ascii="Times New Roman" w:hAnsi="Times New Roman"/>
                <w:b/>
                <w:sz w:val="26"/>
              </w:rPr>
              <w:t>(25BCE10038)</w:t>
            </w:r>
          </w:p>
        </w:tc>
      </w:tr>
      <w:tr>
        <w:tc>
          <w:tcPr>
            <w:tcW w:type="dxa" w:w="4334"/>
          </w:tcPr>
          <w:p>
            <w:r>
              <w:rPr>
                <w:rFonts w:ascii="Times New Roman" w:hAnsi="Times New Roman"/>
                <w:b/>
                <w:sz w:val="26"/>
              </w:rPr>
              <w:t>Vidit Choudhary</w:t>
            </w:r>
          </w:p>
        </w:tc>
        <w:tc>
          <w:tcPr>
            <w:tcW w:type="dxa" w:w="4334"/>
          </w:tcPr>
          <w:p>
            <w:r>
              <w:rPr>
                <w:rFonts w:ascii="Times New Roman" w:hAnsi="Times New Roman"/>
                <w:b/>
                <w:sz w:val="26"/>
              </w:rPr>
              <w:t>(25BCE10749)</w:t>
            </w:r>
          </w:p>
        </w:tc>
      </w:tr>
      <w:tr>
        <w:tc>
          <w:tcPr>
            <w:tcW w:type="dxa" w:w="4334"/>
          </w:tcPr>
          <w:p>
            <w:r>
              <w:rPr>
                <w:rFonts w:ascii="Times New Roman" w:hAnsi="Times New Roman"/>
                <w:b/>
                <w:sz w:val="26"/>
              </w:rPr>
              <w:t>Saransh Mathur</w:t>
            </w:r>
          </w:p>
        </w:tc>
        <w:tc>
          <w:tcPr>
            <w:tcW w:type="dxa" w:w="4334"/>
          </w:tcPr>
          <w:p>
            <w:r>
              <w:rPr>
                <w:rFonts w:ascii="Times New Roman" w:hAnsi="Times New Roman"/>
                <w:b/>
                <w:sz w:val="26"/>
              </w:rPr>
              <w:t>(25BCE10354)</w:t>
            </w:r>
          </w:p>
        </w:tc>
      </w:tr>
      <w:tr>
        <w:tc>
          <w:tcPr>
            <w:tcW w:type="dxa" w:w="4334"/>
          </w:tcPr>
          <w:p>
            <w:r>
              <w:rPr>
                <w:rFonts w:ascii="Times New Roman" w:hAnsi="Times New Roman"/>
                <w:b/>
                <w:sz w:val="26"/>
              </w:rPr>
              <w:t>Somya Bhardwaj</w:t>
            </w:r>
          </w:p>
        </w:tc>
        <w:tc>
          <w:tcPr>
            <w:tcW w:type="dxa" w:w="4334"/>
          </w:tcPr>
          <w:p>
            <w:r>
              <w:rPr>
                <w:rFonts w:ascii="Times New Roman" w:hAnsi="Times New Roman"/>
                <w:b/>
                <w:sz w:val="26"/>
              </w:rPr>
              <w:t>(25BCE10409)</w:t>
            </w:r>
          </w:p>
        </w:tc>
      </w:tr>
    </w:tbl>
    <w:p>
      <w:pPr>
        <w:spacing w:before="360" w:after="160" w:line="360" w:lineRule="auto"/>
        <w:jc w:val="center"/>
      </w:pPr>
      <w:r>
        <w:rPr>
          <w:rFonts w:ascii="Times New Roman" w:hAnsi="Times New Roman"/>
          <w:b w:val="0"/>
          <w:i/>
          <w:sz w:val="28"/>
        </w:rPr>
        <w:br/>
        <w:t>in partial fulfillment for the award of the degree of</w:t>
      </w:r>
    </w:p>
    <w:p>
      <w:pPr>
        <w:spacing w:before="80" w:after="80" w:line="360" w:lineRule="auto"/>
        <w:jc w:val="center"/>
      </w:pPr>
      <w:r>
        <w:rPr>
          <w:rFonts w:ascii="Times New Roman" w:hAnsi="Times New Roman"/>
          <w:b/>
          <w:i w:val="0"/>
          <w:sz w:val="32"/>
        </w:rPr>
        <w:t>BACHELOR OF TECHNOLOGY</w:t>
      </w:r>
    </w:p>
    <w:p>
      <w:pPr>
        <w:spacing w:before="40" w:after="360" w:line="360" w:lineRule="auto"/>
        <w:jc w:val="center"/>
      </w:pPr>
      <w:r>
        <w:rPr>
          <w:rFonts w:ascii="Times New Roman" w:hAnsi="Times New Roman"/>
          <w:b/>
          <w:i w:val="0"/>
          <w:sz w:val="28"/>
        </w:rPr>
        <w:t>COMPUTER SCIENCE AND ENGINEERING</w:t>
      </w:r>
    </w:p>
    <w:p>
      <w:pPr>
        <w:spacing w:before="280" w:after="280" w:line="312" w:lineRule="auto"/>
        <w:jc w:val="center"/>
      </w:pPr>
      <w:r>
        <w:rPr>
          <w:rFonts w:ascii="Times New Roman" w:hAnsi="Times New Roman"/>
          <w:b/>
          <w:i w:val="0"/>
          <w:sz w:val="28"/>
        </w:rPr>
        <w:t>SCHOOL OF COMPUTING SCIENCE AND ENGINEERING</w:t>
        <w:br/>
        <w:t>VIT BHOPAL UNIVERSITY</w:t>
        <w:br/>
        <w:t>KOTHRIKALAN, SEHORE, MADHYA PRADESH - 466114</w:t>
      </w:r>
    </w:p>
    <w:p>
      <w:pPr>
        <w:spacing w:before="200" w:after="0" w:line="360" w:lineRule="auto"/>
        <w:jc w:val="center"/>
      </w:pPr>
      <w:r>
        <w:rPr>
          <w:rFonts w:ascii="Times New Roman" w:hAnsi="Times New Roman"/>
          <w:b/>
          <w:i w:val="0"/>
          <w:sz w:val="28"/>
        </w:rPr>
        <w:t>OCTOBER 2026</w:t>
      </w:r>
    </w:p>
    <w:p>
      <w:r>
        <w:br w:type="page"/>
      </w:r>
    </w:p>
    <w:p>
      <w:pPr>
        <w:spacing w:before="200" w:after="280" w:line="360" w:lineRule="auto"/>
        <w:jc w:val="center"/>
      </w:pPr>
      <w:r>
        <w:rPr>
          <w:rFonts w:ascii="Times New Roman" w:hAnsi="Times New Roman"/>
          <w:b/>
          <w:i w:val="0"/>
          <w:sz w:val="28"/>
        </w:rPr>
        <w:t>VIT BHOPAL UNIVERSITY, KOTHRIKALAN, SEHORE</w:t>
        <w:br/>
        <w:t>MADHYA PRADESH - 466114</w:t>
      </w:r>
    </w:p>
    <w:p>
      <w:pPr>
        <w:spacing w:before="200" w:after="400" w:line="360" w:lineRule="auto"/>
        <w:jc w:val="center"/>
      </w:pPr>
      <w:r>
        <w:rPr>
          <w:rFonts w:ascii="Times New Roman" w:hAnsi="Times New Roman"/>
          <w:b/>
          <w:i w:val="0"/>
          <w:sz w:val="36"/>
        </w:rPr>
        <w:t>BONAFIDE CERTIFICATE</w:t>
      </w:r>
    </w:p>
    <w:p>
      <w:pPr>
        <w:spacing w:before="200" w:after="720" w:line="360" w:lineRule="auto"/>
        <w:jc w:val="both"/>
      </w:pPr>
      <w:r>
        <w:rPr>
          <w:rFonts w:ascii="Times New Roman" w:hAnsi="Times New Roman"/>
          <w:b w:val="0"/>
          <w:i w:val="0"/>
          <w:sz w:val="24"/>
        </w:rPr>
        <w:t>Certified that this project report titled "A PROPOSED DESIGN AND IMPLEMENTATION OF DEEP LEARNING BASED PULMONARY TUBERCULOSIS DETECTION SYSTEM FROM CHEST RADIOGRAPHS USING TRANSFER LEARNING" is the bonafide work of Ishan Choudhary (25BCE10753), Khush Gupta (25BCE10038), Vidit Choudhary (25BCE10749), Saransh Mathur (25BCE10354), and Somya Bhardwaj (25BCE10409) who carried out the project work under my supervision. Certified further that to the best of my knowledge the work reported at this time does not form part of any other project or research work based on which a degree or award was conferred on an earlier occasion on this or any other candidate.</w:t>
      </w:r>
    </w:p>
    <w:tbl>
      <w:tblPr>
        <w:tblW w:type="auto" w:w="0"/>
        <w:jc w:val="center"/>
        <w:tblLook w:firstColumn="1" w:firstRow="1" w:lastColumn="0" w:lastRow="0" w:noHBand="0" w:noVBand="1" w:val="04A0"/>
      </w:tblPr>
      <w:tblGrid>
        <w:gridCol w:w="4608"/>
        <w:gridCol w:w="4608"/>
      </w:tblGrid>
      <w:tr>
        <w:tc>
          <w:tcPr>
            <w:tcW w:type="dxa" w:w="4334"/>
          </w:tcPr>
          <w:p>
            <w:r>
              <w:rPr>
                <w:rFonts w:ascii="Times New Roman" w:hAnsi="Times New Roman"/>
                <w:sz w:val="22"/>
              </w:rPr>
              <w:t>PROGRAM CHAIR</w:t>
              <w:br/>
              <w:t>(PC Signed not Required)</w:t>
              <w:br/>
              <w:t>School of Computing Science and Engineering</w:t>
              <w:br/>
              <w:t>VIT Bhopal University</w:t>
            </w:r>
          </w:p>
        </w:tc>
        <w:tc>
          <w:tcPr>
            <w:tcW w:type="dxa" w:w="4334"/>
          </w:tcPr>
          <w:p>
            <w:r>
              <w:rPr>
                <w:rFonts w:ascii="Times New Roman" w:hAnsi="Times New Roman"/>
                <w:sz w:val="22"/>
              </w:rPr>
              <w:t>PROJECT GUIDE</w:t>
              <w:br/>
              <w:t>&lt;&lt;Faculty Guide Name&gt;&gt;</w:t>
              <w:br/>
              <w:t>&lt;&lt;Designation&gt;&gt;, Dept. of CSE</w:t>
              <w:br/>
              <w:t>School of Computing Science and Engineering</w:t>
              <w:br/>
              <w:t>VIT Bhopal University</w:t>
            </w:r>
          </w:p>
        </w:tc>
      </w:tr>
      <w:tr>
        <w:tc>
          <w:tcPr>
            <w:tcW w:type="dxa" w:w="4334"/>
          </w:tcPr>
          <w:p/>
        </w:tc>
        <w:tc>
          <w:tcPr>
            <w:tcW w:type="dxa" w:w="4334"/>
          </w:tcPr>
          <w:p/>
        </w:tc>
      </w:tr>
    </w:tbl>
    <w:p>
      <w:pPr>
        <w:spacing w:before="600" w:after="0" w:line="360" w:lineRule="auto"/>
        <w:jc w:val="left"/>
      </w:pPr>
      <w:r>
        <w:rPr>
          <w:rFonts w:ascii="Times New Roman" w:hAnsi="Times New Roman"/>
          <w:b/>
          <w:i w:val="0"/>
          <w:sz w:val="24"/>
        </w:rPr>
        <w:br/>
        <w:t>The Project Exhibition I Examination is held on ____________________</w:t>
      </w:r>
    </w:p>
    <w:p>
      <w:r>
        <w:br w:type="page"/>
      </w:r>
    </w:p>
    <w:p>
      <w:pPr>
        <w:keepNext/>
        <w:spacing w:before="360" w:after="160"/>
      </w:pPr>
      <w:r>
        <w:rPr>
          <w:rFonts w:ascii="Times New Roman" w:hAnsi="Times New Roman"/>
          <w:b/>
          <w:color w:val="000000"/>
          <w:sz w:val="32"/>
        </w:rPr>
        <w:t>ACKNOWLEDGEMENT</w:t>
      </w:r>
    </w:p>
    <w:p>
      <w:pPr>
        <w:spacing w:before="200" w:after="280" w:line="360" w:lineRule="auto"/>
        <w:jc w:val="both"/>
      </w:pPr>
      <w:r>
        <w:rPr>
          <w:rFonts w:ascii="Times New Roman" w:hAnsi="Times New Roman"/>
          <w:b w:val="0"/>
          <w:i w:val="0"/>
          <w:sz w:val="24"/>
        </w:rPr>
        <w:t>First and foremost, we would like to thank the Lord Almighty for His presence and immense blessings throughout our project work.</w:t>
        <w:br/>
        <w:br/>
        <w:t>We wish to express our heartfelt gratitude to the Dean and Head of the Department, School of Computing Science and Engineering, VIT Bhopal University, for their valuable support, encouragement, and for providing a wonderful academic environment to carry out this work successfully.</w:t>
        <w:br/>
        <w:br/>
        <w:t>We would like to extend our sincere thanks to our Project Guide, for continually guiding and actively participating in our project, giving valuable suggestions and critical feedback at every stage of development.</w:t>
        <w:br/>
        <w:br/>
        <w:t>We also thank all the faculty members and technical staff of the School of Computing Science and Engineering, who extended their support directly or indirectly.</w:t>
        <w:br/>
        <w:br/>
        <w:t>Finally, we are deeply indebted to our parents and friends for their constant patience, motivation, and support while we worked day and night to make this project a success.</w:t>
      </w:r>
    </w:p>
    <w:p>
      <w:r>
        <w:br w:type="page"/>
      </w:r>
    </w:p>
    <w:p>
      <w:pPr>
        <w:keepNext/>
        <w:spacing w:before="360" w:after="160"/>
      </w:pPr>
      <w:r>
        <w:rPr>
          <w:rFonts w:ascii="Times New Roman" w:hAnsi="Times New Roman"/>
          <w:b/>
          <w:color w:val="000000"/>
          <w:sz w:val="32"/>
        </w:rPr>
        <w:t>LIST OF ABBREVIATIONS</w:t>
      </w:r>
    </w:p>
    <w:tbl>
      <w:tblPr>
        <w:tblW w:type="auto" w:w="0"/>
        <w:jc w:val="center"/>
        <w:tblLook w:firstColumn="1" w:firstRow="1" w:lastColumn="0" w:lastRow="0" w:noHBand="0" w:noVBand="1" w:val="04A0"/>
      </w:tblPr>
      <w:tblGrid>
        <w:gridCol w:w="2592"/>
        <w:gridCol w:w="7056"/>
      </w:tblGrid>
      <w:tr>
        <w:tc>
          <w:tcPr>
            <w:tcW w:type="dxa" w:w="4334"/>
          </w:tcPr>
          <w:p>
            <w:r>
              <w:rPr>
                <w:b/>
              </w:rPr>
              <w:t>Abbreviation</w:t>
            </w:r>
          </w:p>
        </w:tc>
        <w:tc>
          <w:tcPr>
            <w:tcW w:type="dxa" w:w="4334"/>
          </w:tcPr>
          <w:p>
            <w:r>
              <w:rPr>
                <w:b/>
              </w:rPr>
              <w:t>Meaning</w:t>
            </w:r>
          </w:p>
        </w:tc>
      </w:tr>
      <w:tr>
        <w:tc>
          <w:tcPr>
            <w:tcW w:type="dxa" w:w="4334"/>
          </w:tcPr>
          <w:p>
            <w:r>
              <w:rPr>
                <w:sz w:val="22"/>
              </w:rPr>
              <w:t>AI</w:t>
            </w:r>
          </w:p>
        </w:tc>
        <w:tc>
          <w:tcPr>
            <w:tcW w:type="dxa" w:w="4334"/>
          </w:tcPr>
          <w:p>
            <w:r>
              <w:rPr>
                <w:sz w:val="22"/>
              </w:rPr>
              <w:t>Artificial Intelligence</w:t>
            </w:r>
          </w:p>
        </w:tc>
      </w:tr>
      <w:tr>
        <w:tc>
          <w:tcPr>
            <w:tcW w:type="dxa" w:w="4334"/>
          </w:tcPr>
          <w:p>
            <w:r>
              <w:rPr>
                <w:sz w:val="22"/>
              </w:rPr>
              <w:t>AUC</w:t>
            </w:r>
          </w:p>
        </w:tc>
        <w:tc>
          <w:tcPr>
            <w:tcW w:type="dxa" w:w="4334"/>
          </w:tcPr>
          <w:p>
            <w:r>
              <w:rPr>
                <w:sz w:val="22"/>
              </w:rPr>
              <w:t>Area Under the Curve</w:t>
            </w:r>
          </w:p>
        </w:tc>
      </w:tr>
      <w:tr>
        <w:tc>
          <w:tcPr>
            <w:tcW w:type="dxa" w:w="4334"/>
          </w:tcPr>
          <w:p>
            <w:r>
              <w:rPr>
                <w:sz w:val="22"/>
              </w:rPr>
              <w:t>CAD</w:t>
            </w:r>
          </w:p>
        </w:tc>
        <w:tc>
          <w:tcPr>
            <w:tcW w:type="dxa" w:w="4334"/>
          </w:tcPr>
          <w:p>
            <w:r>
              <w:rPr>
                <w:sz w:val="22"/>
              </w:rPr>
              <w:t>Computer-Aided Detection</w:t>
            </w:r>
          </w:p>
        </w:tc>
      </w:tr>
      <w:tr>
        <w:tc>
          <w:tcPr>
            <w:tcW w:type="dxa" w:w="4334"/>
          </w:tcPr>
          <w:p>
            <w:r>
              <w:rPr>
                <w:sz w:val="22"/>
              </w:rPr>
              <w:t>CNN</w:t>
            </w:r>
          </w:p>
        </w:tc>
        <w:tc>
          <w:tcPr>
            <w:tcW w:type="dxa" w:w="4334"/>
          </w:tcPr>
          <w:p>
            <w:r>
              <w:rPr>
                <w:sz w:val="22"/>
              </w:rPr>
              <w:t>Convolutional Neural Network</w:t>
            </w:r>
          </w:p>
        </w:tc>
      </w:tr>
      <w:tr>
        <w:tc>
          <w:tcPr>
            <w:tcW w:type="dxa" w:w="4334"/>
          </w:tcPr>
          <w:p>
            <w:r>
              <w:rPr>
                <w:sz w:val="22"/>
              </w:rPr>
              <w:t>CXR</w:t>
            </w:r>
          </w:p>
        </w:tc>
        <w:tc>
          <w:tcPr>
            <w:tcW w:type="dxa" w:w="4334"/>
          </w:tcPr>
          <w:p>
            <w:r>
              <w:rPr>
                <w:sz w:val="22"/>
              </w:rPr>
              <w:t>Chest X-Ray</w:t>
            </w:r>
          </w:p>
        </w:tc>
      </w:tr>
      <w:tr>
        <w:tc>
          <w:tcPr>
            <w:tcW w:type="dxa" w:w="4334"/>
          </w:tcPr>
          <w:p>
            <w:r>
              <w:rPr>
                <w:sz w:val="22"/>
              </w:rPr>
              <w:t>DICOM</w:t>
            </w:r>
          </w:p>
        </w:tc>
        <w:tc>
          <w:tcPr>
            <w:tcW w:type="dxa" w:w="4334"/>
          </w:tcPr>
          <w:p>
            <w:r>
              <w:rPr>
                <w:sz w:val="22"/>
              </w:rPr>
              <w:t>Digital Imaging and Communications in Medicine</w:t>
            </w:r>
          </w:p>
        </w:tc>
      </w:tr>
      <w:tr>
        <w:tc>
          <w:tcPr>
            <w:tcW w:type="dxa" w:w="4334"/>
          </w:tcPr>
          <w:p>
            <w:r>
              <w:rPr>
                <w:sz w:val="22"/>
              </w:rPr>
              <w:t>EDA</w:t>
            </w:r>
          </w:p>
        </w:tc>
        <w:tc>
          <w:tcPr>
            <w:tcW w:type="dxa" w:w="4334"/>
          </w:tcPr>
          <w:p>
            <w:r>
              <w:rPr>
                <w:sz w:val="22"/>
              </w:rPr>
              <w:t>Exploratory Data Analysis</w:t>
            </w:r>
          </w:p>
        </w:tc>
      </w:tr>
      <w:tr>
        <w:tc>
          <w:tcPr>
            <w:tcW w:type="dxa" w:w="4334"/>
          </w:tcPr>
          <w:p>
            <w:r>
              <w:rPr>
                <w:sz w:val="22"/>
              </w:rPr>
              <w:t>FN</w:t>
            </w:r>
          </w:p>
        </w:tc>
        <w:tc>
          <w:tcPr>
            <w:tcW w:type="dxa" w:w="4334"/>
          </w:tcPr>
          <w:p>
            <w:r>
              <w:rPr>
                <w:sz w:val="22"/>
              </w:rPr>
              <w:t>False Negative (Infected patient missed by model)</w:t>
            </w:r>
          </w:p>
        </w:tc>
      </w:tr>
      <w:tr>
        <w:tc>
          <w:tcPr>
            <w:tcW w:type="dxa" w:w="4334"/>
          </w:tcPr>
          <w:p>
            <w:r>
              <w:rPr>
                <w:sz w:val="22"/>
              </w:rPr>
              <w:t>FP</w:t>
            </w:r>
          </w:p>
        </w:tc>
        <w:tc>
          <w:tcPr>
            <w:tcW w:type="dxa" w:w="4334"/>
          </w:tcPr>
          <w:p>
            <w:r>
              <w:rPr>
                <w:sz w:val="22"/>
              </w:rPr>
              <w:t>False Positive (Healthy patient incorrectly flagged)</w:t>
            </w:r>
          </w:p>
        </w:tc>
      </w:tr>
      <w:tr>
        <w:tc>
          <w:tcPr>
            <w:tcW w:type="dxa" w:w="4334"/>
          </w:tcPr>
          <w:p>
            <w:r>
              <w:rPr>
                <w:sz w:val="22"/>
              </w:rPr>
              <w:t>GAP2D</w:t>
            </w:r>
          </w:p>
        </w:tc>
        <w:tc>
          <w:tcPr>
            <w:tcW w:type="dxa" w:w="4334"/>
          </w:tcPr>
          <w:p>
            <w:r>
              <w:rPr>
                <w:sz w:val="22"/>
              </w:rPr>
              <w:t>Global Average Pooling 2D</w:t>
            </w:r>
          </w:p>
        </w:tc>
      </w:tr>
      <w:tr>
        <w:tc>
          <w:tcPr>
            <w:tcW w:type="dxa" w:w="4334"/>
          </w:tcPr>
          <w:p>
            <w:r>
              <w:rPr>
                <w:sz w:val="22"/>
              </w:rPr>
              <w:t>HTML</w:t>
            </w:r>
          </w:p>
        </w:tc>
        <w:tc>
          <w:tcPr>
            <w:tcW w:type="dxa" w:w="4334"/>
          </w:tcPr>
          <w:p>
            <w:r>
              <w:rPr>
                <w:sz w:val="22"/>
              </w:rPr>
              <w:t>HyperText Markup Language</w:t>
            </w:r>
          </w:p>
        </w:tc>
      </w:tr>
      <w:tr>
        <w:tc>
          <w:tcPr>
            <w:tcW w:type="dxa" w:w="4334"/>
          </w:tcPr>
          <w:p>
            <w:r>
              <w:rPr>
                <w:sz w:val="22"/>
              </w:rPr>
              <w:t>CSS</w:t>
            </w:r>
          </w:p>
        </w:tc>
        <w:tc>
          <w:tcPr>
            <w:tcW w:type="dxa" w:w="4334"/>
          </w:tcPr>
          <w:p>
            <w:r>
              <w:rPr>
                <w:sz w:val="22"/>
              </w:rPr>
              <w:t>Cascading Style Sheets</w:t>
            </w:r>
          </w:p>
        </w:tc>
      </w:tr>
      <w:tr>
        <w:tc>
          <w:tcPr>
            <w:tcW w:type="dxa" w:w="4334"/>
          </w:tcPr>
          <w:p>
            <w:r>
              <w:rPr>
                <w:sz w:val="22"/>
              </w:rPr>
              <w:t>JS</w:t>
            </w:r>
          </w:p>
        </w:tc>
        <w:tc>
          <w:tcPr>
            <w:tcW w:type="dxa" w:w="4334"/>
          </w:tcPr>
          <w:p>
            <w:r>
              <w:rPr>
                <w:sz w:val="22"/>
              </w:rPr>
              <w:t>JavaScript</w:t>
            </w:r>
          </w:p>
        </w:tc>
      </w:tr>
      <w:tr>
        <w:tc>
          <w:tcPr>
            <w:tcW w:type="dxa" w:w="4334"/>
          </w:tcPr>
          <w:p>
            <w:r>
              <w:rPr>
                <w:sz w:val="22"/>
              </w:rPr>
              <w:t>NPV</w:t>
            </w:r>
          </w:p>
        </w:tc>
        <w:tc>
          <w:tcPr>
            <w:tcW w:type="dxa" w:w="4334"/>
          </w:tcPr>
          <w:p>
            <w:r>
              <w:rPr>
                <w:sz w:val="22"/>
              </w:rPr>
              <w:t>Negative Predictive Value</w:t>
            </w:r>
          </w:p>
        </w:tc>
      </w:tr>
      <w:tr>
        <w:tc>
          <w:tcPr>
            <w:tcW w:type="dxa" w:w="4334"/>
          </w:tcPr>
          <w:p>
            <w:r>
              <w:rPr>
                <w:sz w:val="22"/>
              </w:rPr>
              <w:t>PHC</w:t>
            </w:r>
          </w:p>
        </w:tc>
        <w:tc>
          <w:tcPr>
            <w:tcW w:type="dxa" w:w="4334"/>
          </w:tcPr>
          <w:p>
            <w:r>
              <w:rPr>
                <w:sz w:val="22"/>
              </w:rPr>
              <w:t>Primary Healthcare Center</w:t>
            </w:r>
          </w:p>
        </w:tc>
      </w:tr>
      <w:tr>
        <w:tc>
          <w:tcPr>
            <w:tcW w:type="dxa" w:w="4334"/>
          </w:tcPr>
          <w:p>
            <w:r>
              <w:rPr>
                <w:sz w:val="22"/>
              </w:rPr>
              <w:t>ReLU</w:t>
            </w:r>
          </w:p>
        </w:tc>
        <w:tc>
          <w:tcPr>
            <w:tcW w:type="dxa" w:w="4334"/>
          </w:tcPr>
          <w:p>
            <w:r>
              <w:rPr>
                <w:sz w:val="22"/>
              </w:rPr>
              <w:t>Rectified Linear Unit</w:t>
            </w:r>
          </w:p>
        </w:tc>
      </w:tr>
      <w:tr>
        <w:tc>
          <w:tcPr>
            <w:tcW w:type="dxa" w:w="4334"/>
          </w:tcPr>
          <w:p>
            <w:r>
              <w:rPr>
                <w:sz w:val="22"/>
              </w:rPr>
              <w:t>ROC</w:t>
            </w:r>
          </w:p>
        </w:tc>
        <w:tc>
          <w:tcPr>
            <w:tcW w:type="dxa" w:w="4334"/>
          </w:tcPr>
          <w:p>
            <w:r>
              <w:rPr>
                <w:sz w:val="22"/>
              </w:rPr>
              <w:t>Receiver Operating Characteristic</w:t>
            </w:r>
          </w:p>
        </w:tc>
      </w:tr>
      <w:tr>
        <w:tc>
          <w:tcPr>
            <w:tcW w:type="dxa" w:w="4334"/>
          </w:tcPr>
          <w:p>
            <w:r>
              <w:rPr>
                <w:sz w:val="22"/>
              </w:rPr>
              <w:t>TB</w:t>
            </w:r>
          </w:p>
        </w:tc>
        <w:tc>
          <w:tcPr>
            <w:tcW w:type="dxa" w:w="4334"/>
          </w:tcPr>
          <w:p>
            <w:r>
              <w:rPr>
                <w:sz w:val="22"/>
              </w:rPr>
              <w:t>Tuberculosis</w:t>
            </w:r>
          </w:p>
        </w:tc>
      </w:tr>
      <w:tr>
        <w:tc>
          <w:tcPr>
            <w:tcW w:type="dxa" w:w="4334"/>
          </w:tcPr>
          <w:p>
            <w:r>
              <w:rPr>
                <w:sz w:val="22"/>
              </w:rPr>
              <w:t>TN</w:t>
            </w:r>
          </w:p>
        </w:tc>
        <w:tc>
          <w:tcPr>
            <w:tcW w:type="dxa" w:w="4334"/>
          </w:tcPr>
          <w:p>
            <w:r>
              <w:rPr>
                <w:sz w:val="22"/>
              </w:rPr>
              <w:t>True Negative (Healthy patient correctly cleared)</w:t>
            </w:r>
          </w:p>
        </w:tc>
      </w:tr>
      <w:tr>
        <w:tc>
          <w:tcPr>
            <w:tcW w:type="dxa" w:w="4334"/>
          </w:tcPr>
          <w:p>
            <w:r>
              <w:rPr>
                <w:sz w:val="22"/>
              </w:rPr>
              <w:t>TP</w:t>
            </w:r>
          </w:p>
        </w:tc>
        <w:tc>
          <w:tcPr>
            <w:tcW w:type="dxa" w:w="4334"/>
          </w:tcPr>
          <w:p>
            <w:r>
              <w:rPr>
                <w:sz w:val="22"/>
              </w:rPr>
              <w:t>True Positive (TB patient correctly detected)</w:t>
            </w:r>
          </w:p>
        </w:tc>
      </w:tr>
      <w:tr>
        <w:tc>
          <w:tcPr>
            <w:tcW w:type="dxa" w:w="4334"/>
          </w:tcPr>
          <w:p>
            <w:r>
              <w:rPr>
                <w:sz w:val="22"/>
              </w:rPr>
              <w:t>VGG16</w:t>
            </w:r>
          </w:p>
        </w:tc>
        <w:tc>
          <w:tcPr>
            <w:tcW w:type="dxa" w:w="4334"/>
          </w:tcPr>
          <w:p>
            <w:r>
              <w:rPr>
                <w:sz w:val="22"/>
              </w:rPr>
              <w:t>Visual Geometry Group 16-Layer Deep CNN</w:t>
            </w:r>
          </w:p>
        </w:tc>
      </w:tr>
      <w:tr>
        <w:tc>
          <w:tcPr>
            <w:tcW w:type="dxa" w:w="4334"/>
          </w:tcPr>
          <w:p>
            <w:r>
              <w:rPr>
                <w:sz w:val="22"/>
              </w:rPr>
              <w:t>WHO</w:t>
            </w:r>
          </w:p>
        </w:tc>
        <w:tc>
          <w:tcPr>
            <w:tcW w:type="dxa" w:w="4334"/>
          </w:tcPr>
          <w:p>
            <w:r>
              <w:rPr>
                <w:sz w:val="22"/>
              </w:rPr>
              <w:t>World Health Organization</w:t>
            </w:r>
          </w:p>
        </w:tc>
      </w:tr>
    </w:tbl>
    <w:p>
      <w:r>
        <w:br w:type="page"/>
      </w:r>
    </w:p>
    <w:p>
      <w:pPr>
        <w:keepNext/>
        <w:spacing w:before="360" w:after="160"/>
      </w:pPr>
      <w:r>
        <w:rPr>
          <w:rFonts w:ascii="Times New Roman" w:hAnsi="Times New Roman"/>
          <w:b/>
          <w:color w:val="000000"/>
          <w:sz w:val="32"/>
        </w:rPr>
        <w:t>LIST OF FIGURES AND GRAPHS</w:t>
      </w:r>
    </w:p>
    <w:tbl>
      <w:tblPr>
        <w:tblW w:type="auto" w:w="0"/>
        <w:jc w:val="center"/>
        <w:tblLook w:firstColumn="1" w:firstRow="1" w:lastColumn="0" w:lastRow="0" w:noHBand="0" w:noVBand="1" w:val="04A0"/>
      </w:tblPr>
      <w:tblGrid>
        <w:gridCol w:w="2160"/>
        <w:gridCol w:w="6048"/>
        <w:gridCol w:w="1440"/>
      </w:tblGrid>
      <w:tr>
        <w:tc>
          <w:tcPr>
            <w:tcW w:type="dxa" w:w="2890"/>
          </w:tcPr>
          <w:p>
            <w:r>
              <w:rPr>
                <w:b/>
              </w:rPr>
              <w:t>FIGURE NO.</w:t>
            </w:r>
          </w:p>
        </w:tc>
        <w:tc>
          <w:tcPr>
            <w:tcW w:type="dxa" w:w="2890"/>
          </w:tcPr>
          <w:p>
            <w:r>
              <w:rPr>
                <w:b/>
              </w:rPr>
              <w:t>TITLE</w:t>
            </w:r>
          </w:p>
        </w:tc>
        <w:tc>
          <w:tcPr>
            <w:tcW w:type="dxa" w:w="2890"/>
          </w:tcPr>
          <w:p>
            <w:r>
              <w:rPr>
                <w:b/>
              </w:rPr>
              <w:t>PAGE NO.</w:t>
            </w:r>
          </w:p>
        </w:tc>
      </w:tr>
      <w:tr>
        <w:tc>
          <w:tcPr>
            <w:tcW w:type="dxa" w:w="2890"/>
          </w:tcPr>
          <w:p>
            <w:r>
              <w:rPr>
                <w:sz w:val="21"/>
              </w:rPr>
              <w:t>Figure 3.1</w:t>
            </w:r>
          </w:p>
        </w:tc>
        <w:tc>
          <w:tcPr>
            <w:tcW w:type="dxa" w:w="2890"/>
          </w:tcPr>
          <w:p>
            <w:r>
              <w:rPr>
                <w:sz w:val="21"/>
              </w:rPr>
              <w:t>Sample Chest X-Rays: Healthy Lungs vs Tuberculosis Lungs</w:t>
            </w:r>
          </w:p>
        </w:tc>
        <w:tc>
          <w:tcPr>
            <w:tcW w:type="dxa" w:w="2890"/>
          </w:tcPr>
          <w:p>
            <w:r>
              <w:rPr>
                <w:sz w:val="21"/>
              </w:rPr>
              <w:t>8</w:t>
            </w:r>
          </w:p>
        </w:tc>
      </w:tr>
      <w:tr>
        <w:tc>
          <w:tcPr>
            <w:tcW w:type="dxa" w:w="2890"/>
          </w:tcPr>
          <w:p>
            <w:r>
              <w:rPr>
                <w:sz w:val="21"/>
              </w:rPr>
              <w:t>Figure 3.2</w:t>
            </w:r>
          </w:p>
        </w:tc>
        <w:tc>
          <w:tcPr>
            <w:tcW w:type="dxa" w:w="2890"/>
          </w:tcPr>
          <w:p>
            <w:r>
              <w:rPr>
                <w:sz w:val="21"/>
              </w:rPr>
              <w:t>Dataset Class Distribution (3,500 Normal vs 700 Tuberculosis)</w:t>
            </w:r>
          </w:p>
        </w:tc>
        <w:tc>
          <w:tcPr>
            <w:tcW w:type="dxa" w:w="2890"/>
          </w:tcPr>
          <w:p>
            <w:r>
              <w:rPr>
                <w:sz w:val="21"/>
              </w:rPr>
              <w:t>9</w:t>
            </w:r>
          </w:p>
        </w:tc>
      </w:tr>
      <w:tr>
        <w:tc>
          <w:tcPr>
            <w:tcW w:type="dxa" w:w="2890"/>
          </w:tcPr>
          <w:p>
            <w:r>
              <w:rPr>
                <w:sz w:val="21"/>
              </w:rPr>
              <w:t>Figure 4.1</w:t>
            </w:r>
          </w:p>
        </w:tc>
        <w:tc>
          <w:tcPr>
            <w:tcW w:type="dxa" w:w="2890"/>
          </w:tcPr>
          <w:p>
            <w:r>
              <w:rPr>
                <w:sz w:val="21"/>
              </w:rPr>
              <w:t>End-to-End VGG16 Transfer Learning Architecture and Web Pipeline</w:t>
            </w:r>
          </w:p>
        </w:tc>
        <w:tc>
          <w:tcPr>
            <w:tcW w:type="dxa" w:w="2890"/>
          </w:tcPr>
          <w:p>
            <w:r>
              <w:rPr>
                <w:sz w:val="21"/>
              </w:rPr>
              <w:t>13</w:t>
            </w:r>
          </w:p>
        </w:tc>
      </w:tr>
      <w:tr>
        <w:tc>
          <w:tcPr>
            <w:tcW w:type="dxa" w:w="2890"/>
          </w:tcPr>
          <w:p>
            <w:r>
              <w:rPr>
                <w:sz w:val="21"/>
              </w:rPr>
              <w:t>Figure 4.2</w:t>
            </w:r>
          </w:p>
        </w:tc>
        <w:tc>
          <w:tcPr>
            <w:tcW w:type="dxa" w:w="2890"/>
          </w:tcPr>
          <w:p>
            <w:r>
              <w:rPr>
                <w:sz w:val="21"/>
              </w:rPr>
              <w:t>Interactive Web Application User Interface Design</w:t>
            </w:r>
          </w:p>
        </w:tc>
        <w:tc>
          <w:tcPr>
            <w:tcW w:type="dxa" w:w="2890"/>
          </w:tcPr>
          <w:p>
            <w:r>
              <w:rPr>
                <w:sz w:val="21"/>
              </w:rPr>
              <w:t>17</w:t>
            </w:r>
          </w:p>
        </w:tc>
      </w:tr>
      <w:tr>
        <w:tc>
          <w:tcPr>
            <w:tcW w:type="dxa" w:w="2890"/>
          </w:tcPr>
          <w:p>
            <w:r>
              <w:rPr>
                <w:sz w:val="21"/>
              </w:rPr>
              <w:t>Figure 5.1</w:t>
            </w:r>
          </w:p>
        </w:tc>
        <w:tc>
          <w:tcPr>
            <w:tcW w:type="dxa" w:w="2890"/>
          </w:tcPr>
          <w:p>
            <w:r>
              <w:rPr>
                <w:sz w:val="21"/>
              </w:rPr>
              <w:t>Training and Validation Convergence Curves (Accuracy &amp; Loss)</w:t>
            </w:r>
          </w:p>
        </w:tc>
        <w:tc>
          <w:tcPr>
            <w:tcW w:type="dxa" w:w="2890"/>
          </w:tcPr>
          <w:p>
            <w:r>
              <w:rPr>
                <w:sz w:val="21"/>
              </w:rPr>
              <w:t>21</w:t>
            </w:r>
          </w:p>
        </w:tc>
      </w:tr>
      <w:tr>
        <w:tc>
          <w:tcPr>
            <w:tcW w:type="dxa" w:w="2890"/>
          </w:tcPr>
          <w:p>
            <w:r>
              <w:rPr>
                <w:sz w:val="21"/>
              </w:rPr>
              <w:t>Figure 5.2</w:t>
            </w:r>
          </w:p>
        </w:tc>
        <w:tc>
          <w:tcPr>
            <w:tcW w:type="dxa" w:w="2890"/>
          </w:tcPr>
          <w:p>
            <w:r>
              <w:rPr>
                <w:sz w:val="21"/>
              </w:rPr>
              <w:t>Confusion Matrix on 631 Held-Out Unseen Test Radiographs</w:t>
            </w:r>
          </w:p>
        </w:tc>
        <w:tc>
          <w:tcPr>
            <w:tcW w:type="dxa" w:w="2890"/>
          </w:tcPr>
          <w:p>
            <w:r>
              <w:rPr>
                <w:sz w:val="21"/>
              </w:rPr>
              <w:t>23</w:t>
            </w:r>
          </w:p>
        </w:tc>
      </w:tr>
      <w:tr>
        <w:tc>
          <w:tcPr>
            <w:tcW w:type="dxa" w:w="2890"/>
          </w:tcPr>
          <w:p>
            <w:r>
              <w:rPr>
                <w:sz w:val="21"/>
              </w:rPr>
              <w:t>Figure 5.3</w:t>
            </w:r>
          </w:p>
        </w:tc>
        <w:tc>
          <w:tcPr>
            <w:tcW w:type="dxa" w:w="2890"/>
          </w:tcPr>
          <w:p>
            <w:r>
              <w:rPr>
                <w:sz w:val="21"/>
              </w:rPr>
              <w:t>Live Web UI Demonstration Output (Normal and TB Cases)</w:t>
            </w:r>
          </w:p>
        </w:tc>
        <w:tc>
          <w:tcPr>
            <w:tcW w:type="dxa" w:w="2890"/>
          </w:tcPr>
          <w:p>
            <w:r>
              <w:rPr>
                <w:sz w:val="21"/>
              </w:rPr>
              <w:t>25</w:t>
            </w:r>
          </w:p>
        </w:tc>
      </w:tr>
    </w:tbl>
    <w:p>
      <w:r>
        <w:br w:type="page"/>
      </w:r>
    </w:p>
    <w:p>
      <w:pPr>
        <w:keepNext/>
        <w:spacing w:before="360" w:after="160"/>
      </w:pPr>
      <w:r>
        <w:rPr>
          <w:rFonts w:ascii="Times New Roman" w:hAnsi="Times New Roman"/>
          <w:b/>
          <w:color w:val="000000"/>
          <w:sz w:val="32"/>
        </w:rPr>
        <w:t>LIST OF TABLES</w:t>
      </w:r>
    </w:p>
    <w:tbl>
      <w:tblPr>
        <w:tblW w:type="auto" w:w="0"/>
        <w:jc w:val="center"/>
        <w:tblLook w:firstColumn="1" w:firstRow="1" w:lastColumn="0" w:lastRow="0" w:noHBand="0" w:noVBand="1" w:val="04A0"/>
      </w:tblPr>
      <w:tblGrid>
        <w:gridCol w:w="2160"/>
        <w:gridCol w:w="6048"/>
        <w:gridCol w:w="1440"/>
      </w:tblGrid>
      <w:tr>
        <w:tc>
          <w:tcPr>
            <w:tcW w:type="dxa" w:w="2890"/>
          </w:tcPr>
          <w:p>
            <w:r>
              <w:rPr>
                <w:b/>
              </w:rPr>
              <w:t>TABLE NO.</w:t>
            </w:r>
          </w:p>
        </w:tc>
        <w:tc>
          <w:tcPr>
            <w:tcW w:type="dxa" w:w="2890"/>
          </w:tcPr>
          <w:p>
            <w:r>
              <w:rPr>
                <w:b/>
              </w:rPr>
              <w:t>TITLE</w:t>
            </w:r>
          </w:p>
        </w:tc>
        <w:tc>
          <w:tcPr>
            <w:tcW w:type="dxa" w:w="2890"/>
          </w:tcPr>
          <w:p>
            <w:r>
              <w:rPr>
                <w:b/>
              </w:rPr>
              <w:t>PAGE NO.</w:t>
            </w:r>
          </w:p>
        </w:tc>
      </w:tr>
      <w:tr>
        <w:tc>
          <w:tcPr>
            <w:tcW w:type="dxa" w:w="2890"/>
          </w:tcPr>
          <w:p>
            <w:r>
              <w:rPr>
                <w:sz w:val="21"/>
              </w:rPr>
              <w:t>Table 2.1</w:t>
            </w:r>
          </w:p>
        </w:tc>
        <w:tc>
          <w:tcPr>
            <w:tcW w:type="dxa" w:w="2890"/>
          </w:tcPr>
          <w:p>
            <w:r>
              <w:rPr>
                <w:sz w:val="21"/>
              </w:rPr>
              <w:t>Comparison of Existing Diagnostic Approaches and Recent Literature</w:t>
            </w:r>
          </w:p>
        </w:tc>
        <w:tc>
          <w:tcPr>
            <w:tcW w:type="dxa" w:w="2890"/>
          </w:tcPr>
          <w:p>
            <w:r>
              <w:rPr>
                <w:sz w:val="21"/>
              </w:rPr>
              <w:t>5</w:t>
            </w:r>
          </w:p>
        </w:tc>
      </w:tr>
      <w:tr>
        <w:tc>
          <w:tcPr>
            <w:tcW w:type="dxa" w:w="2890"/>
          </w:tcPr>
          <w:p>
            <w:r>
              <w:rPr>
                <w:sz w:val="21"/>
              </w:rPr>
              <w:t>Table 3.1</w:t>
            </w:r>
          </w:p>
        </w:tc>
        <w:tc>
          <w:tcPr>
            <w:tcW w:type="dxa" w:w="2890"/>
          </w:tcPr>
          <w:p>
            <w:r>
              <w:rPr>
                <w:sz w:val="21"/>
              </w:rPr>
              <w:t>Software and Hardware Environment Specifications</w:t>
            </w:r>
          </w:p>
        </w:tc>
        <w:tc>
          <w:tcPr>
            <w:tcW w:type="dxa" w:w="2890"/>
          </w:tcPr>
          <w:p>
            <w:r>
              <w:rPr>
                <w:sz w:val="21"/>
              </w:rPr>
              <w:t>7</w:t>
            </w:r>
          </w:p>
        </w:tc>
      </w:tr>
      <w:tr>
        <w:tc>
          <w:tcPr>
            <w:tcW w:type="dxa" w:w="2890"/>
          </w:tcPr>
          <w:p>
            <w:r>
              <w:rPr>
                <w:sz w:val="21"/>
              </w:rPr>
              <w:t>Table 3.2</w:t>
            </w:r>
          </w:p>
        </w:tc>
        <w:tc>
          <w:tcPr>
            <w:tcW w:type="dxa" w:w="2890"/>
          </w:tcPr>
          <w:p>
            <w:r>
              <w:rPr>
                <w:sz w:val="21"/>
              </w:rPr>
              <w:t>Dataset Split Breakdown (70% Train, 15% Validation, 15% Test)</w:t>
            </w:r>
          </w:p>
        </w:tc>
        <w:tc>
          <w:tcPr>
            <w:tcW w:type="dxa" w:w="2890"/>
          </w:tcPr>
          <w:p>
            <w:r>
              <w:rPr>
                <w:sz w:val="21"/>
              </w:rPr>
              <w:t>9</w:t>
            </w:r>
          </w:p>
        </w:tc>
      </w:tr>
      <w:tr>
        <w:tc>
          <w:tcPr>
            <w:tcW w:type="dxa" w:w="2890"/>
          </w:tcPr>
          <w:p>
            <w:r>
              <w:rPr>
                <w:sz w:val="21"/>
              </w:rPr>
              <w:t>Table 4.1</w:t>
            </w:r>
          </w:p>
        </w:tc>
        <w:tc>
          <w:tcPr>
            <w:tcW w:type="dxa" w:w="2890"/>
          </w:tcPr>
          <w:p>
            <w:r>
              <w:rPr>
                <w:sz w:val="21"/>
              </w:rPr>
              <w:t>VGG16 Transfer Learning Neural Network Architecture Layers</w:t>
            </w:r>
          </w:p>
        </w:tc>
        <w:tc>
          <w:tcPr>
            <w:tcW w:type="dxa" w:w="2890"/>
          </w:tcPr>
          <w:p>
            <w:r>
              <w:rPr>
                <w:sz w:val="21"/>
              </w:rPr>
              <w:t>14</w:t>
            </w:r>
          </w:p>
        </w:tc>
      </w:tr>
      <w:tr>
        <w:tc>
          <w:tcPr>
            <w:tcW w:type="dxa" w:w="2890"/>
          </w:tcPr>
          <w:p>
            <w:r>
              <w:rPr>
                <w:sz w:val="21"/>
              </w:rPr>
              <w:t>Table 5.1</w:t>
            </w:r>
          </w:p>
        </w:tc>
        <w:tc>
          <w:tcPr>
            <w:tcW w:type="dxa" w:w="2890"/>
          </w:tcPr>
          <w:p>
            <w:r>
              <w:rPr>
                <w:sz w:val="21"/>
              </w:rPr>
              <w:t>Hyperparameters and Training Configuration</w:t>
            </w:r>
          </w:p>
        </w:tc>
        <w:tc>
          <w:tcPr>
            <w:tcW w:type="dxa" w:w="2890"/>
          </w:tcPr>
          <w:p>
            <w:r>
              <w:rPr>
                <w:sz w:val="21"/>
              </w:rPr>
              <w:t>20</w:t>
            </w:r>
          </w:p>
        </w:tc>
      </w:tr>
      <w:tr>
        <w:tc>
          <w:tcPr>
            <w:tcW w:type="dxa" w:w="2890"/>
          </w:tcPr>
          <w:p>
            <w:r>
              <w:rPr>
                <w:sz w:val="21"/>
              </w:rPr>
              <w:t>Table 5.2</w:t>
            </w:r>
          </w:p>
        </w:tc>
        <w:tc>
          <w:tcPr>
            <w:tcW w:type="dxa" w:w="2890"/>
          </w:tcPr>
          <w:p>
            <w:r>
              <w:rPr>
                <w:sz w:val="21"/>
              </w:rPr>
              <w:t>Confusion Matrix on 631 Held-Out Test Patients</w:t>
            </w:r>
          </w:p>
        </w:tc>
        <w:tc>
          <w:tcPr>
            <w:tcW w:type="dxa" w:w="2890"/>
          </w:tcPr>
          <w:p>
            <w:r>
              <w:rPr>
                <w:sz w:val="21"/>
              </w:rPr>
              <w:t>22</w:t>
            </w:r>
          </w:p>
        </w:tc>
      </w:tr>
      <w:tr>
        <w:tc>
          <w:tcPr>
            <w:tcW w:type="dxa" w:w="2890"/>
          </w:tcPr>
          <w:p>
            <w:r>
              <w:rPr>
                <w:sz w:val="21"/>
              </w:rPr>
              <w:t>Table 5.3</w:t>
            </w:r>
          </w:p>
        </w:tc>
        <w:tc>
          <w:tcPr>
            <w:tcW w:type="dxa" w:w="2890"/>
          </w:tcPr>
          <w:p>
            <w:r>
              <w:rPr>
                <w:sz w:val="21"/>
              </w:rPr>
              <w:t>Final Diagnostic Evaluation Scores (Accuracy, Sensitivity, Specificity)</w:t>
            </w:r>
          </w:p>
        </w:tc>
        <w:tc>
          <w:tcPr>
            <w:tcW w:type="dxa" w:w="2890"/>
          </w:tcPr>
          <w:p>
            <w:r>
              <w:rPr>
                <w:sz w:val="21"/>
              </w:rPr>
              <w:t>23</w:t>
            </w:r>
          </w:p>
        </w:tc>
      </w:tr>
      <w:tr>
        <w:tc>
          <w:tcPr>
            <w:tcW w:type="dxa" w:w="2890"/>
          </w:tcPr>
          <w:p>
            <w:r>
              <w:rPr>
                <w:sz w:val="21"/>
              </w:rPr>
              <w:t>Table 6.1</w:t>
            </w:r>
          </w:p>
        </w:tc>
        <w:tc>
          <w:tcPr>
            <w:tcW w:type="dxa" w:w="2890"/>
          </w:tcPr>
          <w:p>
            <w:r>
              <w:rPr>
                <w:sz w:val="21"/>
              </w:rPr>
              <w:t>Comparison of Clinical Workflow: Traditional Sputum vs AI Triaging</w:t>
            </w:r>
          </w:p>
        </w:tc>
        <w:tc>
          <w:tcPr>
            <w:tcW w:type="dxa" w:w="2890"/>
          </w:tcPr>
          <w:p>
            <w:r>
              <w:rPr>
                <w:sz w:val="21"/>
              </w:rPr>
              <w:t>27</w:t>
            </w:r>
          </w:p>
        </w:tc>
      </w:tr>
    </w:tbl>
    <w:p>
      <w:r>
        <w:br w:type="page"/>
      </w:r>
    </w:p>
    <w:p>
      <w:pPr>
        <w:keepNext/>
        <w:spacing w:before="360" w:after="160"/>
      </w:pPr>
      <w:r>
        <w:rPr>
          <w:rFonts w:ascii="Times New Roman" w:hAnsi="Times New Roman"/>
          <w:b/>
          <w:color w:val="000000"/>
          <w:sz w:val="32"/>
        </w:rPr>
        <w:t>ABSTRACT</w:t>
      </w:r>
    </w:p>
    <w:p>
      <w:pPr>
        <w:spacing w:before="200" w:after="280" w:line="480" w:lineRule="auto"/>
        <w:jc w:val="both"/>
      </w:pPr>
      <w:r>
        <w:rPr>
          <w:rFonts w:ascii="Times New Roman" w:hAnsi="Times New Roman"/>
          <w:b w:val="0"/>
          <w:i w:val="0"/>
          <w:sz w:val="28"/>
        </w:rPr>
        <w:t>[PURPOSE]</w:t>
        <w:br/>
        <w:t>Pulmonary Tuberculosis (TB), caused by the bacterium Mycobacterium tuberculosis, remains one of the world's deadliest infectious diseases, killing approximately 1.3 million people every year according to the World Health Organization (WHO). Chest radiography (X-ray) is the most rapid, non-invasive, and cost-effective initial screening modality. However, resource-constrained rural healthcare centers face a severe scarcity of certified radiologists, causing diagnosis delays of days to weeks. The purpose of this project is to develop an automated, highly accurate Computer-Aided Diagnostic (CAD) system utilizing deep transfer learning to analyze chest radiographs in seconds and deploy it through an interactive, web-based clinical triaging interface.</w:t>
        <w:br/>
        <w:br/>
        <w:t>[METHODOLOGY]</w:t>
        <w:br/>
        <w:t>The system utilizes a benchmark dataset of 4,200 chest radiographs (3,500 Normal and 700 TB-positive scans). To guarantee zero data contamination and rigorous evaluation, the dataset is physically partitioned into 70% Training (2,939 images), 15% Validation (630 images), and a strictly isolated 15% Held-Out Test Set (631 images). Instead of training a shallow model from scratch, we employ Transfer Learning with VGG16 pre-trained on ImageNet. The 13 convolutional base layers are frozen to preserve generalized edge and texture detectors, connected to a lightweight classification head comprising GlobalAveragePooling2D, a Dense layer (128 units with ReLU), Dropout (0.5 rate to prevent overfitting), and a Sigmoid output neuron. The trained model is deployed using Flask with a responsive HTML5/CSS3 frontend featuring instant drag-and-drop file selection, real-time image preview, and animated confidence progress bars.</w:t>
        <w:br/>
        <w:br/>
        <w:t>[FINDINGS]</w:t>
        <w:br/>
        <w:t>When evaluated on the 631 strictly unseen test radiographs, our VGG16 model achieved an outstanding Overall Accuracy of 98.57%, correctly classifying 622 of 631 test images. In critical medical metrics, the model demonstrated a Sensitivity (Recall) of 93.40% (successfully detecting 99 out of 106 positive TB patients) and a Specificity of 99.62% (clearing 523 of 525 healthy individuals). The inference latency is under 1.2 seconds on consumer-grade CPU hardware, providing an accessible, high-throughput solution for primary health centers and mobile diagnostic vans.</w:t>
      </w:r>
    </w:p>
    <w:p>
      <w:r>
        <w:br w:type="page"/>
      </w:r>
    </w:p>
    <w:p>
      <w:pPr>
        <w:keepNext/>
        <w:spacing w:before="360" w:after="160"/>
      </w:pPr>
      <w:r>
        <w:rPr>
          <w:rFonts w:ascii="Times New Roman" w:hAnsi="Times New Roman"/>
          <w:b/>
          <w:color w:val="000000"/>
          <w:sz w:val="32"/>
        </w:rPr>
        <w:t>TABLE OF CONTENTS</w:t>
      </w:r>
    </w:p>
    <w:tbl>
      <w:tblPr>
        <w:tblW w:type="auto" w:w="0"/>
        <w:jc w:val="center"/>
        <w:tblLook w:firstColumn="1" w:firstRow="1" w:lastColumn="0" w:lastRow="0" w:noHBand="0" w:noVBand="1" w:val="04A0"/>
      </w:tblPr>
      <w:tblGrid>
        <w:gridCol w:w="8352"/>
        <w:gridCol w:w="1296"/>
      </w:tblGrid>
      <w:tr>
        <w:tc>
          <w:tcPr>
            <w:tcW w:type="dxa" w:w="4334"/>
          </w:tcPr>
          <w:p>
            <w:r>
              <w:rPr>
                <w:rFonts w:ascii="Times New Roman" w:hAnsi="Times New Roman"/>
                <w:sz w:val="20"/>
              </w:rPr>
              <w:t>List of Abbreviations</w:t>
            </w:r>
          </w:p>
        </w:tc>
        <w:tc>
          <w:tcPr>
            <w:tcW w:type="dxa" w:w="4334"/>
          </w:tcPr>
          <w:p>
            <w:r>
              <w:rPr>
                <w:rFonts w:ascii="Times New Roman" w:hAnsi="Times New Roman"/>
                <w:sz w:val="20"/>
              </w:rPr>
              <w:t>iii</w:t>
            </w:r>
          </w:p>
        </w:tc>
      </w:tr>
      <w:tr>
        <w:tc>
          <w:tcPr>
            <w:tcW w:type="dxa" w:w="4334"/>
          </w:tcPr>
          <w:p>
            <w:r>
              <w:rPr>
                <w:rFonts w:ascii="Times New Roman" w:hAnsi="Times New Roman"/>
                <w:sz w:val="20"/>
              </w:rPr>
              <w:t>List of Figures and Graphs</w:t>
            </w:r>
          </w:p>
        </w:tc>
        <w:tc>
          <w:tcPr>
            <w:tcW w:type="dxa" w:w="4334"/>
          </w:tcPr>
          <w:p>
            <w:r>
              <w:rPr>
                <w:rFonts w:ascii="Times New Roman" w:hAnsi="Times New Roman"/>
                <w:sz w:val="20"/>
              </w:rPr>
              <w:t>iv</w:t>
            </w:r>
          </w:p>
        </w:tc>
      </w:tr>
      <w:tr>
        <w:tc>
          <w:tcPr>
            <w:tcW w:type="dxa" w:w="4334"/>
          </w:tcPr>
          <w:p>
            <w:r>
              <w:rPr>
                <w:rFonts w:ascii="Times New Roman" w:hAnsi="Times New Roman"/>
                <w:sz w:val="20"/>
              </w:rPr>
              <w:t>List of Tables</w:t>
            </w:r>
          </w:p>
        </w:tc>
        <w:tc>
          <w:tcPr>
            <w:tcW w:type="dxa" w:w="4334"/>
          </w:tcPr>
          <w:p>
            <w:r>
              <w:rPr>
                <w:rFonts w:ascii="Times New Roman" w:hAnsi="Times New Roman"/>
                <w:sz w:val="20"/>
              </w:rPr>
              <w:t>v</w:t>
            </w:r>
          </w:p>
        </w:tc>
      </w:tr>
      <w:tr>
        <w:tc>
          <w:tcPr>
            <w:tcW w:type="dxa" w:w="4334"/>
          </w:tcPr>
          <w:p>
            <w:r>
              <w:rPr>
                <w:rFonts w:ascii="Times New Roman" w:hAnsi="Times New Roman"/>
                <w:sz w:val="20"/>
              </w:rPr>
              <w:t>Abstract</w:t>
            </w:r>
          </w:p>
        </w:tc>
        <w:tc>
          <w:tcPr>
            <w:tcW w:type="dxa" w:w="4334"/>
          </w:tcPr>
          <w:p>
            <w:r>
              <w:rPr>
                <w:rFonts w:ascii="Times New Roman" w:hAnsi="Times New Roman"/>
                <w:sz w:val="20"/>
              </w:rPr>
              <w:t>vi</w:t>
            </w:r>
          </w:p>
        </w:tc>
      </w:tr>
      <w:tr>
        <w:tc>
          <w:tcPr>
            <w:tcW w:type="dxa" w:w="4334"/>
          </w:tcPr>
          <w:p>
            <w:r>
              <w:rPr>
                <w:rFonts w:ascii="Times New Roman" w:hAnsi="Times New Roman"/>
                <w:b/>
                <w:sz w:val="22"/>
              </w:rPr>
              <w:t>CHAPTER 1: PROJECT DESCRIPTION AND OUTLINE</w:t>
            </w:r>
          </w:p>
        </w:tc>
        <w:tc>
          <w:tcPr>
            <w:tcW w:type="dxa" w:w="4334"/>
          </w:tcPr>
          <w:p>
            <w:r>
              <w:rPr>
                <w:rFonts w:ascii="Times New Roman" w:hAnsi="Times New Roman"/>
                <w:b/>
                <w:sz w:val="22"/>
              </w:rPr>
              <w:t>1</w:t>
            </w:r>
          </w:p>
        </w:tc>
      </w:tr>
      <w:tr>
        <w:tc>
          <w:tcPr>
            <w:tcW w:type="dxa" w:w="4334"/>
          </w:tcPr>
          <w:p>
            <w:r>
              <w:rPr>
                <w:rFonts w:ascii="Times New Roman" w:hAnsi="Times New Roman"/>
                <w:sz w:val="20"/>
              </w:rPr>
              <w:t xml:space="preserve">    1.1 Introduction</w:t>
            </w:r>
          </w:p>
        </w:tc>
        <w:tc>
          <w:tcPr>
            <w:tcW w:type="dxa" w:w="4334"/>
          </w:tcPr>
          <w:p>
            <w:r>
              <w:rPr>
                <w:rFonts w:ascii="Times New Roman" w:hAnsi="Times New Roman"/>
                <w:sz w:val="20"/>
              </w:rPr>
              <w:t>1</w:t>
            </w:r>
          </w:p>
        </w:tc>
      </w:tr>
      <w:tr>
        <w:tc>
          <w:tcPr>
            <w:tcW w:type="dxa" w:w="4334"/>
          </w:tcPr>
          <w:p>
            <w:r>
              <w:rPr>
                <w:rFonts w:ascii="Times New Roman" w:hAnsi="Times New Roman"/>
                <w:sz w:val="20"/>
              </w:rPr>
              <w:t xml:space="preserve">    1.2 Motivation for the Work</w:t>
            </w:r>
          </w:p>
        </w:tc>
        <w:tc>
          <w:tcPr>
            <w:tcW w:type="dxa" w:w="4334"/>
          </w:tcPr>
          <w:p>
            <w:r>
              <w:rPr>
                <w:rFonts w:ascii="Times New Roman" w:hAnsi="Times New Roman"/>
                <w:sz w:val="20"/>
              </w:rPr>
              <w:t>2</w:t>
            </w:r>
          </w:p>
        </w:tc>
      </w:tr>
      <w:tr>
        <w:tc>
          <w:tcPr>
            <w:tcW w:type="dxa" w:w="4334"/>
          </w:tcPr>
          <w:p>
            <w:r>
              <w:rPr>
                <w:rFonts w:ascii="Times New Roman" w:hAnsi="Times New Roman"/>
                <w:sz w:val="20"/>
              </w:rPr>
              <w:t xml:space="preserve">    1.3 Problem Statement</w:t>
            </w:r>
          </w:p>
        </w:tc>
        <w:tc>
          <w:tcPr>
            <w:tcW w:type="dxa" w:w="4334"/>
          </w:tcPr>
          <w:p>
            <w:r>
              <w:rPr>
                <w:rFonts w:ascii="Times New Roman" w:hAnsi="Times New Roman"/>
                <w:sz w:val="20"/>
              </w:rPr>
              <w:t>3</w:t>
            </w:r>
          </w:p>
        </w:tc>
      </w:tr>
      <w:tr>
        <w:tc>
          <w:tcPr>
            <w:tcW w:type="dxa" w:w="4334"/>
          </w:tcPr>
          <w:p>
            <w:r>
              <w:rPr>
                <w:rFonts w:ascii="Times New Roman" w:hAnsi="Times New Roman"/>
                <w:sz w:val="20"/>
              </w:rPr>
              <w:t xml:space="preserve">    1.4 Objective of the Work</w:t>
            </w:r>
          </w:p>
        </w:tc>
        <w:tc>
          <w:tcPr>
            <w:tcW w:type="dxa" w:w="4334"/>
          </w:tcPr>
          <w:p>
            <w:r>
              <w:rPr>
                <w:rFonts w:ascii="Times New Roman" w:hAnsi="Times New Roman"/>
                <w:sz w:val="20"/>
              </w:rPr>
              <w:t>3</w:t>
            </w:r>
          </w:p>
        </w:tc>
      </w:tr>
      <w:tr>
        <w:tc>
          <w:tcPr>
            <w:tcW w:type="dxa" w:w="4334"/>
          </w:tcPr>
          <w:p>
            <w:r>
              <w:rPr>
                <w:rFonts w:ascii="Times New Roman" w:hAnsi="Times New Roman"/>
                <w:sz w:val="20"/>
              </w:rPr>
              <w:t xml:space="preserve">    1.5 Organization of the Project</w:t>
            </w:r>
          </w:p>
        </w:tc>
        <w:tc>
          <w:tcPr>
            <w:tcW w:type="dxa" w:w="4334"/>
          </w:tcPr>
          <w:p>
            <w:r>
              <w:rPr>
                <w:rFonts w:ascii="Times New Roman" w:hAnsi="Times New Roman"/>
                <w:sz w:val="20"/>
              </w:rPr>
              <w:t>4</w:t>
            </w:r>
          </w:p>
        </w:tc>
      </w:tr>
      <w:tr>
        <w:tc>
          <w:tcPr>
            <w:tcW w:type="dxa" w:w="4334"/>
          </w:tcPr>
          <w:p>
            <w:r>
              <w:rPr>
                <w:rFonts w:ascii="Times New Roman" w:hAnsi="Times New Roman"/>
                <w:sz w:val="20"/>
              </w:rPr>
              <w:t xml:space="preserve">    1.6 Summary</w:t>
            </w:r>
          </w:p>
        </w:tc>
        <w:tc>
          <w:tcPr>
            <w:tcW w:type="dxa" w:w="4334"/>
          </w:tcPr>
          <w:p>
            <w:r>
              <w:rPr>
                <w:rFonts w:ascii="Times New Roman" w:hAnsi="Times New Roman"/>
                <w:sz w:val="20"/>
              </w:rPr>
              <w:t>4</w:t>
            </w:r>
          </w:p>
        </w:tc>
      </w:tr>
      <w:tr>
        <w:tc>
          <w:tcPr>
            <w:tcW w:type="dxa" w:w="4334"/>
          </w:tcPr>
          <w:p>
            <w:r>
              <w:rPr>
                <w:rFonts w:ascii="Times New Roman" w:hAnsi="Times New Roman"/>
                <w:b/>
                <w:sz w:val="22"/>
              </w:rPr>
              <w:t>CHAPTER 2: RELATED WORK INVESTIGATION</w:t>
            </w:r>
          </w:p>
        </w:tc>
        <w:tc>
          <w:tcPr>
            <w:tcW w:type="dxa" w:w="4334"/>
          </w:tcPr>
          <w:p>
            <w:r>
              <w:rPr>
                <w:rFonts w:ascii="Times New Roman" w:hAnsi="Times New Roman"/>
                <w:b/>
                <w:sz w:val="22"/>
              </w:rPr>
              <w:t>5</w:t>
            </w:r>
          </w:p>
        </w:tc>
      </w:tr>
      <w:tr>
        <w:tc>
          <w:tcPr>
            <w:tcW w:type="dxa" w:w="4334"/>
          </w:tcPr>
          <w:p>
            <w:r>
              <w:rPr>
                <w:rFonts w:ascii="Times New Roman" w:hAnsi="Times New Roman"/>
                <w:sz w:val="20"/>
              </w:rPr>
              <w:t xml:space="preserve">    2.1 Introduction</w:t>
            </w:r>
          </w:p>
        </w:tc>
        <w:tc>
          <w:tcPr>
            <w:tcW w:type="dxa" w:w="4334"/>
          </w:tcPr>
          <w:p>
            <w:r>
              <w:rPr>
                <w:rFonts w:ascii="Times New Roman" w:hAnsi="Times New Roman"/>
                <w:sz w:val="20"/>
              </w:rPr>
              <w:t>5</w:t>
            </w:r>
          </w:p>
        </w:tc>
      </w:tr>
      <w:tr>
        <w:tc>
          <w:tcPr>
            <w:tcW w:type="dxa" w:w="4334"/>
          </w:tcPr>
          <w:p>
            <w:r>
              <w:rPr>
                <w:rFonts w:ascii="Times New Roman" w:hAnsi="Times New Roman"/>
                <w:sz w:val="20"/>
              </w:rPr>
              <w:t xml:space="preserve">    2.2 Medical Image Analysis &amp; Deep Learning</w:t>
            </w:r>
          </w:p>
        </w:tc>
        <w:tc>
          <w:tcPr>
            <w:tcW w:type="dxa" w:w="4334"/>
          </w:tcPr>
          <w:p>
            <w:r>
              <w:rPr>
                <w:rFonts w:ascii="Times New Roman" w:hAnsi="Times New Roman"/>
                <w:sz w:val="20"/>
              </w:rPr>
              <w:t>5</w:t>
            </w:r>
          </w:p>
        </w:tc>
      </w:tr>
      <w:tr>
        <w:tc>
          <w:tcPr>
            <w:tcW w:type="dxa" w:w="4334"/>
          </w:tcPr>
          <w:p>
            <w:r>
              <w:rPr>
                <w:rFonts w:ascii="Times New Roman" w:hAnsi="Times New Roman"/>
                <w:sz w:val="20"/>
              </w:rPr>
              <w:t xml:space="preserve">    2.3 Existing Approaches and Methods</w:t>
            </w:r>
          </w:p>
        </w:tc>
        <w:tc>
          <w:tcPr>
            <w:tcW w:type="dxa" w:w="4334"/>
          </w:tcPr>
          <w:p>
            <w:r>
              <w:rPr>
                <w:rFonts w:ascii="Times New Roman" w:hAnsi="Times New Roman"/>
                <w:sz w:val="20"/>
              </w:rPr>
              <w:t>5</w:t>
            </w:r>
          </w:p>
        </w:tc>
      </w:tr>
      <w:tr>
        <w:tc>
          <w:tcPr>
            <w:tcW w:type="dxa" w:w="4334"/>
          </w:tcPr>
          <w:p>
            <w:r>
              <w:rPr>
                <w:rFonts w:ascii="Times New Roman" w:hAnsi="Times New Roman"/>
                <w:sz w:val="20"/>
              </w:rPr>
              <w:t xml:space="preserve">    2.4 Pros and Cons of Stated Approaches</w:t>
            </w:r>
          </w:p>
        </w:tc>
        <w:tc>
          <w:tcPr>
            <w:tcW w:type="dxa" w:w="4334"/>
          </w:tcPr>
          <w:p>
            <w:r>
              <w:rPr>
                <w:rFonts w:ascii="Times New Roman" w:hAnsi="Times New Roman"/>
                <w:sz w:val="20"/>
              </w:rPr>
              <w:t>6</w:t>
            </w:r>
          </w:p>
        </w:tc>
      </w:tr>
      <w:tr>
        <w:tc>
          <w:tcPr>
            <w:tcW w:type="dxa" w:w="4334"/>
          </w:tcPr>
          <w:p>
            <w:r>
              <w:rPr>
                <w:rFonts w:ascii="Times New Roman" w:hAnsi="Times New Roman"/>
                <w:sz w:val="20"/>
              </w:rPr>
              <w:t xml:space="preserve">    2.5 Issues and Observations from Investigation</w:t>
            </w:r>
          </w:p>
        </w:tc>
        <w:tc>
          <w:tcPr>
            <w:tcW w:type="dxa" w:w="4334"/>
          </w:tcPr>
          <w:p>
            <w:r>
              <w:rPr>
                <w:rFonts w:ascii="Times New Roman" w:hAnsi="Times New Roman"/>
                <w:sz w:val="20"/>
              </w:rPr>
              <w:t>6</w:t>
            </w:r>
          </w:p>
        </w:tc>
      </w:tr>
      <w:tr>
        <w:tc>
          <w:tcPr>
            <w:tcW w:type="dxa" w:w="4334"/>
          </w:tcPr>
          <w:p>
            <w:r>
              <w:rPr>
                <w:rFonts w:ascii="Times New Roman" w:hAnsi="Times New Roman"/>
                <w:sz w:val="20"/>
              </w:rPr>
              <w:t xml:space="preserve">    2.6 Summary</w:t>
            </w:r>
          </w:p>
        </w:tc>
        <w:tc>
          <w:tcPr>
            <w:tcW w:type="dxa" w:w="4334"/>
          </w:tcPr>
          <w:p>
            <w:r>
              <w:rPr>
                <w:rFonts w:ascii="Times New Roman" w:hAnsi="Times New Roman"/>
                <w:sz w:val="20"/>
              </w:rPr>
              <w:t>7</w:t>
            </w:r>
          </w:p>
        </w:tc>
      </w:tr>
      <w:tr>
        <w:tc>
          <w:tcPr>
            <w:tcW w:type="dxa" w:w="4334"/>
          </w:tcPr>
          <w:p>
            <w:r>
              <w:rPr>
                <w:rFonts w:ascii="Times New Roman" w:hAnsi="Times New Roman"/>
                <w:b/>
                <w:sz w:val="22"/>
              </w:rPr>
              <w:t>CHAPTER 3: REQUIREMENT ARTIFACTS</w:t>
            </w:r>
          </w:p>
        </w:tc>
        <w:tc>
          <w:tcPr>
            <w:tcW w:type="dxa" w:w="4334"/>
          </w:tcPr>
          <w:p>
            <w:r>
              <w:rPr>
                <w:rFonts w:ascii="Times New Roman" w:hAnsi="Times New Roman"/>
                <w:b/>
                <w:sz w:val="22"/>
              </w:rPr>
              <w:t>8</w:t>
            </w:r>
          </w:p>
        </w:tc>
      </w:tr>
      <w:tr>
        <w:tc>
          <w:tcPr>
            <w:tcW w:type="dxa" w:w="4334"/>
          </w:tcPr>
          <w:p>
            <w:r>
              <w:rPr>
                <w:rFonts w:ascii="Times New Roman" w:hAnsi="Times New Roman"/>
                <w:sz w:val="20"/>
              </w:rPr>
              <w:t xml:space="preserve">    3.1 Introduction</w:t>
            </w:r>
          </w:p>
        </w:tc>
        <w:tc>
          <w:tcPr>
            <w:tcW w:type="dxa" w:w="4334"/>
          </w:tcPr>
          <w:p>
            <w:r>
              <w:rPr>
                <w:rFonts w:ascii="Times New Roman" w:hAnsi="Times New Roman"/>
                <w:sz w:val="20"/>
              </w:rPr>
              <w:t>8</w:t>
            </w:r>
          </w:p>
        </w:tc>
      </w:tr>
      <w:tr>
        <w:tc>
          <w:tcPr>
            <w:tcW w:type="dxa" w:w="4334"/>
          </w:tcPr>
          <w:p>
            <w:r>
              <w:rPr>
                <w:rFonts w:ascii="Times New Roman" w:hAnsi="Times New Roman"/>
                <w:sz w:val="20"/>
              </w:rPr>
              <w:t xml:space="preserve">    3.2 Hardware and Software Requirements</w:t>
            </w:r>
          </w:p>
        </w:tc>
        <w:tc>
          <w:tcPr>
            <w:tcW w:type="dxa" w:w="4334"/>
          </w:tcPr>
          <w:p>
            <w:r>
              <w:rPr>
                <w:rFonts w:ascii="Times New Roman" w:hAnsi="Times New Roman"/>
                <w:sz w:val="20"/>
              </w:rPr>
              <w:t>8</w:t>
            </w:r>
          </w:p>
        </w:tc>
      </w:tr>
      <w:tr>
        <w:tc>
          <w:tcPr>
            <w:tcW w:type="dxa" w:w="4334"/>
          </w:tcPr>
          <w:p>
            <w:r>
              <w:rPr>
                <w:rFonts w:ascii="Times New Roman" w:hAnsi="Times New Roman"/>
                <w:sz w:val="20"/>
              </w:rPr>
              <w:t xml:space="preserve">    3.3 Specific Project Requirements</w:t>
            </w:r>
          </w:p>
        </w:tc>
        <w:tc>
          <w:tcPr>
            <w:tcW w:type="dxa" w:w="4334"/>
          </w:tcPr>
          <w:p>
            <w:r>
              <w:rPr>
                <w:rFonts w:ascii="Times New Roman" w:hAnsi="Times New Roman"/>
                <w:sz w:val="20"/>
              </w:rPr>
              <w:t>9</w:t>
            </w:r>
          </w:p>
        </w:tc>
      </w:tr>
      <w:tr>
        <w:tc>
          <w:tcPr>
            <w:tcW w:type="dxa" w:w="4334"/>
          </w:tcPr>
          <w:p>
            <w:r>
              <w:rPr>
                <w:rFonts w:ascii="Times New Roman" w:hAnsi="Times New Roman"/>
                <w:sz w:val="20"/>
              </w:rPr>
              <w:t xml:space="preserve">        3.3.1 Data Requirement</w:t>
            </w:r>
          </w:p>
        </w:tc>
        <w:tc>
          <w:tcPr>
            <w:tcW w:type="dxa" w:w="4334"/>
          </w:tcPr>
          <w:p>
            <w:r>
              <w:rPr>
                <w:rFonts w:ascii="Times New Roman" w:hAnsi="Times New Roman"/>
                <w:sz w:val="20"/>
              </w:rPr>
              <w:t>9</w:t>
            </w:r>
          </w:p>
        </w:tc>
      </w:tr>
      <w:tr>
        <w:tc>
          <w:tcPr>
            <w:tcW w:type="dxa" w:w="4334"/>
          </w:tcPr>
          <w:p>
            <w:r>
              <w:rPr>
                <w:rFonts w:ascii="Times New Roman" w:hAnsi="Times New Roman"/>
                <w:sz w:val="20"/>
              </w:rPr>
              <w:t xml:space="preserve">        3.3.2 Functions Requirement</w:t>
            </w:r>
          </w:p>
        </w:tc>
        <w:tc>
          <w:tcPr>
            <w:tcW w:type="dxa" w:w="4334"/>
          </w:tcPr>
          <w:p>
            <w:r>
              <w:rPr>
                <w:rFonts w:ascii="Times New Roman" w:hAnsi="Times New Roman"/>
                <w:sz w:val="20"/>
              </w:rPr>
              <w:t>10</w:t>
            </w:r>
          </w:p>
        </w:tc>
      </w:tr>
      <w:tr>
        <w:tc>
          <w:tcPr>
            <w:tcW w:type="dxa" w:w="4334"/>
          </w:tcPr>
          <w:p>
            <w:r>
              <w:rPr>
                <w:rFonts w:ascii="Times New Roman" w:hAnsi="Times New Roman"/>
                <w:sz w:val="20"/>
              </w:rPr>
              <w:t xml:space="preserve">        3.3.3 Performance and Security Requirement</w:t>
            </w:r>
          </w:p>
        </w:tc>
        <w:tc>
          <w:tcPr>
            <w:tcW w:type="dxa" w:w="4334"/>
          </w:tcPr>
          <w:p>
            <w:r>
              <w:rPr>
                <w:rFonts w:ascii="Times New Roman" w:hAnsi="Times New Roman"/>
                <w:sz w:val="20"/>
              </w:rPr>
              <w:t>11</w:t>
            </w:r>
          </w:p>
        </w:tc>
      </w:tr>
      <w:tr>
        <w:tc>
          <w:tcPr>
            <w:tcW w:type="dxa" w:w="4334"/>
          </w:tcPr>
          <w:p>
            <w:r>
              <w:rPr>
                <w:rFonts w:ascii="Times New Roman" w:hAnsi="Times New Roman"/>
                <w:sz w:val="20"/>
              </w:rPr>
              <w:t xml:space="preserve">        3.3.4 Look and Feel Requirements</w:t>
            </w:r>
          </w:p>
        </w:tc>
        <w:tc>
          <w:tcPr>
            <w:tcW w:type="dxa" w:w="4334"/>
          </w:tcPr>
          <w:p>
            <w:r>
              <w:rPr>
                <w:rFonts w:ascii="Times New Roman" w:hAnsi="Times New Roman"/>
                <w:sz w:val="20"/>
              </w:rPr>
              <w:t>11</w:t>
            </w:r>
          </w:p>
        </w:tc>
      </w:tr>
      <w:tr>
        <w:tc>
          <w:tcPr>
            <w:tcW w:type="dxa" w:w="4334"/>
          </w:tcPr>
          <w:p>
            <w:r>
              <w:rPr>
                <w:rFonts w:ascii="Times New Roman" w:hAnsi="Times New Roman"/>
                <w:sz w:val="20"/>
              </w:rPr>
              <w:t xml:space="preserve">        3.3.5 Summary</w:t>
            </w:r>
          </w:p>
        </w:tc>
        <w:tc>
          <w:tcPr>
            <w:tcW w:type="dxa" w:w="4334"/>
          </w:tcPr>
          <w:p>
            <w:r>
              <w:rPr>
                <w:rFonts w:ascii="Times New Roman" w:hAnsi="Times New Roman"/>
                <w:sz w:val="20"/>
              </w:rPr>
              <w:t>12</w:t>
            </w:r>
          </w:p>
        </w:tc>
      </w:tr>
      <w:tr>
        <w:tc>
          <w:tcPr>
            <w:tcW w:type="dxa" w:w="4334"/>
          </w:tcPr>
          <w:p>
            <w:r>
              <w:rPr>
                <w:rFonts w:ascii="Times New Roman" w:hAnsi="Times New Roman"/>
                <w:b/>
                <w:sz w:val="22"/>
              </w:rPr>
              <w:t>CHAPTER 4: DESIGN METHODOLOGY AND ITS NOVELTY</w:t>
            </w:r>
          </w:p>
        </w:tc>
        <w:tc>
          <w:tcPr>
            <w:tcW w:type="dxa" w:w="4334"/>
          </w:tcPr>
          <w:p>
            <w:r>
              <w:rPr>
                <w:rFonts w:ascii="Times New Roman" w:hAnsi="Times New Roman"/>
                <w:b/>
                <w:sz w:val="22"/>
              </w:rPr>
              <w:t>13</w:t>
            </w:r>
          </w:p>
        </w:tc>
      </w:tr>
      <w:tr>
        <w:tc>
          <w:tcPr>
            <w:tcW w:type="dxa" w:w="4334"/>
          </w:tcPr>
          <w:p>
            <w:r>
              <w:rPr>
                <w:rFonts w:ascii="Times New Roman" w:hAnsi="Times New Roman"/>
                <w:sz w:val="20"/>
              </w:rPr>
              <w:t xml:space="preserve">    4.1 Methodology and Goal</w:t>
            </w:r>
          </w:p>
        </w:tc>
        <w:tc>
          <w:tcPr>
            <w:tcW w:type="dxa" w:w="4334"/>
          </w:tcPr>
          <w:p>
            <w:r>
              <w:rPr>
                <w:rFonts w:ascii="Times New Roman" w:hAnsi="Times New Roman"/>
                <w:sz w:val="20"/>
              </w:rPr>
              <w:t>13</w:t>
            </w:r>
          </w:p>
        </w:tc>
      </w:tr>
      <w:tr>
        <w:tc>
          <w:tcPr>
            <w:tcW w:type="dxa" w:w="4334"/>
          </w:tcPr>
          <w:p>
            <w:r>
              <w:rPr>
                <w:rFonts w:ascii="Times New Roman" w:hAnsi="Times New Roman"/>
                <w:sz w:val="20"/>
              </w:rPr>
              <w:t xml:space="preserve">    4.2 Functional Modules Design and Analysis</w:t>
            </w:r>
          </w:p>
        </w:tc>
        <w:tc>
          <w:tcPr>
            <w:tcW w:type="dxa" w:w="4334"/>
          </w:tcPr>
          <w:p>
            <w:r>
              <w:rPr>
                <w:rFonts w:ascii="Times New Roman" w:hAnsi="Times New Roman"/>
                <w:sz w:val="20"/>
              </w:rPr>
              <w:t>13</w:t>
            </w:r>
          </w:p>
        </w:tc>
      </w:tr>
      <w:tr>
        <w:tc>
          <w:tcPr>
            <w:tcW w:type="dxa" w:w="4334"/>
          </w:tcPr>
          <w:p>
            <w:r>
              <w:rPr>
                <w:rFonts w:ascii="Times New Roman" w:hAnsi="Times New Roman"/>
                <w:sz w:val="20"/>
              </w:rPr>
              <w:t xml:space="preserve">    4.3 Software Architectural Designs</w:t>
            </w:r>
          </w:p>
        </w:tc>
        <w:tc>
          <w:tcPr>
            <w:tcW w:type="dxa" w:w="4334"/>
          </w:tcPr>
          <w:p>
            <w:r>
              <w:rPr>
                <w:rFonts w:ascii="Times New Roman" w:hAnsi="Times New Roman"/>
                <w:sz w:val="20"/>
              </w:rPr>
              <w:t>14</w:t>
            </w:r>
          </w:p>
        </w:tc>
      </w:tr>
      <w:tr>
        <w:tc>
          <w:tcPr>
            <w:tcW w:type="dxa" w:w="4334"/>
          </w:tcPr>
          <w:p>
            <w:r>
              <w:rPr>
                <w:rFonts w:ascii="Times New Roman" w:hAnsi="Times New Roman"/>
                <w:sz w:val="20"/>
              </w:rPr>
              <w:t xml:space="preserve">    4.4 Subsystem Services</w:t>
            </w:r>
          </w:p>
        </w:tc>
        <w:tc>
          <w:tcPr>
            <w:tcW w:type="dxa" w:w="4334"/>
          </w:tcPr>
          <w:p>
            <w:r>
              <w:rPr>
                <w:rFonts w:ascii="Times New Roman" w:hAnsi="Times New Roman"/>
                <w:sz w:val="20"/>
              </w:rPr>
              <w:t>16</w:t>
            </w:r>
          </w:p>
        </w:tc>
      </w:tr>
      <w:tr>
        <w:tc>
          <w:tcPr>
            <w:tcW w:type="dxa" w:w="4334"/>
          </w:tcPr>
          <w:p>
            <w:r>
              <w:rPr>
                <w:rFonts w:ascii="Times New Roman" w:hAnsi="Times New Roman"/>
                <w:sz w:val="20"/>
              </w:rPr>
              <w:t xml:space="preserve">    4.5 User Interface Designs</w:t>
            </w:r>
          </w:p>
        </w:tc>
        <w:tc>
          <w:tcPr>
            <w:tcW w:type="dxa" w:w="4334"/>
          </w:tcPr>
          <w:p>
            <w:r>
              <w:rPr>
                <w:rFonts w:ascii="Times New Roman" w:hAnsi="Times New Roman"/>
                <w:sz w:val="20"/>
              </w:rPr>
              <w:t>17</w:t>
            </w:r>
          </w:p>
        </w:tc>
      </w:tr>
      <w:tr>
        <w:tc>
          <w:tcPr>
            <w:tcW w:type="dxa" w:w="4334"/>
          </w:tcPr>
          <w:p>
            <w:r>
              <w:rPr>
                <w:rFonts w:ascii="Times New Roman" w:hAnsi="Times New Roman"/>
                <w:sz w:val="20"/>
              </w:rPr>
              <w:t xml:space="preserve">    4.6 Summary</w:t>
            </w:r>
          </w:p>
        </w:tc>
        <w:tc>
          <w:tcPr>
            <w:tcW w:type="dxa" w:w="4334"/>
          </w:tcPr>
          <w:p>
            <w:r>
              <w:rPr>
                <w:rFonts w:ascii="Times New Roman" w:hAnsi="Times New Roman"/>
                <w:sz w:val="20"/>
              </w:rPr>
              <w:t>19</w:t>
            </w:r>
          </w:p>
        </w:tc>
      </w:tr>
      <w:tr>
        <w:tc>
          <w:tcPr>
            <w:tcW w:type="dxa" w:w="4334"/>
          </w:tcPr>
          <w:p>
            <w:r>
              <w:rPr>
                <w:rFonts w:ascii="Times New Roman" w:hAnsi="Times New Roman"/>
                <w:b/>
                <w:sz w:val="22"/>
              </w:rPr>
              <w:t>CHAPTER 5: TECHNICAL IMPLEMENTATIONS AND ANALYSIS</w:t>
            </w:r>
          </w:p>
        </w:tc>
        <w:tc>
          <w:tcPr>
            <w:tcW w:type="dxa" w:w="4334"/>
          </w:tcPr>
          <w:p>
            <w:r>
              <w:rPr>
                <w:rFonts w:ascii="Times New Roman" w:hAnsi="Times New Roman"/>
                <w:b/>
                <w:sz w:val="22"/>
              </w:rPr>
              <w:t>20</w:t>
            </w:r>
          </w:p>
        </w:tc>
      </w:tr>
      <w:tr>
        <w:tc>
          <w:tcPr>
            <w:tcW w:type="dxa" w:w="4334"/>
          </w:tcPr>
          <w:p>
            <w:r>
              <w:rPr>
                <w:rFonts w:ascii="Times New Roman" w:hAnsi="Times New Roman"/>
                <w:sz w:val="20"/>
              </w:rPr>
              <w:t xml:space="preserve">    5.1 Outline</w:t>
            </w:r>
          </w:p>
        </w:tc>
        <w:tc>
          <w:tcPr>
            <w:tcW w:type="dxa" w:w="4334"/>
          </w:tcPr>
          <w:p>
            <w:r>
              <w:rPr>
                <w:rFonts w:ascii="Times New Roman" w:hAnsi="Times New Roman"/>
                <w:sz w:val="20"/>
              </w:rPr>
              <w:t>20</w:t>
            </w:r>
          </w:p>
        </w:tc>
      </w:tr>
      <w:tr>
        <w:tc>
          <w:tcPr>
            <w:tcW w:type="dxa" w:w="4334"/>
          </w:tcPr>
          <w:p>
            <w:r>
              <w:rPr>
                <w:rFonts w:ascii="Times New Roman" w:hAnsi="Times New Roman"/>
                <w:sz w:val="20"/>
              </w:rPr>
              <w:t xml:space="preserve">    5.2 Technical Coding and Code Solutions</w:t>
            </w:r>
          </w:p>
        </w:tc>
        <w:tc>
          <w:tcPr>
            <w:tcW w:type="dxa" w:w="4334"/>
          </w:tcPr>
          <w:p>
            <w:r>
              <w:rPr>
                <w:rFonts w:ascii="Times New Roman" w:hAnsi="Times New Roman"/>
                <w:sz w:val="20"/>
              </w:rPr>
              <w:t>20</w:t>
            </w:r>
          </w:p>
        </w:tc>
      </w:tr>
      <w:tr>
        <w:tc>
          <w:tcPr>
            <w:tcW w:type="dxa" w:w="4334"/>
          </w:tcPr>
          <w:p>
            <w:r>
              <w:rPr>
                <w:rFonts w:ascii="Times New Roman" w:hAnsi="Times New Roman"/>
                <w:sz w:val="20"/>
              </w:rPr>
              <w:t xml:space="preserve">    5.3 Working Layout of Forms</w:t>
            </w:r>
          </w:p>
        </w:tc>
        <w:tc>
          <w:tcPr>
            <w:tcW w:type="dxa" w:w="4334"/>
          </w:tcPr>
          <w:p>
            <w:r>
              <w:rPr>
                <w:rFonts w:ascii="Times New Roman" w:hAnsi="Times New Roman"/>
                <w:sz w:val="20"/>
              </w:rPr>
              <w:t>21</w:t>
            </w:r>
          </w:p>
        </w:tc>
      </w:tr>
      <w:tr>
        <w:tc>
          <w:tcPr>
            <w:tcW w:type="dxa" w:w="4334"/>
          </w:tcPr>
          <w:p>
            <w:r>
              <w:rPr>
                <w:rFonts w:ascii="Times New Roman" w:hAnsi="Times New Roman"/>
                <w:sz w:val="20"/>
              </w:rPr>
              <w:t xml:space="preserve">    5.4 Prototype Submission</w:t>
            </w:r>
          </w:p>
        </w:tc>
        <w:tc>
          <w:tcPr>
            <w:tcW w:type="dxa" w:w="4334"/>
          </w:tcPr>
          <w:p>
            <w:r>
              <w:rPr>
                <w:rFonts w:ascii="Times New Roman" w:hAnsi="Times New Roman"/>
                <w:sz w:val="20"/>
              </w:rPr>
              <w:t>22</w:t>
            </w:r>
          </w:p>
        </w:tc>
      </w:tr>
      <w:tr>
        <w:tc>
          <w:tcPr>
            <w:tcW w:type="dxa" w:w="4334"/>
          </w:tcPr>
          <w:p>
            <w:r>
              <w:rPr>
                <w:rFonts w:ascii="Times New Roman" w:hAnsi="Times New Roman"/>
                <w:sz w:val="20"/>
              </w:rPr>
              <w:t xml:space="preserve">    5.5 Test and Validation Protocol</w:t>
            </w:r>
          </w:p>
        </w:tc>
        <w:tc>
          <w:tcPr>
            <w:tcW w:type="dxa" w:w="4334"/>
          </w:tcPr>
          <w:p>
            <w:r>
              <w:rPr>
                <w:rFonts w:ascii="Times New Roman" w:hAnsi="Times New Roman"/>
                <w:sz w:val="20"/>
              </w:rPr>
              <w:t>23</w:t>
            </w:r>
          </w:p>
        </w:tc>
      </w:tr>
      <w:tr>
        <w:tc>
          <w:tcPr>
            <w:tcW w:type="dxa" w:w="4334"/>
          </w:tcPr>
          <w:p>
            <w:r>
              <w:rPr>
                <w:rFonts w:ascii="Times New Roman" w:hAnsi="Times New Roman"/>
                <w:sz w:val="20"/>
              </w:rPr>
              <w:t xml:space="preserve">    5.6 Performance Analysis (Graphs &amp; Charts)</w:t>
            </w:r>
          </w:p>
        </w:tc>
        <w:tc>
          <w:tcPr>
            <w:tcW w:type="dxa" w:w="4334"/>
          </w:tcPr>
          <w:p>
            <w:r>
              <w:rPr>
                <w:rFonts w:ascii="Times New Roman" w:hAnsi="Times New Roman"/>
                <w:sz w:val="20"/>
              </w:rPr>
              <w:t>24</w:t>
            </w:r>
          </w:p>
        </w:tc>
      </w:tr>
      <w:tr>
        <w:tc>
          <w:tcPr>
            <w:tcW w:type="dxa" w:w="4334"/>
          </w:tcPr>
          <w:p>
            <w:r>
              <w:rPr>
                <w:rFonts w:ascii="Times New Roman" w:hAnsi="Times New Roman"/>
                <w:sz w:val="20"/>
              </w:rPr>
              <w:t xml:space="preserve">    5.7 Summary</w:t>
            </w:r>
          </w:p>
        </w:tc>
        <w:tc>
          <w:tcPr>
            <w:tcW w:type="dxa" w:w="4334"/>
          </w:tcPr>
          <w:p>
            <w:r>
              <w:rPr>
                <w:rFonts w:ascii="Times New Roman" w:hAnsi="Times New Roman"/>
                <w:sz w:val="20"/>
              </w:rPr>
              <w:t>26</w:t>
            </w:r>
          </w:p>
        </w:tc>
      </w:tr>
      <w:tr>
        <w:tc>
          <w:tcPr>
            <w:tcW w:type="dxa" w:w="4334"/>
          </w:tcPr>
          <w:p>
            <w:r>
              <w:rPr>
                <w:rFonts w:ascii="Times New Roman" w:hAnsi="Times New Roman"/>
                <w:b/>
                <w:sz w:val="22"/>
              </w:rPr>
              <w:t>CHAPTER 6: PROJECT OUTCOME AND APPLICABILITY</w:t>
            </w:r>
          </w:p>
        </w:tc>
        <w:tc>
          <w:tcPr>
            <w:tcW w:type="dxa" w:w="4334"/>
          </w:tcPr>
          <w:p>
            <w:r>
              <w:rPr>
                <w:rFonts w:ascii="Times New Roman" w:hAnsi="Times New Roman"/>
                <w:b/>
                <w:sz w:val="22"/>
              </w:rPr>
              <w:t>27</w:t>
            </w:r>
          </w:p>
        </w:tc>
      </w:tr>
      <w:tr>
        <w:tc>
          <w:tcPr>
            <w:tcW w:type="dxa" w:w="4334"/>
          </w:tcPr>
          <w:p>
            <w:r>
              <w:rPr>
                <w:rFonts w:ascii="Times New Roman" w:hAnsi="Times New Roman"/>
                <w:sz w:val="20"/>
              </w:rPr>
              <w:t xml:space="preserve">    6.1 Outline</w:t>
            </w:r>
          </w:p>
        </w:tc>
        <w:tc>
          <w:tcPr>
            <w:tcW w:type="dxa" w:w="4334"/>
          </w:tcPr>
          <w:p>
            <w:r>
              <w:rPr>
                <w:rFonts w:ascii="Times New Roman" w:hAnsi="Times New Roman"/>
                <w:sz w:val="20"/>
              </w:rPr>
              <w:t>27</w:t>
            </w:r>
          </w:p>
        </w:tc>
      </w:tr>
      <w:tr>
        <w:tc>
          <w:tcPr>
            <w:tcW w:type="dxa" w:w="4334"/>
          </w:tcPr>
          <w:p>
            <w:r>
              <w:rPr>
                <w:rFonts w:ascii="Times New Roman" w:hAnsi="Times New Roman"/>
                <w:sz w:val="20"/>
              </w:rPr>
              <w:t xml:space="preserve">    6.2 Key Implementations Outlines of the System</w:t>
            </w:r>
          </w:p>
        </w:tc>
        <w:tc>
          <w:tcPr>
            <w:tcW w:type="dxa" w:w="4334"/>
          </w:tcPr>
          <w:p>
            <w:r>
              <w:rPr>
                <w:rFonts w:ascii="Times New Roman" w:hAnsi="Times New Roman"/>
                <w:sz w:val="20"/>
              </w:rPr>
              <w:t>27</w:t>
            </w:r>
          </w:p>
        </w:tc>
      </w:tr>
      <w:tr>
        <w:tc>
          <w:tcPr>
            <w:tcW w:type="dxa" w:w="4334"/>
          </w:tcPr>
          <w:p>
            <w:r>
              <w:rPr>
                <w:rFonts w:ascii="Times New Roman" w:hAnsi="Times New Roman"/>
                <w:sz w:val="20"/>
              </w:rPr>
              <w:t xml:space="preserve">    6.3 Significant Project Outcomes</w:t>
            </w:r>
          </w:p>
        </w:tc>
        <w:tc>
          <w:tcPr>
            <w:tcW w:type="dxa" w:w="4334"/>
          </w:tcPr>
          <w:p>
            <w:r>
              <w:rPr>
                <w:rFonts w:ascii="Times New Roman" w:hAnsi="Times New Roman"/>
                <w:sz w:val="20"/>
              </w:rPr>
              <w:t>28</w:t>
            </w:r>
          </w:p>
        </w:tc>
      </w:tr>
      <w:tr>
        <w:tc>
          <w:tcPr>
            <w:tcW w:type="dxa" w:w="4334"/>
          </w:tcPr>
          <w:p>
            <w:r>
              <w:rPr>
                <w:rFonts w:ascii="Times New Roman" w:hAnsi="Times New Roman"/>
                <w:sz w:val="20"/>
              </w:rPr>
              <w:t xml:space="preserve">    6.4 Project Applicability on Real-World Applications</w:t>
            </w:r>
          </w:p>
        </w:tc>
        <w:tc>
          <w:tcPr>
            <w:tcW w:type="dxa" w:w="4334"/>
          </w:tcPr>
          <w:p>
            <w:r>
              <w:rPr>
                <w:rFonts w:ascii="Times New Roman" w:hAnsi="Times New Roman"/>
                <w:sz w:val="20"/>
              </w:rPr>
              <w:t>29</w:t>
            </w:r>
          </w:p>
        </w:tc>
      </w:tr>
      <w:tr>
        <w:tc>
          <w:tcPr>
            <w:tcW w:type="dxa" w:w="4334"/>
          </w:tcPr>
          <w:p>
            <w:r>
              <w:rPr>
                <w:rFonts w:ascii="Times New Roman" w:hAnsi="Times New Roman"/>
                <w:sz w:val="20"/>
              </w:rPr>
              <w:t xml:space="preserve">    6.5 Inference</w:t>
            </w:r>
          </w:p>
        </w:tc>
        <w:tc>
          <w:tcPr>
            <w:tcW w:type="dxa" w:w="4334"/>
          </w:tcPr>
          <w:p>
            <w:r>
              <w:rPr>
                <w:rFonts w:ascii="Times New Roman" w:hAnsi="Times New Roman"/>
                <w:sz w:val="20"/>
              </w:rPr>
              <w:t>30</w:t>
            </w:r>
          </w:p>
        </w:tc>
      </w:tr>
      <w:tr>
        <w:tc>
          <w:tcPr>
            <w:tcW w:type="dxa" w:w="4334"/>
          </w:tcPr>
          <w:p>
            <w:r>
              <w:rPr>
                <w:rFonts w:ascii="Times New Roman" w:hAnsi="Times New Roman"/>
                <w:b/>
                <w:sz w:val="22"/>
              </w:rPr>
              <w:t>CHAPTER 7: CONCLUSIONS AND RECOMMENDATION</w:t>
            </w:r>
          </w:p>
        </w:tc>
        <w:tc>
          <w:tcPr>
            <w:tcW w:type="dxa" w:w="4334"/>
          </w:tcPr>
          <w:p>
            <w:r>
              <w:rPr>
                <w:rFonts w:ascii="Times New Roman" w:hAnsi="Times New Roman"/>
                <w:b/>
                <w:sz w:val="22"/>
              </w:rPr>
              <w:t>31</w:t>
            </w:r>
          </w:p>
        </w:tc>
      </w:tr>
      <w:tr>
        <w:tc>
          <w:tcPr>
            <w:tcW w:type="dxa" w:w="4334"/>
          </w:tcPr>
          <w:p>
            <w:r>
              <w:rPr>
                <w:rFonts w:ascii="Times New Roman" w:hAnsi="Times New Roman"/>
                <w:sz w:val="20"/>
              </w:rPr>
              <w:t xml:space="preserve">    7.1 Outline</w:t>
            </w:r>
          </w:p>
        </w:tc>
        <w:tc>
          <w:tcPr>
            <w:tcW w:type="dxa" w:w="4334"/>
          </w:tcPr>
          <w:p>
            <w:r>
              <w:rPr>
                <w:rFonts w:ascii="Times New Roman" w:hAnsi="Times New Roman"/>
                <w:sz w:val="20"/>
              </w:rPr>
              <w:t>31</w:t>
            </w:r>
          </w:p>
        </w:tc>
      </w:tr>
      <w:tr>
        <w:tc>
          <w:tcPr>
            <w:tcW w:type="dxa" w:w="4334"/>
          </w:tcPr>
          <w:p>
            <w:r>
              <w:rPr>
                <w:rFonts w:ascii="Times New Roman" w:hAnsi="Times New Roman"/>
                <w:sz w:val="20"/>
              </w:rPr>
              <w:t xml:space="preserve">    7.2 Limitations and Constraints of the System</w:t>
            </w:r>
          </w:p>
        </w:tc>
        <w:tc>
          <w:tcPr>
            <w:tcW w:type="dxa" w:w="4334"/>
          </w:tcPr>
          <w:p>
            <w:r>
              <w:rPr>
                <w:rFonts w:ascii="Times New Roman" w:hAnsi="Times New Roman"/>
                <w:sz w:val="20"/>
              </w:rPr>
              <w:t>31</w:t>
            </w:r>
          </w:p>
        </w:tc>
      </w:tr>
      <w:tr>
        <w:tc>
          <w:tcPr>
            <w:tcW w:type="dxa" w:w="4334"/>
          </w:tcPr>
          <w:p>
            <w:r>
              <w:rPr>
                <w:rFonts w:ascii="Times New Roman" w:hAnsi="Times New Roman"/>
                <w:sz w:val="20"/>
              </w:rPr>
              <w:t xml:space="preserve">    7.3 Future Enhancements</w:t>
            </w:r>
          </w:p>
        </w:tc>
        <w:tc>
          <w:tcPr>
            <w:tcW w:type="dxa" w:w="4334"/>
          </w:tcPr>
          <w:p>
            <w:r>
              <w:rPr>
                <w:rFonts w:ascii="Times New Roman" w:hAnsi="Times New Roman"/>
                <w:sz w:val="20"/>
              </w:rPr>
              <w:t>32</w:t>
            </w:r>
          </w:p>
        </w:tc>
      </w:tr>
      <w:tr>
        <w:tc>
          <w:tcPr>
            <w:tcW w:type="dxa" w:w="4334"/>
          </w:tcPr>
          <w:p>
            <w:r>
              <w:rPr>
                <w:rFonts w:ascii="Times New Roman" w:hAnsi="Times New Roman"/>
                <w:sz w:val="20"/>
              </w:rPr>
              <w:t xml:space="preserve">    7.4 Inference</w:t>
            </w:r>
          </w:p>
        </w:tc>
        <w:tc>
          <w:tcPr>
            <w:tcW w:type="dxa" w:w="4334"/>
          </w:tcPr>
          <w:p>
            <w:r>
              <w:rPr>
                <w:rFonts w:ascii="Times New Roman" w:hAnsi="Times New Roman"/>
                <w:sz w:val="20"/>
              </w:rPr>
              <w:t>33</w:t>
            </w:r>
          </w:p>
        </w:tc>
      </w:tr>
      <w:tr>
        <w:tc>
          <w:tcPr>
            <w:tcW w:type="dxa" w:w="4334"/>
          </w:tcPr>
          <w:p>
            <w:r>
              <w:rPr>
                <w:rFonts w:ascii="Times New Roman" w:hAnsi="Times New Roman"/>
                <w:sz w:val="20"/>
              </w:rPr>
              <w:t>APPENDIX A: CORE SYSTEM SOURCE CODE</w:t>
            </w:r>
          </w:p>
        </w:tc>
        <w:tc>
          <w:tcPr>
            <w:tcW w:type="dxa" w:w="4334"/>
          </w:tcPr>
          <w:p>
            <w:r>
              <w:rPr>
                <w:rFonts w:ascii="Times New Roman" w:hAnsi="Times New Roman"/>
                <w:sz w:val="20"/>
              </w:rPr>
              <w:t>34</w:t>
            </w:r>
          </w:p>
        </w:tc>
      </w:tr>
      <w:tr>
        <w:tc>
          <w:tcPr>
            <w:tcW w:type="dxa" w:w="4334"/>
          </w:tcPr>
          <w:p>
            <w:r>
              <w:rPr>
                <w:rFonts w:ascii="Times New Roman" w:hAnsi="Times New Roman"/>
                <w:sz w:val="20"/>
              </w:rPr>
              <w:t>APPENDIX B: USER MANUAL &amp; EXECUTION GUIDE</w:t>
            </w:r>
          </w:p>
        </w:tc>
        <w:tc>
          <w:tcPr>
            <w:tcW w:type="dxa" w:w="4334"/>
          </w:tcPr>
          <w:p>
            <w:r>
              <w:rPr>
                <w:rFonts w:ascii="Times New Roman" w:hAnsi="Times New Roman"/>
                <w:sz w:val="20"/>
              </w:rPr>
              <w:t>37</w:t>
            </w:r>
          </w:p>
        </w:tc>
      </w:tr>
      <w:tr>
        <w:tc>
          <w:tcPr>
            <w:tcW w:type="dxa" w:w="4334"/>
          </w:tcPr>
          <w:p>
            <w:r>
              <w:rPr>
                <w:rFonts w:ascii="Times New Roman" w:hAnsi="Times New Roman"/>
                <w:sz w:val="20"/>
              </w:rPr>
              <w:t>REFERENCES</w:t>
            </w:r>
          </w:p>
        </w:tc>
        <w:tc>
          <w:tcPr>
            <w:tcW w:type="dxa" w:w="4334"/>
          </w:tcPr>
          <w:p>
            <w:r>
              <w:rPr>
                <w:rFonts w:ascii="Times New Roman" w:hAnsi="Times New Roman"/>
                <w:sz w:val="20"/>
              </w:rPr>
              <w:t>39</w:t>
            </w:r>
          </w:p>
        </w:tc>
      </w:tr>
    </w:tbl>
    <w:p>
      <w:r>
        <w:br w:type="page"/>
      </w:r>
    </w:p>
    <w:p>
      <w:pPr>
        <w:keepNext/>
        <w:spacing w:before="360" w:after="160"/>
      </w:pPr>
      <w:r>
        <w:rPr>
          <w:rFonts w:ascii="Times New Roman" w:hAnsi="Times New Roman"/>
          <w:b/>
          <w:color w:val="000000"/>
          <w:sz w:val="32"/>
        </w:rPr>
        <w:t>CHAPTER 1: PROJECT DESCRIPTION AND OUTLINE</w:t>
      </w:r>
    </w:p>
    <w:p>
      <w:pPr>
        <w:keepNext/>
        <w:spacing w:before="280" w:after="120"/>
      </w:pPr>
      <w:r>
        <w:rPr>
          <w:rFonts w:ascii="Times New Roman" w:hAnsi="Times New Roman"/>
          <w:b/>
          <w:color w:val="000000"/>
          <w:sz w:val="28"/>
        </w:rPr>
        <w:t>1.1 Introduction</w:t>
      </w:r>
    </w:p>
    <w:p>
      <w:pPr>
        <w:spacing w:before="0" w:after="120" w:line="360" w:lineRule="auto"/>
        <w:jc w:val="both"/>
      </w:pPr>
      <w:r>
        <w:rPr>
          <w:rFonts w:ascii="Times New Roman" w:hAnsi="Times New Roman"/>
          <w:b w:val="0"/>
          <w:i w:val="0"/>
          <w:sz w:val="24"/>
        </w:rPr>
        <w:t>Tuberculosis (TB) is a communicable infectious disease caused by Mycobacterium tuberculosis, which predominantly attacks pulmonary tissue in the lungs. It spreads aerially when individuals with active pulmonary TB expel droplet nuclei through coughing, sneezing, or speaking. While tuberculosis is curable and preventable with standardized antibacterial regimens, it persists as a major public health crisis. The World Health Organization (WHO) Global Tuberculosis Report documents over 10.6 million active cases annually, resulting in roughly 1.3 million fatalities, with disproportionate morbidity in low- and middle-income countries across South Asia and Sub-Saharan Africa.</w:t>
        <w:br/>
        <w:br/>
        <w:t>Rapid diagnostic screening is critical to breaking the chain of transmission. Chest radiography (X-ray) remains the primary, most economical, and widely accessible diagnostic imaging modality for pulmonary screening. However, early radiographic manifestations of tuberculosis (such as apical infiltrates, cavitary lesions, and lymphadenopathy) can be subtle. Interpreting these radiographs requires experienced thoracic radiologists. In resource-limited regional clinics and rural primary health centers, radiologist shortages create severe backlogs, delaying treatment initiation by weeks. This project implements an automated, high-precision Computer-Aided Diagnostic (CAD) system leveraging Transfer Learning with the VGG16 architecture, integrated with a lightweight Flask web platform for rapid point-of-care screening.</w:t>
      </w:r>
    </w:p>
    <w:p>
      <w:pPr>
        <w:keepNext/>
        <w:spacing w:before="280" w:after="120"/>
      </w:pPr>
      <w:r>
        <w:rPr>
          <w:rFonts w:ascii="Times New Roman" w:hAnsi="Times New Roman"/>
          <w:b/>
          <w:color w:val="000000"/>
          <w:sz w:val="28"/>
        </w:rPr>
        <w:t>1.2 Motivation for the Work</w:t>
      </w:r>
    </w:p>
    <w:p>
      <w:pPr>
        <w:spacing w:before="0" w:after="120" w:line="360" w:lineRule="auto"/>
        <w:jc w:val="both"/>
      </w:pPr>
      <w:r>
        <w:rPr>
          <w:rFonts w:ascii="Times New Roman" w:hAnsi="Times New Roman"/>
          <w:b w:val="0"/>
          <w:i w:val="0"/>
          <w:sz w:val="24"/>
        </w:rPr>
        <w:t>This project is motivated by three critical global healthcare challenges:</w:t>
        <w:br/>
        <w:t>1. Critical Radiologist Deficit: In peripheral and rural clinics, the specialist radiologist-to-patient ratio often falls below 1 per 100,000 citizens. Patients are forced to wait several days or travel extensive distances to district hospitals for radiological confirmation.</w:t>
        <w:br/>
        <w:t>2. Clinical Cost Asymmetry: In medical diagnosis, a False Negative error (classifying an active TB patient as healthy) is clinically catastrophic; an undiagnosed patient remains untreated, experiences disease progression, and infects an average of 10 to 15 close contacts per year. Conversely, a False Positive simply prompts a routine secondary confirmatory microbiological test. High sensitivity is therefore paramount.</w:t>
        <w:br/>
        <w:t>3. Computational Accessibility: Many academic deep learning solutions rely on complex multi-stage pipelines requiring high-end GPU workstations. There is an urgent clinical need for an efficient, lightweight transfer learning model that executes in under 1.5 seconds on commodity consumer laptops.</w:t>
      </w:r>
    </w:p>
    <w:p>
      <w:pPr>
        <w:keepNext/>
        <w:spacing w:before="280" w:after="120"/>
      </w:pPr>
      <w:r>
        <w:rPr>
          <w:rFonts w:ascii="Times New Roman" w:hAnsi="Times New Roman"/>
          <w:b/>
          <w:color w:val="000000"/>
          <w:sz w:val="28"/>
        </w:rPr>
        <w:t>1.3 Problem Statement</w:t>
      </w:r>
    </w:p>
    <w:p>
      <w:pPr>
        <w:spacing w:before="0" w:after="120" w:line="360" w:lineRule="auto"/>
        <w:jc w:val="both"/>
      </w:pPr>
      <w:r>
        <w:rPr>
          <w:rFonts w:ascii="Times New Roman" w:hAnsi="Times New Roman"/>
          <w:b w:val="0"/>
          <w:i w:val="0"/>
          <w:sz w:val="24"/>
        </w:rPr>
        <w:t>To engineer an automated, robust, and computationally efficient deep learning diagnostic system utilizing VGG16 Transfer Learning to classify chest radiographs into Normal (healthy) and Tuberculosis-positive categories with high sensitivity. The system must eliminate data contamination through physical 70/15/15 dataset isolation, achieve clinically viable accuracy (&gt;95%), and provide an intuitive web interface for instant point-of-care clinical triaging without requiring specialized hardware.</w:t>
      </w:r>
    </w:p>
    <w:p>
      <w:pPr>
        <w:keepNext/>
        <w:spacing w:before="280" w:after="120"/>
      </w:pPr>
      <w:r>
        <w:rPr>
          <w:rFonts w:ascii="Times New Roman" w:hAnsi="Times New Roman"/>
          <w:b/>
          <w:color w:val="000000"/>
          <w:sz w:val="28"/>
        </w:rPr>
        <w:t>1.4 Objective of the Work</w:t>
      </w:r>
    </w:p>
    <w:p>
      <w:pPr>
        <w:spacing w:before="0" w:after="120" w:line="360" w:lineRule="auto"/>
        <w:jc w:val="both"/>
      </w:pPr>
      <w:r>
        <w:rPr>
          <w:rFonts w:ascii="Times New Roman" w:hAnsi="Times New Roman"/>
          <w:b w:val="0"/>
          <w:i w:val="0"/>
          <w:sz w:val="24"/>
        </w:rPr>
        <w:t>The primary objectives of this project include:</w:t>
        <w:br/>
        <w:t>• To curate, preprocess, and standardize a benchmark dataset of 4,200 chest radiographs into 224x224 RGB format.</w:t>
        <w:br/>
        <w:t>• To enforce rigorous 70% Training (2,939), 15% Validation (630), and 15% Testing (631) physical folder partitioning to ensure zero data leakage.</w:t>
        <w:br/>
        <w:t>• To develop a Transfer Learning architecture using frozen pre-trained VGG16 feature extraction combined with Global Average Pooling and dense regularization.</w:t>
        <w:br/>
        <w:t>• To train, validate, and serialize the deep learning model to disk (tb_model.h5) within 10 epochs on consumer hardware.</w:t>
        <w:br/>
        <w:t>• To rigorously quantify diagnostic accuracy, sensitivity, specificity, and confusion matrix metrics on the 631 unseen test scans.</w:t>
        <w:br/>
        <w:t>• To build and deploy an interactive Flask web application featuring instant image preview, animated percentage confidence meters, and clear diagnostic badges.</w:t>
      </w:r>
    </w:p>
    <w:p>
      <w:pPr>
        <w:keepNext/>
        <w:spacing w:before="280" w:after="120"/>
      </w:pPr>
      <w:r>
        <w:rPr>
          <w:rFonts w:ascii="Times New Roman" w:hAnsi="Times New Roman"/>
          <w:b/>
          <w:color w:val="000000"/>
          <w:sz w:val="28"/>
        </w:rPr>
        <w:t>1.5 Organization of the Project</w:t>
      </w:r>
    </w:p>
    <w:p>
      <w:pPr>
        <w:spacing w:before="0" w:after="120" w:line="360" w:lineRule="auto"/>
        <w:jc w:val="both"/>
      </w:pPr>
      <w:r>
        <w:rPr>
          <w:rFonts w:ascii="Times New Roman" w:hAnsi="Times New Roman"/>
          <w:b w:val="0"/>
          <w:i w:val="0"/>
          <w:sz w:val="24"/>
        </w:rPr>
        <w:t>The remainder of this report is organized as follows:</w:t>
        <w:br/>
        <w:t>• Chapter 2 presents a comprehensive investigation of related literature, existing diagnostic modalities, and their limitations.</w:t>
        <w:br/>
        <w:t>• Chapter 3 delineates the software, hardware, functional, data, and security requirements.</w:t>
        <w:br/>
        <w:t>• Chapter 4 details the design methodology, VGG16 transfer learning architecture, and user interface specifications.</w:t>
        <w:br/>
        <w:t>• Chapter 5 discusses technical implementations, code solutions, training convergence, and experimental testing results.</w:t>
        <w:br/>
        <w:t>• Chapter 6 explores project outcomes, confusion matrix analysis, and real-world clinical applicability.</w:t>
        <w:br/>
        <w:t>• Chapter 7 concludes the study with limitations, ethical reflections, and future enhancement roadmaps.</w:t>
        <w:br/>
        <w:t>• Appendices A &amp; B provide core source listings and user installation instructions, followed by IEEE references.</w:t>
      </w:r>
    </w:p>
    <w:p>
      <w:pPr>
        <w:keepNext/>
        <w:spacing w:before="280" w:after="120"/>
      </w:pPr>
      <w:r>
        <w:rPr>
          <w:rFonts w:ascii="Times New Roman" w:hAnsi="Times New Roman"/>
          <w:b/>
          <w:color w:val="000000"/>
          <w:sz w:val="28"/>
        </w:rPr>
        <w:t>1.6 Summary</w:t>
      </w:r>
    </w:p>
    <w:p>
      <w:pPr>
        <w:spacing w:before="0" w:after="120" w:line="360" w:lineRule="auto"/>
        <w:jc w:val="both"/>
      </w:pPr>
      <w:r>
        <w:rPr>
          <w:rFonts w:ascii="Times New Roman" w:hAnsi="Times New Roman"/>
          <w:b w:val="0"/>
          <w:i w:val="0"/>
          <w:sz w:val="24"/>
        </w:rPr>
        <w:t>Chapter 1 established the clinical gravity of tuberculosis and the pressing need for automated chest radiograph screening. The research objectives and methodological framework were defined, setting the stage for subsequent technical investigation.</w:t>
      </w:r>
    </w:p>
    <w:p>
      <w:r>
        <w:br w:type="page"/>
      </w:r>
    </w:p>
    <w:p>
      <w:pPr>
        <w:keepNext/>
        <w:spacing w:before="360" w:after="160"/>
      </w:pPr>
      <w:r>
        <w:rPr>
          <w:rFonts w:ascii="Times New Roman" w:hAnsi="Times New Roman"/>
          <w:b/>
          <w:color w:val="000000"/>
          <w:sz w:val="32"/>
        </w:rPr>
        <w:t>CHAPTER 2: RELATED WORK INVESTIGATION</w:t>
      </w:r>
    </w:p>
    <w:p>
      <w:pPr>
        <w:keepNext/>
        <w:spacing w:before="280" w:after="120"/>
      </w:pPr>
      <w:r>
        <w:rPr>
          <w:rFonts w:ascii="Times New Roman" w:hAnsi="Times New Roman"/>
          <w:b/>
          <w:color w:val="000000"/>
          <w:sz w:val="28"/>
        </w:rPr>
        <w:t>2.1 Introduction</w:t>
      </w:r>
    </w:p>
    <w:p>
      <w:pPr>
        <w:spacing w:before="0" w:after="120" w:line="360" w:lineRule="auto"/>
        <w:jc w:val="both"/>
      </w:pPr>
      <w:r>
        <w:rPr>
          <w:rFonts w:ascii="Times New Roman" w:hAnsi="Times New Roman"/>
          <w:b w:val="0"/>
          <w:i w:val="0"/>
          <w:sz w:val="24"/>
        </w:rPr>
        <w:t>Computer-aided pulmonary disease detection has evolved from early rule-based image processing to modern convolutional neural networks. This chapter reviews traditional diagnostic modalities, evaluates published deep learning architectures, and identifies key research gaps.</w:t>
      </w:r>
    </w:p>
    <w:p>
      <w:pPr>
        <w:keepNext/>
        <w:spacing w:before="280" w:after="120"/>
      </w:pPr>
      <w:r>
        <w:rPr>
          <w:rFonts w:ascii="Times New Roman" w:hAnsi="Times New Roman"/>
          <w:b/>
          <w:color w:val="000000"/>
          <w:sz w:val="28"/>
        </w:rPr>
        <w:t>2.2 Medical Image Analysis &amp; Deep Learning</w:t>
      </w:r>
    </w:p>
    <w:p>
      <w:pPr>
        <w:spacing w:before="0" w:after="120" w:line="360" w:lineRule="auto"/>
        <w:jc w:val="both"/>
      </w:pPr>
      <w:r>
        <w:rPr>
          <w:rFonts w:ascii="Times New Roman" w:hAnsi="Times New Roman"/>
          <w:b w:val="0"/>
          <w:i w:val="0"/>
          <w:sz w:val="24"/>
        </w:rPr>
        <w:t>Chest radiography represents radiographic projection where tissue density determines photon attenuation. Healthy lung parenchyma is radiolucent (appears dark) due to air filling. Mycobacterium tuberculosis produces granulomatous inflammation, caseous necrosis, and cavitation, manifesting as radio-opaque consolidation, infiltrates, and nodules (white patches). Deep Convolutional Neural Networks (CNNs) are uniquely suited for radiographic pattern recognition due to hierarchical spatial feature extraction, progressing from localized edges to complex pathological textures.</w:t>
      </w:r>
    </w:p>
    <w:p>
      <w:pPr>
        <w:keepNext/>
        <w:spacing w:before="280" w:after="120"/>
      </w:pPr>
      <w:r>
        <w:rPr>
          <w:rFonts w:ascii="Times New Roman" w:hAnsi="Times New Roman"/>
          <w:b/>
          <w:color w:val="000000"/>
          <w:sz w:val="28"/>
        </w:rPr>
        <w:t>2.3 Existing Approaches and Methods</w:t>
      </w:r>
    </w:p>
    <w:p>
      <w:pPr>
        <w:spacing w:before="0" w:after="120" w:line="360" w:lineRule="auto"/>
        <w:jc w:val="both"/>
      </w:pPr>
      <w:r>
        <w:rPr>
          <w:rFonts w:ascii="Times New Roman" w:hAnsi="Times New Roman"/>
          <w:b w:val="0"/>
          <w:i w:val="0"/>
          <w:sz w:val="24"/>
        </w:rPr>
        <w:t>2.3.1 Microbiological Sputum Smear Microscopy and Culture</w:t>
        <w:br/>
        <w:t>The historical benchmark for pulmonary TB diagnosis is sputum smear microscopy using Ziehl-Neelsen staining. While highly specific, smear microscopy exhibits low clinical sensitivity (50-60%) in early or paucibacillary cases. Bacterial culture offers high sensitivity but requires 2 to 6 weeks for growth, rendering it ineffective for acute triaging in rural primary care centers.</w:t>
        <w:br/>
        <w:br/>
        <w:t>2.3.2 Manual Radiological Inspection</w:t>
        <w:br/>
        <w:t>Manual inspection of chest X-rays by radiologists is effective but susceptible to observer fatigue and high inter-reader variability (15-30%), particularly when subtle apical infiltrates are obscured by clavicular shadows. In low-resource regions, specialist radiologist scarcity remains acute.</w:t>
        <w:br/>
        <w:br/>
        <w:t>2.3.3 Deep Learning Architectures in Literature</w:t>
        <w:br/>
        <w:t>Recent literature explores CNN models such as ResNet, DenseNet, CheXNet, and custom convolutional architectures. While promising, many published models suffer from severe overfitting when trained from scratch on small cohorts, or rely on complex multi-stage segmentation ensembles that demand heavy GPU infrastructure.</w:t>
      </w:r>
    </w:p>
    <w:p>
      <w:pPr>
        <w:keepNext/>
        <w:spacing w:before="280" w:after="120"/>
      </w:pPr>
      <w:r>
        <w:rPr>
          <w:rFonts w:ascii="Times New Roman" w:hAnsi="Times New Roman"/>
          <w:b/>
          <w:color w:val="000000"/>
          <w:sz w:val="28"/>
        </w:rPr>
        <w:t>2.4 Pros and Cons of Stated Approaches</w:t>
      </w:r>
    </w:p>
    <w:tbl>
      <w:tblPr>
        <w:tblW w:type="auto" w:w="0"/>
        <w:jc w:val="center"/>
        <w:tblLook w:firstColumn="1" w:firstRow="1" w:lastColumn="0" w:lastRow="0" w:noHBand="0" w:noVBand="1" w:val="04A0"/>
      </w:tblPr>
      <w:tblGrid>
        <w:gridCol w:w="2592"/>
        <w:gridCol w:w="2592"/>
        <w:gridCol w:w="2304"/>
        <w:gridCol w:w="2592"/>
      </w:tblGrid>
      <w:tr>
        <w:tc>
          <w:tcPr>
            <w:tcW w:type="dxa" w:w="2167"/>
          </w:tcPr>
          <w:p>
            <w:r>
              <w:rPr>
                <w:b/>
                <w:sz w:val="20"/>
              </w:rPr>
              <w:t>Author &amp; Year</w:t>
            </w:r>
          </w:p>
        </w:tc>
        <w:tc>
          <w:tcPr>
            <w:tcW w:type="dxa" w:w="2167"/>
          </w:tcPr>
          <w:p>
            <w:r>
              <w:rPr>
                <w:b/>
                <w:sz w:val="20"/>
              </w:rPr>
              <w:t>Methodology</w:t>
            </w:r>
          </w:p>
        </w:tc>
        <w:tc>
          <w:tcPr>
            <w:tcW w:type="dxa" w:w="2167"/>
          </w:tcPr>
          <w:p>
            <w:r>
              <w:rPr>
                <w:b/>
                <w:sz w:val="20"/>
              </w:rPr>
              <w:t>Reported Results</w:t>
            </w:r>
          </w:p>
        </w:tc>
        <w:tc>
          <w:tcPr>
            <w:tcW w:type="dxa" w:w="2167"/>
          </w:tcPr>
          <w:p>
            <w:r>
              <w:rPr>
                <w:b/>
                <w:sz w:val="20"/>
              </w:rPr>
              <w:t>Limitations</w:t>
            </w:r>
          </w:p>
        </w:tc>
      </w:tr>
      <w:tr>
        <w:tc>
          <w:tcPr>
            <w:tcW w:type="dxa" w:w="2167"/>
          </w:tcPr>
          <w:p>
            <w:r>
              <w:rPr>
                <w:sz w:val="19"/>
              </w:rPr>
              <w:t>Rahman et al. (2020)</w:t>
            </w:r>
          </w:p>
        </w:tc>
        <w:tc>
          <w:tcPr>
            <w:tcW w:type="dxa" w:w="2167"/>
          </w:tcPr>
          <w:p>
            <w:r>
              <w:rPr>
                <w:sz w:val="19"/>
              </w:rPr>
              <w:t>DenseNet-201 + UNet Lung Segmentation</w:t>
            </w:r>
          </w:p>
        </w:tc>
        <w:tc>
          <w:tcPr>
            <w:tcW w:type="dxa" w:w="2167"/>
          </w:tcPr>
          <w:p>
            <w:r>
              <w:rPr>
                <w:sz w:val="19"/>
              </w:rPr>
              <w:t>Accuracy: 98.6%</w:t>
            </w:r>
          </w:p>
        </w:tc>
        <w:tc>
          <w:tcPr>
            <w:tcW w:type="dxa" w:w="2167"/>
          </w:tcPr>
          <w:p>
            <w:r>
              <w:rPr>
                <w:sz w:val="19"/>
              </w:rPr>
              <w:t>Complex two-stage pipeline; high latency and compute requirements.</w:t>
            </w:r>
          </w:p>
        </w:tc>
      </w:tr>
      <w:tr>
        <w:tc>
          <w:tcPr>
            <w:tcW w:type="dxa" w:w="2167"/>
          </w:tcPr>
          <w:p>
            <w:r>
              <w:rPr>
                <w:sz w:val="19"/>
              </w:rPr>
              <w:t>Lakhani &amp; Sundaram (2017)</w:t>
            </w:r>
          </w:p>
        </w:tc>
        <w:tc>
          <w:tcPr>
            <w:tcW w:type="dxa" w:w="2167"/>
          </w:tcPr>
          <w:p>
            <w:r>
              <w:rPr>
                <w:sz w:val="19"/>
              </w:rPr>
              <w:t>Ensemble of AlexNet &amp; GoogLeNet</w:t>
            </w:r>
          </w:p>
        </w:tc>
        <w:tc>
          <w:tcPr>
            <w:tcW w:type="dxa" w:w="2167"/>
          </w:tcPr>
          <w:p>
            <w:r>
              <w:rPr>
                <w:sz w:val="19"/>
              </w:rPr>
              <w:t>ROC-AUC: 0.99</w:t>
            </w:r>
          </w:p>
        </w:tc>
        <w:tc>
          <w:tcPr>
            <w:tcW w:type="dxa" w:w="2167"/>
          </w:tcPr>
          <w:p>
            <w:r>
              <w:rPr>
                <w:sz w:val="19"/>
              </w:rPr>
              <w:t>Small cohort (1,007 scans); dual-model ensemble memory footprint.</w:t>
            </w:r>
          </w:p>
        </w:tc>
      </w:tr>
      <w:tr>
        <w:tc>
          <w:tcPr>
            <w:tcW w:type="dxa" w:w="2167"/>
          </w:tcPr>
          <w:p>
            <w:r>
              <w:rPr>
                <w:sz w:val="19"/>
              </w:rPr>
              <w:t>Hwang et al. (2019)</w:t>
            </w:r>
          </w:p>
        </w:tc>
        <w:tc>
          <w:tcPr>
            <w:tcW w:type="dxa" w:w="2167"/>
          </w:tcPr>
          <w:p>
            <w:r>
              <w:rPr>
                <w:sz w:val="19"/>
              </w:rPr>
              <w:t>Custom Deep CNN on hospital cohort</w:t>
            </w:r>
          </w:p>
        </w:tc>
        <w:tc>
          <w:tcPr>
            <w:tcW w:type="dxa" w:w="2167"/>
          </w:tcPr>
          <w:p>
            <w:r>
              <w:rPr>
                <w:sz w:val="19"/>
              </w:rPr>
              <w:t>AUC: 0.977, Sens: 94.3%</w:t>
            </w:r>
          </w:p>
        </w:tc>
        <w:tc>
          <w:tcPr>
            <w:tcW w:type="dxa" w:w="2167"/>
          </w:tcPr>
          <w:p>
            <w:r>
              <w:rPr>
                <w:sz w:val="19"/>
              </w:rPr>
              <w:t>Proprietary dataset; closed-source pipeline; no web deployment interface.</w:t>
            </w:r>
          </w:p>
        </w:tc>
      </w:tr>
      <w:tr>
        <w:tc>
          <w:tcPr>
            <w:tcW w:type="dxa" w:w="2167"/>
          </w:tcPr>
          <w:p>
            <w:r>
              <w:rPr>
                <w:sz w:val="19"/>
              </w:rPr>
              <w:t>Our Proposed System (2026)</w:t>
            </w:r>
          </w:p>
        </w:tc>
        <w:tc>
          <w:tcPr>
            <w:tcW w:type="dxa" w:w="2167"/>
          </w:tcPr>
          <w:p>
            <w:r>
              <w:rPr>
                <w:sz w:val="19"/>
              </w:rPr>
              <w:t>VGG16 Transfer Learning + GAP2D + Flask</w:t>
            </w:r>
          </w:p>
        </w:tc>
        <w:tc>
          <w:tcPr>
            <w:tcW w:type="dxa" w:w="2167"/>
          </w:tcPr>
          <w:p>
            <w:r>
              <w:rPr>
                <w:sz w:val="19"/>
              </w:rPr>
              <w:t>Accuracy: 98.57%, Sens: 93.4%</w:t>
            </w:r>
          </w:p>
        </w:tc>
        <w:tc>
          <w:tcPr>
            <w:tcW w:type="dxa" w:w="2167"/>
          </w:tcPr>
          <w:p>
            <w:r>
              <w:rPr>
                <w:sz w:val="19"/>
              </w:rPr>
              <w:t>Physically isolated 631 test scans; zero data leakage; lightweight web app.</w:t>
            </w:r>
          </w:p>
        </w:tc>
      </w:tr>
    </w:tbl>
    <w:p>
      <w:pPr>
        <w:keepNext/>
        <w:spacing w:before="280" w:after="120"/>
      </w:pPr>
      <w:r>
        <w:rPr>
          <w:rFonts w:ascii="Times New Roman" w:hAnsi="Times New Roman"/>
          <w:b/>
          <w:color w:val="000000"/>
          <w:sz w:val="28"/>
        </w:rPr>
        <w:t>2.5 Issues and Observations from Investigation</w:t>
      </w:r>
    </w:p>
    <w:p>
      <w:pPr>
        <w:spacing w:before="0" w:after="120" w:line="360" w:lineRule="auto"/>
        <w:jc w:val="both"/>
      </w:pPr>
      <w:r>
        <w:rPr>
          <w:rFonts w:ascii="Times New Roman" w:hAnsi="Times New Roman"/>
          <w:b w:val="0"/>
          <w:i w:val="0"/>
          <w:sz w:val="24"/>
        </w:rPr>
        <w:t>Investigation of the literature revealed three critical vulnerabilities:</w:t>
        <w:br/>
        <w:t>1. Data Leakage and Unreliable Splitting: Many published studies perform random sample splitting after applying global transformations, or fail to physically isolate a held-out test set, inflating published accuracy metrics.</w:t>
        <w:br/>
        <w:t>2. Class Imbalance Blindspot: Standard chest radiograph archives contain 5 times more normal cases than positive TB cases. Evaluating models solely on overall accuracy conceals poor sensitivity on the minority infected class.</w:t>
        <w:br/>
        <w:t>3. Lack of Point-of-Care Integration: Most models remain isolated Jupyter notebooks without accessible user-facing applications for healthcare workers.</w:t>
      </w:r>
    </w:p>
    <w:p>
      <w:pPr>
        <w:keepNext/>
        <w:spacing w:before="280" w:after="120"/>
      </w:pPr>
      <w:r>
        <w:rPr>
          <w:rFonts w:ascii="Times New Roman" w:hAnsi="Times New Roman"/>
          <w:b/>
          <w:color w:val="000000"/>
          <w:sz w:val="28"/>
        </w:rPr>
        <w:t>2.6 Summary</w:t>
      </w:r>
    </w:p>
    <w:p>
      <w:pPr>
        <w:spacing w:before="0" w:after="120" w:line="360" w:lineRule="auto"/>
        <w:jc w:val="both"/>
      </w:pPr>
      <w:r>
        <w:rPr>
          <w:rFonts w:ascii="Times New Roman" w:hAnsi="Times New Roman"/>
          <w:b w:val="0"/>
          <w:i w:val="0"/>
          <w:sz w:val="24"/>
        </w:rPr>
        <w:t>Chapter 2 analyzed traditional microbiological tests, clinical radiologist workflows, and recent deep learning literature. The findings confirmed that a lightweight VGG16 transfer learning model with verified physical test partitioning provides an optimal balance of accuracy and clinical efficiency.</w:t>
      </w:r>
    </w:p>
    <w:p>
      <w:r>
        <w:br w:type="page"/>
      </w:r>
    </w:p>
    <w:p>
      <w:pPr>
        <w:keepNext/>
        <w:spacing w:before="360" w:after="160"/>
      </w:pPr>
      <w:r>
        <w:rPr>
          <w:rFonts w:ascii="Times New Roman" w:hAnsi="Times New Roman"/>
          <w:b/>
          <w:color w:val="000000"/>
          <w:sz w:val="32"/>
        </w:rPr>
        <w:t>CHAPTER 3: REQUIREMENT ARTIFACTS</w:t>
      </w:r>
    </w:p>
    <w:p>
      <w:pPr>
        <w:keepNext/>
        <w:spacing w:before="280" w:after="120"/>
      </w:pPr>
      <w:r>
        <w:rPr>
          <w:rFonts w:ascii="Times New Roman" w:hAnsi="Times New Roman"/>
          <w:b/>
          <w:color w:val="000000"/>
          <w:sz w:val="28"/>
        </w:rPr>
        <w:t>3.1 Introduction</w:t>
      </w:r>
    </w:p>
    <w:p>
      <w:pPr>
        <w:spacing w:before="0" w:after="120" w:line="360" w:lineRule="auto"/>
        <w:jc w:val="both"/>
      </w:pPr>
      <w:r>
        <w:rPr>
          <w:rFonts w:ascii="Times New Roman" w:hAnsi="Times New Roman"/>
          <w:b w:val="0"/>
          <w:i w:val="0"/>
          <w:sz w:val="24"/>
        </w:rPr>
        <w:t>Software engineering rigor requires comprehensive requirement elicitation prior to architectural implementation. This chapter formalizes the operational hardware, software, dataset, security, and interface specifications.</w:t>
      </w:r>
    </w:p>
    <w:p>
      <w:pPr>
        <w:keepNext/>
        <w:spacing w:before="280" w:after="120"/>
      </w:pPr>
      <w:r>
        <w:rPr>
          <w:rFonts w:ascii="Times New Roman" w:hAnsi="Times New Roman"/>
          <w:b/>
          <w:color w:val="000000"/>
          <w:sz w:val="28"/>
        </w:rPr>
        <w:t>3.2 Hardware and Software Requirements</w:t>
      </w:r>
    </w:p>
    <w:p>
      <w:pPr>
        <w:spacing w:before="0" w:after="120" w:line="360" w:lineRule="auto"/>
        <w:jc w:val="both"/>
      </w:pPr>
      <w:r>
        <w:rPr>
          <w:rFonts w:ascii="Times New Roman" w:hAnsi="Times New Roman"/>
          <w:b w:val="0"/>
          <w:i w:val="0"/>
          <w:sz w:val="24"/>
        </w:rPr>
        <w:t>To ensure deployment feasibility in primary rural clinics, the system is designed to run efficiently on standard consumer-grade computing equipment:</w:t>
        <w:br/>
        <w:br/>
        <w:t>• Operating System: Microsoft Windows 10/11 64-bit, Ubuntu Linux 20.04+, or macOS.</w:t>
        <w:br/>
        <w:t>• Language Runtime: Python 3.10+ (tested and verified on Python 3.14 x64 environment).</w:t>
        <w:br/>
        <w:t>• Deep Learning Framework: TensorFlow 2.15+ / Keras with pre-trained VGG16 ImageNet weights.</w:t>
        <w:br/>
        <w:t>• Web Backend: Flask 3.x (lightweight WSGI web application framework).</w:t>
        <w:br/>
        <w:t>• Image Processing: Pillow (PIL) 10+ and NumPy 1.26+ for in-memory byte decoding and matrix manipulation.</w:t>
        <w:br/>
        <w:t>• Frontend Architecture: HTML5, CSS3, and Vanilla JavaScript (Fetch API).</w:t>
        <w:br/>
        <w:t>• Hardware Specification: Intel Core i5/i7 (8th Gen+) or AMD Ryzen 5 CPU, 8 GB RAM, 2 GB disk storage. No dedicated GPU required for inference.</w:t>
      </w:r>
    </w:p>
    <w:p>
      <w:pPr>
        <w:keepNext/>
        <w:spacing w:before="280" w:after="120"/>
      </w:pPr>
      <w:r>
        <w:rPr>
          <w:rFonts w:ascii="Times New Roman" w:hAnsi="Times New Roman"/>
          <w:b/>
          <w:color w:val="000000"/>
          <w:sz w:val="28"/>
        </w:rPr>
        <w:t>3.3 Specific Project Requirements</w:t>
      </w:r>
    </w:p>
    <w:p>
      <w:pPr>
        <w:spacing w:before="0" w:after="120" w:line="360" w:lineRule="auto"/>
        <w:jc w:val="both"/>
      </w:pPr>
      <w:r>
        <w:rPr>
          <w:rFonts w:ascii="Times New Roman" w:hAnsi="Times New Roman"/>
          <w:b w:val="0"/>
          <w:i w:val="0"/>
          <w:sz w:val="24"/>
        </w:rPr>
        <w:t>3.3.1 Data Requirements</w:t>
        <w:br/>
        <w:t>The project utilizes the benchmark Tuberculosis (TB) Chest X-ray Database curated by Rahman et al. in collaboration with Hamad Medical Corporation. The dataset contains 4,200 digitized chest radiographs (3,500 Normal and 700 Tuberculosis-positive cases). All images are standardized to 224x224 RGB format.</w:t>
        <w:br/>
        <w:t>To ensure absolute scientific validity, the data is partitioned physically into 3 separate folders:</w:t>
        <w:br/>
        <w:t>• Training Set (70%): 2,939 images (2,450 Normal, 489 TB)</w:t>
        <w:br/>
        <w:t>• Validation Set (15%): 630 images (525 Normal, 105 TB)</w:t>
        <w:br/>
        <w:t>• Held-out Test Set (15%): 631 images (525 Normal, 106 TB)</w:t>
      </w:r>
    </w:p>
    <w:p>
      <w:pPr>
        <w:spacing w:before="160" w:after="80"/>
        <w:jc w:val="center"/>
      </w:pPr>
      <w:r>
        <w:drawing>
          <wp:inline xmlns:a="http://schemas.openxmlformats.org/drawingml/2006/main" xmlns:pic="http://schemas.openxmlformats.org/drawingml/2006/picture">
            <wp:extent cx="4754880" cy="3169920"/>
            <wp:docPr id="1" name="Picture 1"/>
            <wp:cNvGraphicFramePr>
              <a:graphicFrameLocks noChangeAspect="1"/>
            </wp:cNvGraphicFramePr>
            <a:graphic>
              <a:graphicData uri="http://schemas.openxmlformats.org/drawingml/2006/picture">
                <pic:pic>
                  <pic:nvPicPr>
                    <pic:cNvPr id="0" name="sample_images.png"/>
                    <pic:cNvPicPr/>
                  </pic:nvPicPr>
                  <pic:blipFill>
                    <a:blip r:embed="rId9"/>
                    <a:stretch>
                      <a:fillRect/>
                    </a:stretch>
                  </pic:blipFill>
                  <pic:spPr>
                    <a:xfrm>
                      <a:off x="0" y="0"/>
                      <a:ext cx="4754880" cy="3169920"/>
                    </a:xfrm>
                    <a:prstGeom prst="rect"/>
                  </pic:spPr>
                </pic:pic>
              </a:graphicData>
            </a:graphic>
          </wp:inline>
        </w:drawing>
      </w:r>
    </w:p>
    <w:p>
      <w:pPr>
        <w:spacing w:before="40" w:after="200"/>
        <w:jc w:val="center"/>
      </w:pPr>
      <w:r>
        <w:rPr>
          <w:rFonts w:ascii="Times New Roman" w:hAnsi="Times New Roman"/>
          <w:b/>
          <w:i/>
          <w:sz w:val="21"/>
        </w:rPr>
        <w:t>Figure 3.1: Sample Chest X-Rays: Healthy Lungs vs Tuberculosis Lungs</w:t>
      </w:r>
    </w:p>
    <w:p>
      <w:pPr>
        <w:spacing w:before="160" w:after="8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4754880" cy="3169920"/>
                    </a:xfrm>
                    <a:prstGeom prst="rect"/>
                  </pic:spPr>
                </pic:pic>
              </a:graphicData>
            </a:graphic>
          </wp:inline>
        </w:drawing>
      </w:r>
    </w:p>
    <w:p>
      <w:pPr>
        <w:spacing w:before="40" w:after="200"/>
        <w:jc w:val="center"/>
      </w:pPr>
      <w:r>
        <w:rPr>
          <w:rFonts w:ascii="Times New Roman" w:hAnsi="Times New Roman"/>
          <w:b/>
          <w:i/>
          <w:sz w:val="21"/>
        </w:rPr>
        <w:t>Figure 3.2: Dataset Class Distribution (3,500 Normal vs 700 Tuberculosis)</w:t>
      </w:r>
    </w:p>
    <w:p>
      <w:pPr>
        <w:spacing w:before="0" w:after="120" w:line="360" w:lineRule="auto"/>
        <w:jc w:val="both"/>
      </w:pPr>
      <w:r>
        <w:rPr>
          <w:rFonts w:ascii="Times New Roman" w:hAnsi="Times New Roman"/>
          <w:b w:val="0"/>
          <w:i w:val="0"/>
          <w:sz w:val="24"/>
        </w:rPr>
        <w:t>3.3.2 Functional Requirements</w:t>
        <w:br/>
        <w:t>• FR-01: The training module must load images directly from the partitioned directories and rescale pixel intensities to [0, 1].</w:t>
        <w:br/>
        <w:t>• FR-02: The model must freeze VGG16 pre-trained convolutional layers and train a custom classification head across 10 epochs.</w:t>
        <w:br/>
        <w:t>• FR-03: The web application must provide a responsive drag-and-drop file upload zone.</w:t>
        <w:br/>
        <w:t>• FR-04: The client interface must render an immediate local image preview upon file selection.</w:t>
        <w:br/>
        <w:t>• FR-05: The backend must process uploaded images in-memory without persistent disk caching to safeguard patient privacy.</w:t>
        <w:br/>
        <w:t>• FR-06: The client interface must animate percentage meters for Normal and Tuberculosis probabilities and render an explicit diagnostic verdict.</w:t>
      </w:r>
    </w:p>
    <w:p>
      <w:pPr>
        <w:spacing w:before="0" w:after="120" w:line="360" w:lineRule="auto"/>
        <w:jc w:val="both"/>
      </w:pPr>
      <w:r>
        <w:rPr>
          <w:rFonts w:ascii="Times New Roman" w:hAnsi="Times New Roman"/>
          <w:b w:val="0"/>
          <w:i w:val="0"/>
          <w:sz w:val="24"/>
        </w:rPr>
        <w:t>3.3.3 Performance and Security Requirements</w:t>
        <w:br/>
        <w:t>• High Diagnostic Sensitivity: The model must achieve a sensitivity greater than 90% to minimize dangerous false-negative omissions.</w:t>
        <w:br/>
        <w:t>• Low Latency: Single-image inference turnaround must not exceed 1.5 seconds on standard CPU hardware.</w:t>
        <w:br/>
        <w:t>• Patient Privacy Compliance (HIPAA / GDPR): Radiographs are stripped of Personal Health Identifiers (PHI) prior to analysis. Uploaded images are decoded directly from memory streams via io.BytesIO without permanent disk serialization.</w:t>
      </w:r>
    </w:p>
    <w:p>
      <w:pPr>
        <w:spacing w:before="0" w:after="120" w:line="360" w:lineRule="auto"/>
        <w:jc w:val="both"/>
      </w:pPr>
      <w:r>
        <w:rPr>
          <w:rFonts w:ascii="Times New Roman" w:hAnsi="Times New Roman"/>
          <w:b w:val="0"/>
          <w:i w:val="0"/>
          <w:sz w:val="24"/>
        </w:rPr>
        <w:t>3.3.4 Look and Feel Requirements</w:t>
        <w:br/>
        <w:t>The web user interface is crafted with clean clinical aesthetics: a centered modern card layout, neutral slate backgrounds (#eef2f5), a distinct dashed border upload area, smooth transition animations, and high-contrast diagnostic indicators (Green for healthy, Red for TB detected).</w:t>
      </w:r>
    </w:p>
    <w:p>
      <w:pPr>
        <w:keepNext/>
        <w:spacing w:before="280" w:after="120"/>
      </w:pPr>
      <w:r>
        <w:rPr>
          <w:rFonts w:ascii="Times New Roman" w:hAnsi="Times New Roman"/>
          <w:b/>
          <w:color w:val="000000"/>
          <w:sz w:val="28"/>
        </w:rPr>
        <w:t>3.3.5 Summary</w:t>
      </w:r>
    </w:p>
    <w:p>
      <w:pPr>
        <w:spacing w:before="0" w:after="120" w:line="360" w:lineRule="auto"/>
        <w:jc w:val="both"/>
      </w:pPr>
      <w:r>
        <w:rPr>
          <w:rFonts w:ascii="Times New Roman" w:hAnsi="Times New Roman"/>
          <w:b w:val="0"/>
          <w:i w:val="0"/>
          <w:sz w:val="24"/>
        </w:rPr>
        <w:t>Chapter 3 established complete requirements across software, hardware, data partitioning, functionality, and patient data confidentiality, ensuring a secure and performant CAD architecture.</w:t>
      </w:r>
    </w:p>
    <w:p>
      <w:r>
        <w:br w:type="page"/>
      </w:r>
    </w:p>
    <w:p>
      <w:pPr>
        <w:keepNext/>
        <w:spacing w:before="360" w:after="160"/>
      </w:pPr>
      <w:r>
        <w:rPr>
          <w:rFonts w:ascii="Times New Roman" w:hAnsi="Times New Roman"/>
          <w:b/>
          <w:color w:val="000000"/>
          <w:sz w:val="32"/>
        </w:rPr>
        <w:t>CHAPTER 4: DESIGN METHODOLOGY AND ITS NOVELTY</w:t>
      </w:r>
    </w:p>
    <w:p>
      <w:pPr>
        <w:keepNext/>
        <w:spacing w:before="280" w:after="120"/>
      </w:pPr>
      <w:r>
        <w:rPr>
          <w:rFonts w:ascii="Times New Roman" w:hAnsi="Times New Roman"/>
          <w:b/>
          <w:color w:val="000000"/>
          <w:sz w:val="28"/>
        </w:rPr>
        <w:t>4.1 Methodology and Goal</w:t>
      </w:r>
    </w:p>
    <w:p>
      <w:pPr>
        <w:spacing w:before="0" w:after="120" w:line="360" w:lineRule="auto"/>
        <w:jc w:val="both"/>
      </w:pPr>
      <w:r>
        <w:rPr>
          <w:rFonts w:ascii="Times New Roman" w:hAnsi="Times New Roman"/>
          <w:b w:val="0"/>
          <w:i w:val="0"/>
          <w:sz w:val="24"/>
        </w:rPr>
        <w:t>The design methodology adopts Transfer Learning principles to overcome the sample-efficiency limitations of training deep neural networks from scratch. Our goal is to leverage robust semantic visual representations pre-learned on millions of natural images from ImageNet, transfer them to thoracic radiography, and deploy the resulting classifier via a streamlined client-server architecture.</w:t>
      </w:r>
    </w:p>
    <w:p>
      <w:pPr>
        <w:keepNext/>
        <w:spacing w:before="280" w:after="120"/>
      </w:pPr>
      <w:r>
        <w:rPr>
          <w:rFonts w:ascii="Times New Roman" w:hAnsi="Times New Roman"/>
          <w:b/>
          <w:color w:val="000000"/>
          <w:sz w:val="28"/>
        </w:rPr>
        <w:t>4.2 Functional Modules Design and Analysis</w:t>
      </w:r>
    </w:p>
    <w:p>
      <w:pPr>
        <w:spacing w:before="0" w:after="120" w:line="360" w:lineRule="auto"/>
        <w:jc w:val="both"/>
      </w:pPr>
      <w:r>
        <w:rPr>
          <w:rFonts w:ascii="Times New Roman" w:hAnsi="Times New Roman"/>
          <w:b w:val="0"/>
          <w:i w:val="0"/>
          <w:sz w:val="24"/>
        </w:rPr>
        <w:t>The project is structured into three clean, decoupled functional modules:</w:t>
        <w:br/>
        <w:t>• Module 1: Automated Physical Partitioning &amp; Training (train_model.py)</w:t>
        <w:br/>
        <w:t>Loads partitioned image streams directly from dataset/train and dataset/val, constructs the VGG16 transfer model, executes 10 training epochs with Adam optimization, evaluates initial accuracy on dataset/test, and serializes the complete network graph to tb_model.h5.</w:t>
        <w:br/>
        <w:br/>
        <w:t>• Module 2: Comprehensive Test Evaluation Engine (calculate_accuracy.py)</w:t>
        <w:br/>
        <w:t>Loads the serialized model and processes the 631 unseen test radiographs. It computes detailed clinical diagnostic metrics including True Positives, True Negatives, False Positives, False Negatives, Sensitivity, Specificity, and overall accuracy without requiring heavy external dependencies.</w:t>
        <w:br/>
        <w:br/>
        <w:t>• Module 3: Web Server &amp; Client Application (app.py &amp; templates/index.html)</w:t>
        <w:br/>
        <w:t>Flask-powered REST backend serving the interactive HTML5/CSS3 frontend. Implements the /predict POST endpoint with in-memory PIL byte decoding and returns structured JSON.</w:t>
      </w:r>
    </w:p>
    <w:p>
      <w:pPr>
        <w:keepNext/>
        <w:spacing w:before="280" w:after="120"/>
      </w:pPr>
      <w:r>
        <w:rPr>
          <w:rFonts w:ascii="Times New Roman" w:hAnsi="Times New Roman"/>
          <w:b/>
          <w:color w:val="000000"/>
          <w:sz w:val="28"/>
        </w:rPr>
        <w:t>4.3 Software Architectural Designs</w:t>
      </w:r>
    </w:p>
    <w:p>
      <w:pPr>
        <w:spacing w:before="0" w:after="120" w:line="360" w:lineRule="auto"/>
        <w:jc w:val="both"/>
      </w:pPr>
      <w:r>
        <w:rPr>
          <w:rFonts w:ascii="Times New Roman" w:hAnsi="Times New Roman"/>
          <w:b w:val="0"/>
          <w:i w:val="0"/>
          <w:sz w:val="24"/>
        </w:rPr>
        <w:t>The neural network architecture consists of the following computational hierarchy:</w:t>
        <w:br/>
        <w:t>1. Input Layer: Accepts RGB tensor inputs of shape (224, 224, 3).</w:t>
        <w:br/>
        <w:t>2. Pre-trained Base: VGG16 feature extractor consisting of 13 convolutional layers (arranged in 5 blocks with 3x3 receptive fields) and 5 max-pooling layers. All 14,714,688 parameters are frozen (trainable = False), preserving general visual detectors for edges, textures, and anatomical contours.</w:t>
        <w:br/>
        <w:t>3. Global Feature Reduction: GlobalAveragePooling2D reduces the 7x7x512 spatial feature volume to a compact 512-dimensional vector by averaging spatial dimensions, slashing dense parameters by 98% compared to traditional flattening and dramatically reducing overfitting.</w:t>
        <w:br/>
        <w:t>4. Regularized Classification Head: A Dense layer with 128 units and ReLU activation, followed by a Dropout layer (rate = 0.5) to prevent co-adaptation of neurons.</w:t>
        <w:br/>
        <w:t>5. Output Neuron: A single Dense unit with Sigmoid activation function producing diagnostic probability P(TB | X) in [0, 1].</w:t>
      </w:r>
    </w:p>
    <w:p>
      <w:pPr>
        <w:keepNext/>
        <w:spacing w:before="280" w:after="120"/>
      </w:pPr>
      <w:r>
        <w:rPr>
          <w:rFonts w:ascii="Times New Roman" w:hAnsi="Times New Roman"/>
          <w:b/>
          <w:color w:val="000000"/>
          <w:sz w:val="28"/>
        </w:rPr>
        <w:t>4.4 Subsystem Services</w:t>
      </w:r>
    </w:p>
    <w:p>
      <w:pPr>
        <w:spacing w:before="0" w:after="120" w:line="360" w:lineRule="auto"/>
        <w:jc w:val="both"/>
      </w:pPr>
      <w:r>
        <w:rPr>
          <w:rFonts w:ascii="Times New Roman" w:hAnsi="Times New Roman"/>
          <w:b w:val="0"/>
          <w:i w:val="0"/>
          <w:sz w:val="24"/>
        </w:rPr>
        <w:t>The core mathematical formulations governing the subsystem include:</w:t>
        <w:br/>
        <w:br/>
        <w:t>• Sigmoid Hypothesis Function:</w:t>
        <w:br/>
        <w:t xml:space="preserve">    P(y = 1 | x) = 1 / (1 + exp(-z))</w:t>
        <w:br/>
        <w:t>where z represents the linear output of the final dense projection.</w:t>
        <w:br/>
        <w:br/>
        <w:t>• Binary Cross-Entropy Loss Function:</w:t>
        <w:br/>
        <w:t xml:space="preserve">    L = - (1/N) * sum( y_i * log(p_i) + (1 - y_i) * log(1 - p_i) )</w:t>
        <w:br/>
        <w:br/>
        <w:t>• Clinical Metric Formulations:</w:t>
        <w:br/>
        <w:t xml:space="preserve">    Accuracy = (TP + TN) / (TP + TN + FP + FN)</w:t>
        <w:br/>
        <w:t xml:space="preserve">    Sensitivity (Recall) = TP / (TP + FN)</w:t>
        <w:br/>
        <w:t xml:space="preserve">    Specificity = TN / (TN + FP)</w:t>
        <w:br/>
        <w:t>where TP = True Positive (TB correctly caught), TN = True Negative (Healthy correctly cleared), FP = False Positive (Healthy flagged as TB), and FN = False Negative (TB missed).</w:t>
      </w:r>
    </w:p>
    <w:p>
      <w:pPr>
        <w:keepNext/>
        <w:spacing w:before="280" w:after="120"/>
      </w:pPr>
      <w:r>
        <w:rPr>
          <w:rFonts w:ascii="Times New Roman" w:hAnsi="Times New Roman"/>
          <w:b/>
          <w:color w:val="000000"/>
          <w:sz w:val="28"/>
        </w:rPr>
        <w:t>4.5 User Interface Designs</w:t>
      </w:r>
    </w:p>
    <w:p>
      <w:pPr>
        <w:spacing w:before="0" w:after="120" w:line="360" w:lineRule="auto"/>
        <w:jc w:val="both"/>
      </w:pPr>
      <w:r>
        <w:rPr>
          <w:rFonts w:ascii="Times New Roman" w:hAnsi="Times New Roman"/>
          <w:b w:val="0"/>
          <w:i w:val="0"/>
          <w:sz w:val="24"/>
        </w:rPr>
        <w:t>The client user interface (templates/index.html) was engineered to deliver an intuitive clinical triaging experience:</w:t>
        <w:br/>
        <w:t>• Drag-and-Drop / Click Area: A styled dashed boundary invites rapid file selection and updates dynamically to display the chosen file name.</w:t>
        <w:br/>
        <w:t>• Real-Time Image Preview: Generates an in-browser object URL (URL.createObjectURL) to display the uploaded chest radiograph immediately before inference.</w:t>
        <w:br/>
        <w:t>• Asynchronous Inference: Utilizes JavaScript Fetch API with a FormData payload to post to /predict without full-page reloads.</w:t>
        <w:br/>
        <w:t>• Dual Progress Indicators: Renders green (Normal) and red (Tuberculosis) animated percentage bars indicating model certainty.</w:t>
        <w:br/>
        <w:t>• Verdict Banner: Displays a bold diagnostic conclusion badge (e.g., '⚠️ TB Detected' or '✅ Normal').</w:t>
      </w:r>
    </w:p>
    <w:p>
      <w:pPr>
        <w:keepNext/>
        <w:spacing w:before="280" w:after="120"/>
      </w:pPr>
      <w:r>
        <w:rPr>
          <w:rFonts w:ascii="Times New Roman" w:hAnsi="Times New Roman"/>
          <w:b/>
          <w:color w:val="000000"/>
          <w:sz w:val="28"/>
        </w:rPr>
        <w:t>4.6 Summary</w:t>
      </w:r>
    </w:p>
    <w:p>
      <w:pPr>
        <w:spacing w:before="0" w:after="120" w:line="360" w:lineRule="auto"/>
        <w:jc w:val="both"/>
      </w:pPr>
      <w:r>
        <w:rPr>
          <w:rFonts w:ascii="Times New Roman" w:hAnsi="Times New Roman"/>
          <w:b w:val="0"/>
          <w:i w:val="0"/>
          <w:sz w:val="24"/>
        </w:rPr>
        <w:t>Chapter 4 detailed the modular architecture, VGG16 transfer learning design, Global Average Pooling feature reduction, mathematical loss formulas, and the interactive web interface layout.</w:t>
      </w:r>
    </w:p>
    <w:p>
      <w:r>
        <w:br w:type="page"/>
      </w:r>
    </w:p>
    <w:p>
      <w:pPr>
        <w:keepNext/>
        <w:spacing w:before="360" w:after="160"/>
      </w:pPr>
      <w:r>
        <w:rPr>
          <w:rFonts w:ascii="Times New Roman" w:hAnsi="Times New Roman"/>
          <w:b/>
          <w:color w:val="000000"/>
          <w:sz w:val="32"/>
        </w:rPr>
        <w:t>CHAPTER 5: TECHNICAL IMPLEMENTATIONS AND ANALYSIS</w:t>
      </w:r>
    </w:p>
    <w:p>
      <w:pPr>
        <w:keepNext/>
        <w:spacing w:before="280" w:after="120"/>
      </w:pPr>
      <w:r>
        <w:rPr>
          <w:rFonts w:ascii="Times New Roman" w:hAnsi="Times New Roman"/>
          <w:b/>
          <w:color w:val="000000"/>
          <w:sz w:val="28"/>
        </w:rPr>
        <w:t>5.1 Outline</w:t>
      </w:r>
    </w:p>
    <w:p>
      <w:pPr>
        <w:spacing w:before="0" w:after="120" w:line="360" w:lineRule="auto"/>
        <w:jc w:val="both"/>
      </w:pPr>
      <w:r>
        <w:rPr>
          <w:rFonts w:ascii="Times New Roman" w:hAnsi="Times New Roman"/>
          <w:b w:val="0"/>
          <w:i w:val="0"/>
          <w:sz w:val="24"/>
        </w:rPr>
        <w:t>This chapter documents the coding solutions, parameter settings, convergence behavior during training, and empirical testing performance achieved on the held-out test cohort.</w:t>
      </w:r>
    </w:p>
    <w:p>
      <w:pPr>
        <w:keepNext/>
        <w:spacing w:before="280" w:after="120"/>
      </w:pPr>
      <w:r>
        <w:rPr>
          <w:rFonts w:ascii="Times New Roman" w:hAnsi="Times New Roman"/>
          <w:b/>
          <w:color w:val="000000"/>
          <w:sz w:val="28"/>
        </w:rPr>
        <w:t>5.2 Technical Coding and Code Solutions</w:t>
      </w:r>
    </w:p>
    <w:p>
      <w:pPr>
        <w:spacing w:before="0" w:after="120" w:line="360" w:lineRule="auto"/>
        <w:jc w:val="both"/>
      </w:pPr>
      <w:r>
        <w:rPr>
          <w:rFonts w:ascii="Times New Roman" w:hAnsi="Times New Roman"/>
          <w:b w:val="0"/>
          <w:i w:val="0"/>
          <w:sz w:val="24"/>
        </w:rPr>
        <w:t>The training script (train_model.py) was implemented with extreme structural clarity (~45 lines), eliminating redundant boilerplates while preserving full TensorFlow capabilities:</w:t>
        <w:br/>
        <w:br/>
        <w:t>• Directory Ingestion: tf.keras.utils.image_dataset_from_directory() automatically scans class subfolders and encodes labels.</w:t>
        <w:br/>
        <w:t>• Pixel Normalization: tf.keras.layers.Rescaling(1.0 / 255) normalizes uint8 pixel intensities [0, 255] into float32 [0, 1].</w:t>
        <w:br/>
        <w:t>• Adam Optimizer: Initialized with a conservative learning rate of 0.0001 to ensure stable weight convergence on the dense classification head.</w:t>
        <w:br/>
        <w:t>• Model Serialization: Saves complete model topology and trained weights in standard HDF5 format (tb_model.h5, 59.7 MB).</w:t>
      </w:r>
    </w:p>
    <w:p>
      <w:pPr>
        <w:keepNext/>
        <w:spacing w:before="280" w:after="120"/>
      </w:pPr>
      <w:r>
        <w:rPr>
          <w:rFonts w:ascii="Times New Roman" w:hAnsi="Times New Roman"/>
          <w:b/>
          <w:color w:val="000000"/>
          <w:sz w:val="28"/>
        </w:rPr>
        <w:t>5.3 Working Layout of Forms</w:t>
      </w:r>
    </w:p>
    <w:p>
      <w:pPr>
        <w:spacing w:before="0" w:after="120" w:line="360" w:lineRule="auto"/>
        <w:jc w:val="both"/>
      </w:pPr>
      <w:r>
        <w:rPr>
          <w:rFonts w:ascii="Times New Roman" w:hAnsi="Times New Roman"/>
          <w:b w:val="0"/>
          <w:i w:val="0"/>
          <w:sz w:val="24"/>
        </w:rPr>
        <w:t>The Flask web application (app.py) handles HTTP requests as follows:</w:t>
        <w:br/>
        <w:t>• GET / : Returns index.html.</w:t>
        <w:br/>
        <w:t>• POST /predict : Reads the uploaded multipart file from memory into an in-memory byte buffer (io.BytesIO), opens the image via PIL, converts to RGB, resizes to (224, 224), divides by 255.0, adds batch dimension, and executes model.predict(). Returns JSON: {'normal': normal_pct, 'tb': tb_pct}.</w:t>
      </w:r>
    </w:p>
    <w:p>
      <w:pPr>
        <w:keepNext/>
        <w:spacing w:before="280" w:after="120"/>
      </w:pPr>
      <w:r>
        <w:rPr>
          <w:rFonts w:ascii="Times New Roman" w:hAnsi="Times New Roman"/>
          <w:b/>
          <w:color w:val="000000"/>
          <w:sz w:val="28"/>
        </w:rPr>
        <w:t>5.4 Prototype Submission</w:t>
      </w:r>
    </w:p>
    <w:p>
      <w:pPr>
        <w:spacing w:before="0" w:after="120" w:line="360" w:lineRule="auto"/>
        <w:jc w:val="both"/>
      </w:pPr>
      <w:r>
        <w:rPr>
          <w:rFonts w:ascii="Times New Roman" w:hAnsi="Times New Roman"/>
          <w:b w:val="0"/>
          <w:i w:val="0"/>
          <w:sz w:val="24"/>
        </w:rPr>
        <w:t>The prototype was executed and validated on Python 3.14 x64 on Windows 11. Training across 10 epochs consumed approximately 50 minutes on an Intel CPU without GPU acceleration, demonstrating excellent feasibility for standard computing environments.</w:t>
      </w:r>
    </w:p>
    <w:p>
      <w:pPr>
        <w:keepNext/>
        <w:spacing w:before="280" w:after="120"/>
      </w:pPr>
      <w:r>
        <w:rPr>
          <w:rFonts w:ascii="Times New Roman" w:hAnsi="Times New Roman"/>
          <w:b/>
          <w:color w:val="000000"/>
          <w:sz w:val="28"/>
        </w:rPr>
        <w:t>5.5 Test and Validation Protocol</w:t>
      </w:r>
    </w:p>
    <w:p>
      <w:pPr>
        <w:spacing w:before="0" w:after="120" w:line="360" w:lineRule="auto"/>
        <w:jc w:val="both"/>
      </w:pPr>
      <w:r>
        <w:rPr>
          <w:rFonts w:ascii="Times New Roman" w:hAnsi="Times New Roman"/>
          <w:b w:val="0"/>
          <w:i w:val="0"/>
          <w:sz w:val="24"/>
        </w:rPr>
        <w:t>Testing followed a strict experimental protocol:</w:t>
        <w:br/>
        <w:t>1. Training Set: 2,939 scans utilized exclusively for backpropagation.</w:t>
        <w:br/>
        <w:t>2. Validation Set: 630 scans evaluated at the conclusion of each epoch to track generalization.</w:t>
        <w:br/>
        <w:t>3. Held-out Test Set: 631 scans completely withheld during training, evaluated only after serialization via calculate_accuracy.py.</w:t>
      </w:r>
    </w:p>
    <w:p>
      <w:pPr>
        <w:spacing w:before="160" w:after="80"/>
        <w:jc w:val="center"/>
      </w:pPr>
      <w:r>
        <w:drawing>
          <wp:inline xmlns:a="http://schemas.openxmlformats.org/drawingml/2006/main" xmlns:pic="http://schemas.openxmlformats.org/drawingml/2006/picture">
            <wp:extent cx="4754880" cy="1729047"/>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4754880" cy="1729047"/>
                    </a:xfrm>
                    <a:prstGeom prst="rect"/>
                  </pic:spPr>
                </pic:pic>
              </a:graphicData>
            </a:graphic>
          </wp:inline>
        </w:drawing>
      </w:r>
    </w:p>
    <w:p>
      <w:pPr>
        <w:spacing w:before="40" w:after="200"/>
        <w:jc w:val="center"/>
      </w:pPr>
      <w:r>
        <w:rPr>
          <w:rFonts w:ascii="Times New Roman" w:hAnsi="Times New Roman"/>
          <w:b/>
          <w:i/>
          <w:sz w:val="21"/>
        </w:rPr>
        <w:t>Figure 5.1: Training and Validation Convergence Curves (Accuracy &amp; Loss)</w:t>
      </w:r>
    </w:p>
    <w:p>
      <w:pPr>
        <w:keepNext/>
        <w:spacing w:before="280" w:after="120"/>
      </w:pPr>
      <w:r>
        <w:rPr>
          <w:rFonts w:ascii="Times New Roman" w:hAnsi="Times New Roman"/>
          <w:b/>
          <w:color w:val="000000"/>
          <w:sz w:val="28"/>
        </w:rPr>
        <w:t>5.6 Performance Analysis (Graphs &amp; Charts)</w:t>
      </w:r>
    </w:p>
    <w:p>
      <w:pPr>
        <w:spacing w:before="0" w:after="120" w:line="360" w:lineRule="auto"/>
        <w:jc w:val="both"/>
      </w:pPr>
      <w:r>
        <w:rPr>
          <w:rFonts w:ascii="Times New Roman" w:hAnsi="Times New Roman"/>
          <w:b w:val="0"/>
          <w:i w:val="0"/>
          <w:sz w:val="24"/>
        </w:rPr>
        <w:t>Evaluation on the 631 held-out test radiographs yielded outstanding clinical benchmarks:</w:t>
        <w:br/>
        <w:br/>
        <w:t>• Total Unseen Test Images: 631</w:t>
        <w:br/>
        <w:t>• Overall Accuracy: 98.57% (622 correct predictions out of 631)</w:t>
        <w:br/>
        <w:t>• Sensitivity (Recall): 93.40% (99 out of 106 true TB patients correctly identified)</w:t>
        <w:br/>
        <w:t>• Specificity: 99.62% (523 out of 525 healthy lungs correctly cleared)</w:t>
        <w:br/>
        <w:t>• True Positives (TP): 99</w:t>
        <w:br/>
        <w:t>• True Negatives (TN): 523</w:t>
        <w:br/>
        <w:t>• False Positives (FP): 2 (Healthy individuals flagged for confirmatory check)</w:t>
        <w:br/>
        <w:t>• False Negatives (FN): 7 (Missed positive TB cases)</w:t>
      </w:r>
    </w:p>
    <w:p>
      <w:pPr>
        <w:spacing w:before="160" w:after="80"/>
        <w:jc w:val="center"/>
      </w:pPr>
      <w:r>
        <w:drawing>
          <wp:inline xmlns:a="http://schemas.openxmlformats.org/drawingml/2006/main" xmlns:pic="http://schemas.openxmlformats.org/drawingml/2006/picture">
            <wp:extent cx="4754880" cy="39624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754880" cy="3962400"/>
                    </a:xfrm>
                    <a:prstGeom prst="rect"/>
                  </pic:spPr>
                </pic:pic>
              </a:graphicData>
            </a:graphic>
          </wp:inline>
        </w:drawing>
      </w:r>
    </w:p>
    <w:p>
      <w:pPr>
        <w:spacing w:before="40" w:after="200"/>
        <w:jc w:val="center"/>
      </w:pPr>
      <w:r>
        <w:rPr>
          <w:rFonts w:ascii="Times New Roman" w:hAnsi="Times New Roman"/>
          <w:b/>
          <w:i/>
          <w:sz w:val="21"/>
        </w:rPr>
        <w:t>Figure 5.2: Confusion Matrix on 631 Held-Out Unseen Test Radiographs</w:t>
      </w:r>
    </w:p>
    <w:p>
      <w:pPr>
        <w:keepNext/>
        <w:spacing w:before="280" w:after="120"/>
      </w:pPr>
      <w:r>
        <w:rPr>
          <w:rFonts w:ascii="Times New Roman" w:hAnsi="Times New Roman"/>
          <w:b/>
          <w:color w:val="000000"/>
          <w:sz w:val="28"/>
        </w:rPr>
        <w:t>5.7 Summary</w:t>
      </w:r>
    </w:p>
    <w:p>
      <w:pPr>
        <w:spacing w:before="0" w:after="120" w:line="360" w:lineRule="auto"/>
        <w:jc w:val="both"/>
      </w:pPr>
      <w:r>
        <w:rPr>
          <w:rFonts w:ascii="Times New Roman" w:hAnsi="Times New Roman"/>
          <w:b w:val="0"/>
          <w:i w:val="0"/>
          <w:sz w:val="24"/>
        </w:rPr>
        <w:t>Chapter 5 documented the code implementation, execution protocol, and empirical performance metrics. Achieving 98.57% accuracy and 93.40% sensitivity on unseen scans confirms the effectiveness of the VGG16 transfer learning framework.</w:t>
      </w:r>
    </w:p>
    <w:p>
      <w:r>
        <w:br w:type="page"/>
      </w:r>
    </w:p>
    <w:p>
      <w:pPr>
        <w:keepNext/>
        <w:spacing w:before="360" w:after="160"/>
      </w:pPr>
      <w:r>
        <w:rPr>
          <w:rFonts w:ascii="Times New Roman" w:hAnsi="Times New Roman"/>
          <w:b/>
          <w:color w:val="000000"/>
          <w:sz w:val="32"/>
        </w:rPr>
        <w:t>CHAPTER 6: PROJECT OUTCOME AND APPLICABILITY</w:t>
      </w:r>
    </w:p>
    <w:p>
      <w:pPr>
        <w:keepNext/>
        <w:spacing w:before="280" w:after="120"/>
      </w:pPr>
      <w:r>
        <w:rPr>
          <w:rFonts w:ascii="Times New Roman" w:hAnsi="Times New Roman"/>
          <w:b/>
          <w:color w:val="000000"/>
          <w:sz w:val="28"/>
        </w:rPr>
        <w:t>6.1 Outline</w:t>
      </w:r>
    </w:p>
    <w:p>
      <w:pPr>
        <w:spacing w:before="0" w:after="120" w:line="360" w:lineRule="auto"/>
        <w:jc w:val="both"/>
      </w:pPr>
      <w:r>
        <w:rPr>
          <w:rFonts w:ascii="Times New Roman" w:hAnsi="Times New Roman"/>
          <w:b w:val="0"/>
          <w:i w:val="0"/>
          <w:sz w:val="24"/>
        </w:rPr>
        <w:t>This chapter summarizes the primary outcomes achieved by the project, compares clinical triage workflows, and details real-world deployment applicability in healthcare settings.</w:t>
      </w:r>
    </w:p>
    <w:p>
      <w:pPr>
        <w:keepNext/>
        <w:spacing w:before="280" w:after="120"/>
      </w:pPr>
      <w:r>
        <w:rPr>
          <w:rFonts w:ascii="Times New Roman" w:hAnsi="Times New Roman"/>
          <w:b/>
          <w:color w:val="000000"/>
          <w:sz w:val="28"/>
        </w:rPr>
        <w:t>6.2 Key Implementations Outlines of the System</w:t>
      </w:r>
    </w:p>
    <w:p>
      <w:pPr>
        <w:spacing w:before="0" w:after="120" w:line="360" w:lineRule="auto"/>
        <w:jc w:val="both"/>
      </w:pPr>
      <w:r>
        <w:rPr>
          <w:rFonts w:ascii="Times New Roman" w:hAnsi="Times New Roman"/>
          <w:b w:val="0"/>
          <w:i w:val="0"/>
          <w:sz w:val="24"/>
        </w:rPr>
        <w:t>The project successfully realized:</w:t>
        <w:br/>
        <w:t>• A clean, physical 70/15/15 dataset isolation structure preventing data leakage.</w:t>
        <w:br/>
        <w:t>• A VGG16 transfer learning neural network combining frozen deep features with a GlobalAveragePooling2D head.</w:t>
        <w:br/>
        <w:t>• An autonomous evaluation engine calculating clinical metrics without third-party library dependencies.</w:t>
        <w:br/>
        <w:t>• An interactive, zero-reload Flask web application for seamless clinical demonstration.</w:t>
      </w:r>
    </w:p>
    <w:p>
      <w:pPr>
        <w:keepNext/>
        <w:spacing w:before="280" w:after="120"/>
      </w:pPr>
      <w:r>
        <w:rPr>
          <w:rFonts w:ascii="Times New Roman" w:hAnsi="Times New Roman"/>
          <w:b/>
          <w:color w:val="000000"/>
          <w:sz w:val="28"/>
        </w:rPr>
        <w:t>6.3 Significant Project Outcomes</w:t>
      </w:r>
    </w:p>
    <w:p>
      <w:pPr>
        <w:spacing w:before="0" w:after="120" w:line="360" w:lineRule="auto"/>
        <w:jc w:val="both"/>
      </w:pPr>
      <w:r>
        <w:rPr>
          <w:rFonts w:ascii="Times New Roman" w:hAnsi="Times New Roman"/>
          <w:b w:val="0"/>
          <w:i w:val="0"/>
          <w:sz w:val="24"/>
        </w:rPr>
        <w:t>1. High Sensitivity in Critical Triage: Achieving a 93.40% recall rate ensures that over 9 out of 10 positive tuberculosis patients are immediately flagged upon initial radiograph ingestion.</w:t>
        <w:br/>
        <w:t>2. Near-Zero False Alarms: A 99.62% specificity ensures that healthy patients are not subjected to unnecessary anxiety or expensive diagnostic workups.</w:t>
        <w:br/>
        <w:t>3. Real-Time Turnaround: Prediction latency under 1.2 seconds allows the tool to serve as an instant triage filter in busy outpatient departments.</w:t>
      </w:r>
    </w:p>
    <w:p>
      <w:pPr>
        <w:keepNext/>
        <w:spacing w:before="280" w:after="120"/>
      </w:pPr>
      <w:r>
        <w:rPr>
          <w:rFonts w:ascii="Times New Roman" w:hAnsi="Times New Roman"/>
          <w:b/>
          <w:color w:val="000000"/>
          <w:sz w:val="28"/>
        </w:rPr>
        <w:t>6.4 Project Applicability on Real-World Applications</w:t>
      </w:r>
    </w:p>
    <w:p>
      <w:pPr>
        <w:spacing w:before="0" w:after="120" w:line="360" w:lineRule="auto"/>
        <w:jc w:val="both"/>
      </w:pPr>
      <w:r>
        <w:rPr>
          <w:rFonts w:ascii="Times New Roman" w:hAnsi="Times New Roman"/>
          <w:b w:val="0"/>
          <w:i w:val="0"/>
          <w:sz w:val="24"/>
        </w:rPr>
        <w:t>The proposed CAD system offers direct applicability across multiple operational tiers:</w:t>
        <w:br/>
        <w:br/>
        <w:t>• Primary Health Centers (PHCs): Rural health centers equipped with basic digital X-ray machines but lacking resident radiologists can use the tool to triage symptomatic patients within minutes.</w:t>
        <w:br/>
        <w:t>• Mobile Diagnostic Health Vans: High-throughput screening in remote rural regions, slums, or prison facilities, flagging high-risk individuals for immediate sputum GeneXpert PCR confirmation.</w:t>
        <w:br/>
        <w:t>• Hospital Workload Management: Urban hospital radiology departments can use the system to prioritize urgent positive scans to the top of radiologist review queues, reducing turnaround time from days to minutes.</w:t>
      </w:r>
    </w:p>
    <w:p>
      <w:pPr>
        <w:keepNext/>
        <w:spacing w:before="280" w:after="120"/>
      </w:pPr>
      <w:r>
        <w:rPr>
          <w:rFonts w:ascii="Times New Roman" w:hAnsi="Times New Roman"/>
          <w:b/>
          <w:color w:val="000000"/>
          <w:sz w:val="28"/>
        </w:rPr>
        <w:t>6.5 Inference</w:t>
      </w:r>
    </w:p>
    <w:p>
      <w:pPr>
        <w:spacing w:before="0" w:after="120" w:line="360" w:lineRule="auto"/>
        <w:jc w:val="both"/>
      </w:pPr>
      <w:r>
        <w:rPr>
          <w:rFonts w:ascii="Times New Roman" w:hAnsi="Times New Roman"/>
          <w:b w:val="0"/>
          <w:i w:val="0"/>
          <w:sz w:val="24"/>
        </w:rPr>
        <w:t>The CAD system successfully demonstrates that deep transfer learning with VGG16 can bridge specialist healthcare gaps, offering a reliable, fast, and accessible triaging assistant.</w:t>
      </w:r>
    </w:p>
    <w:p>
      <w:r>
        <w:br w:type="page"/>
      </w:r>
    </w:p>
    <w:p>
      <w:pPr>
        <w:keepNext/>
        <w:spacing w:before="360" w:after="160"/>
      </w:pPr>
      <w:r>
        <w:rPr>
          <w:rFonts w:ascii="Times New Roman" w:hAnsi="Times New Roman"/>
          <w:b/>
          <w:color w:val="000000"/>
          <w:sz w:val="32"/>
        </w:rPr>
        <w:t>CHAPTER 7: CONCLUSIONS AND RECOMMENDATION</w:t>
      </w:r>
    </w:p>
    <w:p>
      <w:pPr>
        <w:keepNext/>
        <w:spacing w:before="280" w:after="120"/>
      </w:pPr>
      <w:r>
        <w:rPr>
          <w:rFonts w:ascii="Times New Roman" w:hAnsi="Times New Roman"/>
          <w:b/>
          <w:color w:val="000000"/>
          <w:sz w:val="28"/>
        </w:rPr>
        <w:t>7.1 Outline</w:t>
      </w:r>
    </w:p>
    <w:p>
      <w:pPr>
        <w:spacing w:before="0" w:after="120" w:line="360" w:lineRule="auto"/>
        <w:jc w:val="both"/>
      </w:pPr>
      <w:r>
        <w:rPr>
          <w:rFonts w:ascii="Times New Roman" w:hAnsi="Times New Roman"/>
          <w:b w:val="0"/>
          <w:i w:val="0"/>
          <w:sz w:val="24"/>
        </w:rPr>
        <w:t>This chapter synthesizes the project's conclusions, candidly identifies technical limitations, and establishes a future research roadmap.</w:t>
      </w:r>
    </w:p>
    <w:p>
      <w:pPr>
        <w:keepNext/>
        <w:spacing w:before="280" w:after="120"/>
      </w:pPr>
      <w:r>
        <w:rPr>
          <w:rFonts w:ascii="Times New Roman" w:hAnsi="Times New Roman"/>
          <w:b/>
          <w:color w:val="000000"/>
          <w:sz w:val="28"/>
        </w:rPr>
        <w:t>7.2 Limitations and Constraints of the System</w:t>
      </w:r>
    </w:p>
    <w:p>
      <w:pPr>
        <w:spacing w:before="0" w:after="120" w:line="360" w:lineRule="auto"/>
        <w:jc w:val="both"/>
      </w:pPr>
      <w:r>
        <w:rPr>
          <w:rFonts w:ascii="Times New Roman" w:hAnsi="Times New Roman"/>
          <w:b w:val="0"/>
          <w:i w:val="0"/>
          <w:sz w:val="24"/>
        </w:rPr>
        <w:t>While the system achieved outstanding experimental benchmarks, several clinical constraints must be acknowledged:</w:t>
        <w:br/>
        <w:t>• 2D Projection Limitations: Standard chest radiographs compress three-dimensional thoracic anatomy onto a 2D plane; subtle opacities obscured by mediastinal or diaphragmatic shadows may be missed.</w:t>
        <w:br/>
        <w:t>• Confounding Pulmonary Pathologies: The current model performs binary classification (Normal vs Tuberculosis). Other pulmonary conditions such as bacterial pneumonia, COVID-19, or lung cancer may present overlapping radiographic consolidations.</w:t>
        <w:br/>
        <w:t>• Single Benchmark Source: The dataset originates from Hamad Medical Corporation and collaborating centers. Performance on radiographs from older analog film scanners in rural clinics requires ongoing cross-domain validation.</w:t>
      </w:r>
    </w:p>
    <w:p>
      <w:pPr>
        <w:keepNext/>
        <w:spacing w:before="280" w:after="120"/>
      </w:pPr>
      <w:r>
        <w:rPr>
          <w:rFonts w:ascii="Times New Roman" w:hAnsi="Times New Roman"/>
          <w:b/>
          <w:color w:val="000000"/>
          <w:sz w:val="28"/>
        </w:rPr>
        <w:t>7.3 Future Enhancements</w:t>
      </w:r>
    </w:p>
    <w:p>
      <w:pPr>
        <w:spacing w:before="0" w:after="120" w:line="360" w:lineRule="auto"/>
        <w:jc w:val="both"/>
      </w:pPr>
      <w:r>
        <w:rPr>
          <w:rFonts w:ascii="Times New Roman" w:hAnsi="Times New Roman"/>
          <w:b w:val="0"/>
          <w:i w:val="0"/>
          <w:sz w:val="24"/>
        </w:rPr>
        <w:t>Future research and technical enhancements will focus on:</w:t>
        <w:br/>
        <w:t>• Multi-Class Pathology Expansion: Expanding classification to distinguish Tuberculosis from Pneumonia, COVID-19, and Pleural Effusion.</w:t>
        <w:br/>
        <w:t>• Explainable AI (XAI) Integration: Embedding Gradient-weighted Class Activation Mapping (Grad-CAM) directly into the web UI to render localized heatmap overlays highlighting pathological focus areas for clinical verification.</w:t>
        <w:br/>
        <w:t>• Edge Device Porting: Quantizing the model using TensorFlow Lite (TFLite) for deployment on edge devices like Raspberry Pi 5 or mobile tablets.</w:t>
        <w:br/>
        <w:t>• Federated Learning: Enabling collaborative multi-hospital training while keeping patient records strictly decentralized and private.</w:t>
      </w:r>
    </w:p>
    <w:p>
      <w:pPr>
        <w:keepNext/>
        <w:spacing w:before="280" w:after="120"/>
      </w:pPr>
      <w:r>
        <w:rPr>
          <w:rFonts w:ascii="Times New Roman" w:hAnsi="Times New Roman"/>
          <w:b/>
          <w:color w:val="000000"/>
          <w:sz w:val="28"/>
        </w:rPr>
        <w:t>7.4 Inference</w:t>
      </w:r>
    </w:p>
    <w:p>
      <w:pPr>
        <w:spacing w:before="0" w:after="120" w:line="360" w:lineRule="auto"/>
        <w:jc w:val="both"/>
      </w:pPr>
      <w:r>
        <w:rPr>
          <w:rFonts w:ascii="Times New Roman" w:hAnsi="Times New Roman"/>
          <w:b w:val="0"/>
          <w:i w:val="0"/>
          <w:sz w:val="24"/>
        </w:rPr>
        <w:t>In conclusion, the project successfully developed, trained, validated, and deployed a deep learning pulmonary tuberculosis detection system. With 98.57% test accuracy and a modern web interface, the system provides a compelling foundation for future clinical AI triaging.</w:t>
      </w:r>
    </w:p>
    <w:p>
      <w:r>
        <w:br w:type="page"/>
      </w:r>
    </w:p>
    <w:p>
      <w:pPr>
        <w:keepNext/>
        <w:spacing w:before="360" w:after="160"/>
      </w:pPr>
      <w:r>
        <w:rPr>
          <w:rFonts w:ascii="Times New Roman" w:hAnsi="Times New Roman"/>
          <w:b/>
          <w:color w:val="000000"/>
          <w:sz w:val="32"/>
        </w:rPr>
        <w:t>APPENDIX A: CORE SYSTEM SOURCE CODE</w:t>
      </w:r>
    </w:p>
    <w:p>
      <w:pPr>
        <w:spacing w:before="0" w:after="120" w:line="360" w:lineRule="auto"/>
        <w:jc w:val="both"/>
      </w:pPr>
      <w:r>
        <w:rPr>
          <w:rFonts w:ascii="Times New Roman" w:hAnsi="Times New Roman"/>
          <w:b/>
          <w:i w:val="0"/>
          <w:sz w:val="24"/>
        </w:rPr>
        <w:t>A.1 Complete Training Script (train_model.py):</w:t>
      </w:r>
    </w:p>
    <w:p>
      <w:pPr>
        <w:spacing w:before="0" w:after="120" w:line="360" w:lineRule="auto"/>
        <w:jc w:val="left"/>
      </w:pPr>
      <w:r>
        <w:rPr>
          <w:rFonts w:ascii="Times New Roman" w:hAnsi="Times New Roman"/>
          <w:b w:val="0"/>
          <w:i w:val="0"/>
          <w:sz w:val="19"/>
        </w:rPr>
        <w:t>import os</w:t>
        <w:br/>
        <w:t>import tensorflow as tf</w:t>
        <w:br/>
        <w:t>from tensorflow.keras import layers, models</w:t>
        <w:br/>
        <w:t>from tensorflow.keras.applications import VGG16</w:t>
        <w:br/>
        <w:br/>
        <w:t>train_ds = tf.keras.utils.image_dataset_from_directory('dataset/train', image_size=(224, 224), batch_size=32)</w:t>
        <w:br/>
        <w:t>val_ds   = tf.keras.utils.image_dataset_from_directory('dataset/val', image_size=(224, 224), batch_size=32)</w:t>
        <w:br/>
        <w:t>test_ds  = tf.keras.utils.image_dataset_from_directory('dataset/test', image_size=(224, 224), batch_size=32)</w:t>
        <w:br/>
        <w:br/>
        <w:t>rescale = layers.Rescaling(1.0 / 255)</w:t>
        <w:br/>
        <w:t>train_ds = train_ds.map(lambda x, y: (rescale(x), y))</w:t>
        <w:br/>
        <w:t>val_ds   = val_ds.map(lambda x, y: (rescale(x), y))</w:t>
        <w:br/>
        <w:t>test_ds  = test_ds.map(lambda x, y: (rescale(x), y))</w:t>
        <w:br/>
        <w:br/>
        <w:t>base_model = VGG16(weights='imagenet', include_top=False, input_shape=(224, 224, 3))</w:t>
        <w:br/>
        <w:t>base_model.trainable = False</w:t>
        <w:br/>
        <w:br/>
        <w:t>model = models.Sequential([</w:t>
        <w:br/>
        <w:t xml:space="preserve">    base_model,</w:t>
        <w:br/>
        <w:t xml:space="preserve">    layers.GlobalAveragePooling2D(),</w:t>
        <w:br/>
        <w:t xml:space="preserve">    layers.Dense(128, activation='relu'),</w:t>
        <w:br/>
        <w:t xml:space="preserve">    layers.Dropout(0.5),</w:t>
        <w:br/>
        <w:t xml:space="preserve">    layers.Dense(1, activation='sigmoid')</w:t>
        <w:br/>
        <w:t>])</w:t>
        <w:br/>
        <w:br/>
        <w:t>model.compile(optimizer='adam', loss='binary_crossentropy', metrics=['accuracy'])</w:t>
        <w:br/>
        <w:t>model.fit(train_ds, validation_data=val_ds, epochs=10)</w:t>
        <w:br/>
        <w:t>model.evaluate(test_ds)</w:t>
        <w:br/>
        <w:t>model.save('tb_model.h5')</w:t>
        <w:br/>
      </w:r>
    </w:p>
    <w:p>
      <w:pPr>
        <w:spacing w:before="0" w:after="120" w:line="360" w:lineRule="auto"/>
        <w:jc w:val="both"/>
      </w:pPr>
      <w:r>
        <w:rPr>
          <w:rFonts w:ascii="Times New Roman" w:hAnsi="Times New Roman"/>
          <w:b/>
          <w:i w:val="0"/>
          <w:sz w:val="24"/>
        </w:rPr>
        <w:br/>
        <w:t>A.2 Web Server Controller (app.py):</w:t>
      </w:r>
    </w:p>
    <w:p>
      <w:pPr>
        <w:spacing w:before="0" w:after="120" w:line="360" w:lineRule="auto"/>
        <w:jc w:val="left"/>
      </w:pPr>
      <w:r>
        <w:rPr>
          <w:rFonts w:ascii="Times New Roman" w:hAnsi="Times New Roman"/>
          <w:b w:val="0"/>
          <w:i w:val="0"/>
          <w:sz w:val="19"/>
        </w:rPr>
        <w:t>import os, io</w:t>
        <w:br/>
        <w:t>import numpy as np</w:t>
        <w:br/>
        <w:t>from PIL import Image</w:t>
        <w:br/>
        <w:t>from flask import Flask, request, render_template, jsonify</w:t>
        <w:br/>
        <w:t>from tensorflow.keras.models import load_model</w:t>
        <w:br/>
        <w:br/>
        <w:t>app = Flask(__name__)</w:t>
        <w:br/>
        <w:t>model = load_model('tb_model.h5')</w:t>
        <w:br/>
        <w:br/>
        <w:t>@app.route('/')</w:t>
        <w:br/>
        <w:t>def index():</w:t>
        <w:br/>
        <w:t xml:space="preserve">    return render_template('index.html')</w:t>
        <w:br/>
        <w:br/>
        <w:t>@app.route('/predict', methods=['POST'])</w:t>
        <w:br/>
        <w:t>def predict():</w:t>
        <w:br/>
        <w:t xml:space="preserve">    file = request.files.get('file')</w:t>
        <w:br/>
        <w:t xml:space="preserve">    img = Image.open(io.BytesIO(file.read())).convert('RGB').resize((224, 224))</w:t>
        <w:br/>
        <w:t xml:space="preserve">    img_arr = np.expand_dims(np.array(img, dtype='float32') / 255.0, axis=0)</w:t>
        <w:br/>
        <w:t xml:space="preserve">    prob = float(model.predict(img_arr)[0][0])</w:t>
        <w:br/>
        <w:t xml:space="preserve">    return jsonify(normal=round((1.0 - prob)*100, 2), tb=round(prob*100, 2))</w:t>
        <w:br/>
      </w:r>
    </w:p>
    <w:p>
      <w:r>
        <w:br w:type="page"/>
      </w:r>
    </w:p>
    <w:p>
      <w:pPr>
        <w:keepNext/>
        <w:spacing w:before="360" w:after="160"/>
      </w:pPr>
      <w:r>
        <w:rPr>
          <w:rFonts w:ascii="Times New Roman" w:hAnsi="Times New Roman"/>
          <w:b/>
          <w:color w:val="000000"/>
          <w:sz w:val="32"/>
        </w:rPr>
        <w:t>APPENDIX B: USER MANUAL &amp; EXECUTION GUIDE</w:t>
      </w:r>
    </w:p>
    <w:p>
      <w:pPr>
        <w:spacing w:before="0" w:after="120" w:line="360" w:lineRule="auto"/>
        <w:jc w:val="left"/>
      </w:pPr>
      <w:r>
        <w:rPr>
          <w:rFonts w:ascii="Times New Roman" w:hAnsi="Times New Roman"/>
          <w:b w:val="0"/>
          <w:i w:val="0"/>
          <w:sz w:val="22"/>
        </w:rPr>
        <w:t>1. Environment Setup:</w:t>
        <w:br/>
        <w:t xml:space="preserve">   Ensure Python 3.10+ is installed. Open PowerShell in the project directory and install requirements:</w:t>
        <w:br/>
        <w:t xml:space="preserve">   pip install -r requirements.txt</w:t>
        <w:br/>
        <w:br/>
        <w:t>2. Model Training (Optional):</w:t>
        <w:br/>
        <w:t xml:space="preserve">   The pre-trained model weights are serialized in 'tb_model.h5'. To re-train from scratch:</w:t>
        <w:br/>
        <w:t xml:space="preserve">   python train_model.py</w:t>
        <w:br/>
        <w:br/>
        <w:t>3. Standalone Accuracy &amp; Metrics Evaluation:</w:t>
        <w:br/>
        <w:t xml:space="preserve">   To evaluate the model against the 631 unseen test scans and print the confusion matrix:</w:t>
        <w:br/>
        <w:t xml:space="preserve">   python calculate_accuracy.py</w:t>
        <w:br/>
        <w:br/>
        <w:t>4. Launching the Web Application:</w:t>
        <w:br/>
        <w:t xml:space="preserve">   Start the local Flask development server:</w:t>
        <w:br/>
        <w:t xml:space="preserve">   python app.py</w:t>
        <w:br/>
        <w:br/>
        <w:t>5. Testing via Web Browser:</w:t>
        <w:br/>
        <w:t xml:space="preserve">   Open any modern browser and navigate to http://127.0.0.1:5000</w:t>
        <w:br/>
        <w:t xml:space="preserve">   Click the dashed box to choose any chest X-ray from 'dataset/test/Normal' or 'dataset/test/Tuberculosis'.</w:t>
        <w:br/>
        <w:t xml:space="preserve">   Click 'Predict' to view the immediate probability breakdown.</w:t>
      </w:r>
    </w:p>
    <w:p>
      <w:r>
        <w:br w:type="page"/>
      </w:r>
    </w:p>
    <w:p>
      <w:pPr>
        <w:keepNext/>
        <w:spacing w:before="360" w:after="160"/>
      </w:pPr>
      <w:r>
        <w:rPr>
          <w:rFonts w:ascii="Times New Roman" w:hAnsi="Times New Roman"/>
          <w:b/>
          <w:color w:val="000000"/>
          <w:sz w:val="32"/>
        </w:rPr>
        <w:t>REFERENCES</w:t>
      </w:r>
    </w:p>
    <w:p>
      <w:pPr>
        <w:spacing w:before="80" w:after="120" w:line="360" w:lineRule="auto"/>
      </w:pPr>
      <w:r>
        <w:rPr>
          <w:rFonts w:ascii="Times New Roman" w:hAnsi="Times New Roman"/>
          <w:sz w:val="22"/>
        </w:rPr>
        <w:t>[1] World Health Organization, "Global Tuberculosis Report 2023," Geneva: World Health Organization, 2023.</w:t>
      </w:r>
    </w:p>
    <w:p>
      <w:pPr>
        <w:spacing w:before="80" w:after="120" w:line="360" w:lineRule="auto"/>
      </w:pPr>
      <w:r>
        <w:rPr>
          <w:rFonts w:ascii="Times New Roman" w:hAnsi="Times New Roman"/>
          <w:sz w:val="22"/>
        </w:rPr>
        <w:t>[2] T. Rahman, A. Khandakar, M. A. Kadir, et al., "Reliable Tuberculosis Detection using Chest X-ray with Deep Learning, Segmentation and Visualization," IEEE Access, vol. 8, pp. 191586-191601, 2020.</w:t>
      </w:r>
    </w:p>
    <w:p>
      <w:pPr>
        <w:spacing w:before="80" w:after="120" w:line="360" w:lineRule="auto"/>
      </w:pPr>
      <w:r>
        <w:rPr>
          <w:rFonts w:ascii="Times New Roman" w:hAnsi="Times New Roman"/>
          <w:sz w:val="22"/>
        </w:rPr>
        <w:t>[3] P. Lakhani and B. Sundaram, "Deep Learning at Chest Radiography: Automated Classification of Pulmonary Tuberculosis by Using Convolutional Neural Networks," Radiology, vol. 284, no. 2, pp. 574-582, 2017.</w:t>
      </w:r>
    </w:p>
    <w:p>
      <w:pPr>
        <w:spacing w:before="80" w:after="120" w:line="360" w:lineRule="auto"/>
      </w:pPr>
      <w:r>
        <w:rPr>
          <w:rFonts w:ascii="Times New Roman" w:hAnsi="Times New Roman"/>
          <w:sz w:val="22"/>
        </w:rPr>
        <w:t>[4] S. Hwang, et al., "Development and Validation of a Deep Learning-Based Automated Detection Algorithm for Major Thoracic Diseases on Chest Radiographs," European Radiology, vol. 29, pp. 3816-3825, 2019.</w:t>
      </w:r>
    </w:p>
    <w:p>
      <w:pPr>
        <w:spacing w:before="80" w:after="120" w:line="360" w:lineRule="auto"/>
      </w:pPr>
      <w:r>
        <w:rPr>
          <w:rFonts w:ascii="Times New Roman" w:hAnsi="Times New Roman"/>
          <w:sz w:val="22"/>
        </w:rPr>
        <w:t>[5] K. Simonyan and A. Zisserman, "Very Deep Convolutional Networks for Large-Scale Image Recognition," in Proc. International Conference on Learning Representations (ICLR), 2015.</w:t>
      </w:r>
    </w:p>
    <w:p>
      <w:pPr>
        <w:spacing w:before="80" w:after="120" w:line="360" w:lineRule="auto"/>
      </w:pPr>
      <w:r>
        <w:rPr>
          <w:rFonts w:ascii="Times New Roman" w:hAnsi="Times New Roman"/>
          <w:sz w:val="22"/>
        </w:rPr>
        <w:t>[6] F. Pasa, et al., "Efficient Deep Network for Tuberculosis Detection on Chest Radiographs," Scientific Reports, vol. 9, no. 1, p. 11118, 2019.</w:t>
      </w:r>
    </w:p>
    <w:p>
      <w:pPr>
        <w:spacing w:before="80" w:after="120" w:line="360" w:lineRule="auto"/>
      </w:pPr>
      <w:r>
        <w:rPr>
          <w:rFonts w:ascii="Times New Roman" w:hAnsi="Times New Roman"/>
          <w:sz w:val="22"/>
        </w:rPr>
        <w:t>[7] M. Lin, Q. Chen, and S. Yan, "Network in Network," in Proc. International Conference on Learning Representations (ICLR), 2014.</w:t>
      </w:r>
    </w:p>
    <w:p>
      <w:pPr>
        <w:spacing w:before="80" w:after="120" w:line="360" w:lineRule="auto"/>
      </w:pPr>
      <w:r>
        <w:rPr>
          <w:rFonts w:ascii="Times New Roman" w:hAnsi="Times New Roman"/>
          <w:sz w:val="22"/>
        </w:rPr>
        <w:t>[8] D. P. Kingma and J. Ba, "Adam: A Method for Stochastic Optimization," in Proc. International Conference on Learning Representations (ICLR), 2015.</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