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0"/>
          <w:szCs w:val="30"/>
        </w:rPr>
        <w:t xml:space="preserve">Local Device-to-Device Live Speech Translation for In-Person Academic Conferences: System Design, Implementation, and Evaluation Framework</w:t>
      </w:r>
    </w:p>
    <w:p>
      <w:pPr>
        <w:spacing w:after="60"/>
        <w:jc w:val="center"/>
      </w:pPr>
      <w:r>
        <w:rPr>
          <w:rFonts w:ascii="Times New Roman" w:cs="Times New Roman" w:eastAsia="Times New Roman" w:hAnsi="Times New Roman"/>
          <w:i w:val="false"/>
          <w:iCs w:val="false"/>
          <w:sz w:val="24"/>
          <w:szCs w:val="24"/>
        </w:rPr>
        <w:t xml:space="preserve">Khushi</w:t>
      </w:r>
    </w:p>
    <w:p>
      <w:pPr>
        <w:spacing w:after="60"/>
        <w:jc w:val="center"/>
      </w:pPr>
      <w:r>
        <w:rPr>
          <w:rFonts w:ascii="Times New Roman" w:cs="Times New Roman" w:eastAsia="Times New Roman" w:hAnsi="Times New Roman"/>
          <w:i w:val="false"/>
          <w:iCs w:val="false"/>
          <w:sz w:val="24"/>
          <w:szCs w:val="24"/>
        </w:rPr>
        <w:t xml:space="preserve">Department of Information Technology, Guru Tegh Bahadur Institute of Technology, Guru Gobind Singh Indraprastha University, New Delhi, India</w:t>
      </w:r>
    </w:p>
    <w:p>
      <w:pPr>
        <w:spacing w:after="300"/>
        <w:jc w:val="center"/>
      </w:pPr>
      <w:r>
        <w:rPr>
          <w:rFonts w:ascii="Times New Roman" w:cs="Times New Roman" w:eastAsia="Times New Roman" w:hAnsi="Times New Roman"/>
          <w:i/>
          <w:iCs/>
          <w:sz w:val="24"/>
          <w:szCs w:val="24"/>
        </w:rPr>
        <w:t xml:space="preserve">Supervisor: Prof. (Dr.) Amandeep Kaur</w:t>
      </w:r>
    </w:p>
    <w:p>
      <w:pPr>
        <w:spacing w:after="150" w:before="300"/>
      </w:pPr>
      <w:r>
        <w:rPr>
          <w:rFonts w:ascii="Times New Roman" w:cs="Times New Roman" w:eastAsia="Times New Roman" w:hAnsi="Times New Roman"/>
          <w:b/>
          <w:bCs/>
          <w:sz w:val="24"/>
          <w:szCs w:val="24"/>
          <w:u w:val="single"/>
        </w:rPr>
        <w:t xml:space="preserve">Abstract</w:t>
      </w:r>
    </w:p>
    <w:p>
      <w:pPr>
        <w:spacing w:after="200" w:line="360"/>
        <w:jc w:val="both"/>
      </w:pPr>
      <w:r>
        <w:rPr>
          <w:rFonts w:ascii="Times New Roman" w:cs="Times New Roman" w:eastAsia="Times New Roman" w:hAnsi="Times New Roman"/>
          <w:i w:val="false"/>
          <w:iCs w:val="false"/>
          <w:sz w:val="24"/>
          <w:szCs w:val="24"/>
        </w:rPr>
        <w:t xml:space="preserve">Language barriers remain a persistent obstacle to full participation in in-person academic conferences, seminars, and lectures, particularly in linguistically diverse settings such as Indian universities. Existing commercial live-translation platforms address this problem by capturing a presenter’s speech, transcribing and translating it through cloud infrastructure, and delivering captions to attendee devices, but every such platform requires a continuous internet connection to a third-party vendor server and a recurring subscription cost. This paper presents Local Device-to-Device Speech Translation (LDST), a system in which the presenter’s own laptop hosts the entire translation pipeline—speech recognition, machine translation, and caption broadcast—locally, with attendees joining over the venue’s local wireless network by scanning a QR code and no traffic ever leaving the local network. Building on an earlier architectural proposal for this system, this paper reports a complete working implementation: an energy-based voice activity segmenter, a locally hosted Whisper-variant transcription backend, a locally hosted NLLB-200 translation backend, a FastAPI-based session host with WebSocket broadcast, and a dependency-isolated, extensively unit-tested codebase. The paper further introduces three novel technical extensions built on top of this core system. The first, a semantic translation cache, embeds each transcript segment and reuses a previously computed translation for a target language when a sufficiently similar segment has already been translated in the same session, reducing redundant machine translation calls for repeated or near-repeated speech. The second, conference glossary adaptation, protects domain-specific technical vocabulary during translation using a placeholder-substitution mechanism, with candidate terms extracted automatically from conference materials and reviewed by the presenter before use. The third, cross-session persistent memory, extends both the cache and the glossary to survive a process restart, so that translation reuse and approved terminology accumulate across a presenter's sessions over time on that presenter's own device, rather than resetting to zero at the start of every session. A complete evaluation methodology and instrumented tooling are described for all four components, covering latency, transcription and translation accuracy, session stability, within-session and cross-session cache hit rate and computational overhead, and glossary term accuracy; empirical results from this evaluation are reported separately once data collection against real lecture audio and human-verified reference translations is complete.</w:t>
      </w:r>
    </w:p>
    <w:p>
      <w:pPr>
        <w:spacing w:after="150" w:before="300"/>
      </w:pPr>
      <w:r>
        <w:rPr>
          <w:rFonts w:ascii="Times New Roman" w:cs="Times New Roman" w:eastAsia="Times New Roman" w:hAnsi="Times New Roman"/>
          <w:b/>
          <w:bCs/>
          <w:sz w:val="24"/>
          <w:szCs w:val="24"/>
          <w:u w:val="single"/>
        </w:rPr>
        <w:t xml:space="preserve">1. Introduction</w:t>
      </w:r>
    </w:p>
    <w:p>
      <w:pPr>
        <w:spacing w:after="200" w:line="360"/>
        <w:jc w:val="both"/>
      </w:pPr>
      <w:r>
        <w:rPr>
          <w:rFonts w:ascii="Times New Roman" w:cs="Times New Roman" w:eastAsia="Times New Roman" w:hAnsi="Times New Roman"/>
          <w:i w:val="false"/>
          <w:iCs w:val="false"/>
          <w:sz w:val="24"/>
          <w:szCs w:val="24"/>
        </w:rPr>
        <w:t xml:space="preserve">Conferences, guest lectures, and seminars conducted in a shared physical space frequently involve speakers and attendees who do not share a common working language, or who are more comfortable following technical content in their first language rather than in English. In Indian higher education institutions in particular, student audiences are often linguistically diverse, and comprehension gaps during technical presentations can reduce engagement even when spoken English proficiency is not itself a barrier to attendance.</w:t>
      </w:r>
    </w:p>
    <w:p>
      <w:pPr>
        <w:spacing w:after="200" w:line="360"/>
        <w:jc w:val="both"/>
      </w:pPr>
      <w:r>
        <w:rPr>
          <w:rFonts w:ascii="Times New Roman" w:cs="Times New Roman" w:eastAsia="Times New Roman" w:hAnsi="Times New Roman"/>
          <w:i w:val="false"/>
          <w:iCs w:val="false"/>
          <w:sz w:val="24"/>
          <w:szCs w:val="24"/>
        </w:rPr>
        <w:t xml:space="preserve">A natural technical response to this problem is real-time captioning and translation: a presenter speaks into a microphone, automatic speech recognition (ASR) converts the audio to text, machine translation (MT) converts the text into the attendee’s preferred language, and the result is displayed on the attendee’s own device. This pattern is now well established as a commercial product category, offered by platforms such as Wordly, Maestra, Boostlingo Events, KUDO, and DeepL Voice for Meetings. However, all of these platforms are built around a cloud-hosted translation backend: audio is sent from the venue to the vendor’s servers, processed there, and the translated output is returned to attendee devices over the internet. This architecture introduces a hard dependency on stable internet connectivity at the venue and, in most cases, a recurring subscription cost tied to session minutes, number of languages, or number of participants.</w:t>
      </w:r>
    </w:p>
    <w:p>
      <w:pPr>
        <w:spacing w:after="200" w:line="360"/>
        <w:jc w:val="both"/>
      </w:pPr>
      <w:r>
        <w:rPr>
          <w:rFonts w:ascii="Times New Roman" w:cs="Times New Roman" w:eastAsia="Times New Roman" w:hAnsi="Times New Roman"/>
          <w:i w:val="false"/>
          <w:iCs w:val="false"/>
          <w:sz w:val="24"/>
          <w:szCs w:val="24"/>
        </w:rPr>
        <w:t xml:space="preserve">This paper reports the design, implementation, and evaluation framework of Local Device-to-Device Speech Translation (LDST), an alternative architecture for the specific and common case of a single-room, in-person academic event, in which the presenter’s own device performs the role that a vendor’s cloud server would otherwise play. Attendees connect to the presenter’s device directly over the venue’s local wireless network by scanning a QR code, without any traffic leaving the local network. Where an earlier proposal for this system (Khushi, 2026) argued for this architecture and outlined a module-level design, this paper reports a complete working implementation of that design, together with three additional technical contributions developed on top of it: a semantic translation cache, an automated conference glossary adaptation mechanism, and a cross-session persistent memory extension to both, aimed at the specific weaknesses that locally deployable, general-domain ASR and MT models introduce relative to their larger, cloud-hosted counterparts, and at the loss of any learned adaptation between one session and the next.</w:t>
      </w:r>
    </w:p>
    <w:p>
      <w:pPr>
        <w:spacing w:after="150" w:before="300"/>
      </w:pPr>
      <w:r>
        <w:rPr>
          <w:rFonts w:ascii="Times New Roman" w:cs="Times New Roman" w:eastAsia="Times New Roman" w:hAnsi="Times New Roman"/>
          <w:b/>
          <w:bCs/>
          <w:sz w:val="24"/>
          <w:szCs w:val="24"/>
          <w:u w:val="single"/>
        </w:rPr>
        <w:t xml:space="preserve">2. Problem Statement</w:t>
      </w:r>
    </w:p>
    <w:p>
      <w:pPr>
        <w:spacing w:after="200" w:line="360"/>
        <w:jc w:val="both"/>
      </w:pPr>
      <w:r>
        <w:rPr>
          <w:rFonts w:ascii="Times New Roman" w:cs="Times New Roman" w:eastAsia="Times New Roman" w:hAnsi="Times New Roman"/>
          <w:i w:val="false"/>
          <w:iCs w:val="false"/>
          <w:sz w:val="24"/>
          <w:szCs w:val="24"/>
        </w:rPr>
        <w:t xml:space="preserve">Three practical gaps motivate this work, each grounded in the operating conditions of a typical Indian college seminar hall or departmental conference rather than a corporate meeting room.</w:t>
      </w:r>
    </w:p>
    <w:p>
      <w:pPr>
        <w:spacing w:after="100" w:before="200"/>
      </w:pPr>
      <w:r>
        <w:rPr>
          <w:rFonts w:ascii="Times New Roman" w:cs="Times New Roman" w:eastAsia="Times New Roman" w:hAnsi="Times New Roman"/>
          <w:b/>
          <w:bCs/>
          <w:i/>
          <w:iCs/>
          <w:sz w:val="24"/>
          <w:szCs w:val="24"/>
        </w:rPr>
        <w:t xml:space="preserve">2.1 Internet Dependency</w:t>
      </w:r>
    </w:p>
    <w:p>
      <w:pPr>
        <w:spacing w:after="200" w:line="360"/>
        <w:jc w:val="both"/>
      </w:pPr>
      <w:r>
        <w:rPr>
          <w:rFonts w:ascii="Times New Roman" w:cs="Times New Roman" w:eastAsia="Times New Roman" w:hAnsi="Times New Roman"/>
          <w:i w:val="false"/>
          <w:iCs w:val="false"/>
          <w:sz w:val="24"/>
          <w:szCs w:val="24"/>
        </w:rPr>
        <w:t xml:space="preserve">Existing platforms require a stable internet connection at the venue for the full duration of the session, since audio must reach a remote server and translated output must return from it. Campus WiFi in many Indian institutions is shared across large numbers of devices and is not guaranteed to sustain continuous, low-latency streaming for an entire lecture hall. A single point of internet failure interrupts translation for every attendee simultaneously.</w:t>
      </w:r>
    </w:p>
    <w:p>
      <w:pPr>
        <w:spacing w:after="100" w:before="200"/>
      </w:pPr>
      <w:r>
        <w:rPr>
          <w:rFonts w:ascii="Times New Roman" w:cs="Times New Roman" w:eastAsia="Times New Roman" w:hAnsi="Times New Roman"/>
          <w:b/>
          <w:bCs/>
          <w:i/>
          <w:iCs/>
          <w:sz w:val="24"/>
          <w:szCs w:val="24"/>
        </w:rPr>
        <w:t xml:space="preserve">2.2 Cost Structure</w:t>
      </w:r>
    </w:p>
    <w:p>
      <w:pPr>
        <w:spacing w:after="200" w:line="360"/>
        <w:jc w:val="both"/>
      </w:pPr>
      <w:r>
        <w:rPr>
          <w:rFonts w:ascii="Times New Roman" w:cs="Times New Roman" w:eastAsia="Times New Roman" w:hAnsi="Times New Roman"/>
          <w:i w:val="false"/>
          <w:iCs w:val="false"/>
          <w:sz w:val="24"/>
          <w:szCs w:val="24"/>
        </w:rPr>
        <w:t xml:space="preserve">Commercial platforms are priced for corporate and enterprise use, typically billed per session minute, per language, or per seat. This pricing model is a reasonable fit for a company running recurring multilingual meetings but is a poor fit for a single departmental seminar, a one-time guest lecture, or a student-organized conference with no recurring budget line for translation software.</w:t>
      </w:r>
    </w:p>
    <w:p>
      <w:pPr>
        <w:spacing w:after="100" w:before="200"/>
      </w:pPr>
      <w:r>
        <w:rPr>
          <w:rFonts w:ascii="Times New Roman" w:cs="Times New Roman" w:eastAsia="Times New Roman" w:hAnsi="Times New Roman"/>
          <w:b/>
          <w:bCs/>
          <w:i/>
          <w:iCs/>
          <w:sz w:val="24"/>
          <w:szCs w:val="24"/>
        </w:rPr>
        <w:t xml:space="preserve">2.3 Data Routing Through Third Parties</w:t>
      </w:r>
    </w:p>
    <w:p>
      <w:pPr>
        <w:spacing w:after="200" w:line="360"/>
        <w:jc w:val="both"/>
      </w:pPr>
      <w:r>
        <w:rPr>
          <w:rFonts w:ascii="Times New Roman" w:cs="Times New Roman" w:eastAsia="Times New Roman" w:hAnsi="Times New Roman"/>
          <w:i w:val="false"/>
          <w:iCs w:val="false"/>
          <w:sz w:val="24"/>
          <w:szCs w:val="24"/>
        </w:rPr>
        <w:t xml:space="preserve">Because all existing platforms route audio and transcript data through vendor infrastructure, session content, including any sensitive research discussion during a Q&amp;A session, passes through a third party by default. A locally hosted alternative removes this routing entirely, since no data needs to leave the room.</w:t>
      </w:r>
    </w:p>
    <w:p>
      <w:pPr>
        <w:spacing w:after="150" w:before="300"/>
      </w:pPr>
      <w:r>
        <w:rPr>
          <w:rFonts w:ascii="Times New Roman" w:cs="Times New Roman" w:eastAsia="Times New Roman" w:hAnsi="Times New Roman"/>
          <w:b/>
          <w:bCs/>
          <w:sz w:val="24"/>
          <w:szCs w:val="24"/>
          <w:u w:val="single"/>
        </w:rPr>
        <w:t xml:space="preserve">3. Related Work</w:t>
      </w:r>
    </w:p>
    <w:p>
      <w:pPr>
        <w:spacing w:after="200" w:line="360"/>
        <w:jc w:val="both"/>
      </w:pPr>
      <w:r>
        <w:rPr>
          <w:rFonts w:ascii="Times New Roman" w:cs="Times New Roman" w:eastAsia="Times New Roman" w:hAnsi="Times New Roman"/>
          <w:i w:val="false"/>
          <w:iCs w:val="false"/>
          <w:sz w:val="24"/>
          <w:szCs w:val="24"/>
        </w:rPr>
        <w:t xml:space="preserve">This section surveys existing live speech translation platforms that address the same surface-level problem, in order to establish precisely where the proposed system differs architecturally rather than functionally.</w:t>
      </w:r>
    </w:p>
    <w:p>
      <w:pPr>
        <w:spacing w:after="200" w:line="360"/>
        <w:jc w:val="both"/>
      </w:pPr>
      <w:r>
        <w:rPr>
          <w:rFonts w:ascii="Times New Roman" w:cs="Times New Roman" w:eastAsia="Times New Roman" w:hAnsi="Times New Roman"/>
          <w:i w:val="false"/>
          <w:iCs w:val="false"/>
          <w:sz w:val="24"/>
          <w:szCs w:val="24"/>
        </w:rPr>
        <w:t xml:space="preserve">Wordly connects a venue’s audio mixer to a cloud-based transcription and translation system; attendees join a session and select a preferred language to either listen to translated audio or read live captions on their own device, with the underlying processing performed on Wordly’s servers.</w:t>
      </w:r>
    </w:p>
    <w:p>
      <w:pPr>
        <w:spacing w:after="200" w:line="360"/>
        <w:jc w:val="both"/>
      </w:pPr>
      <w:r>
        <w:rPr>
          <w:rFonts w:ascii="Times New Roman" w:cs="Times New Roman" w:eastAsia="Times New Roman" w:hAnsi="Times New Roman"/>
          <w:i w:val="false"/>
          <w:iCs w:val="false"/>
          <w:sz w:val="24"/>
          <w:szCs w:val="24"/>
        </w:rPr>
        <w:t xml:space="preserve">Maestra offers a comparable browser-based workflow in which a host connects a microphone or audio-visual mixer to Maestra’s platform, and attendees join by scanning a QR code or opening a link, selecting a spoken language from over one hundred supported options; translation and transcription are again performed server-side.</w:t>
      </w:r>
    </w:p>
    <w:p>
      <w:pPr>
        <w:spacing w:after="200" w:line="360"/>
        <w:jc w:val="both"/>
      </w:pPr>
      <w:r>
        <w:rPr>
          <w:rFonts w:ascii="Times New Roman" w:cs="Times New Roman" w:eastAsia="Times New Roman" w:hAnsi="Times New Roman"/>
          <w:i w:val="false"/>
          <w:iCs w:val="false"/>
          <w:sz w:val="24"/>
          <w:szCs w:val="24"/>
        </w:rPr>
        <w:t xml:space="preserve">Boostlingo Events similarly allows attendees at onsite, hybrid, or virtual events to scan a QR code and select a preferred language to follow a presentation, with speech processed through Boostlingo’s cloud infrastructure.</w:t>
      </w:r>
    </w:p>
    <w:p>
      <w:pPr>
        <w:spacing w:after="200" w:line="360"/>
        <w:jc w:val="both"/>
      </w:pPr>
      <w:r>
        <w:rPr>
          <w:rFonts w:ascii="Times New Roman" w:cs="Times New Roman" w:eastAsia="Times New Roman" w:hAnsi="Times New Roman"/>
          <w:i w:val="false"/>
          <w:iCs w:val="false"/>
          <w:sz w:val="24"/>
          <w:szCs w:val="24"/>
        </w:rPr>
        <w:t xml:space="preserve">KUDO positions itself as a continuous, real-time speech translation platform combining professional human interpreters with AI-based translation, again delivered through cloud-hosted infrastructure integrated into meeting and event platforms.</w:t>
      </w:r>
    </w:p>
    <w:p>
      <w:pPr>
        <w:spacing w:after="200" w:line="360"/>
        <w:jc w:val="both"/>
      </w:pPr>
      <w:r>
        <w:rPr>
          <w:rFonts w:ascii="Times New Roman" w:cs="Times New Roman" w:eastAsia="Times New Roman" w:hAnsi="Times New Roman"/>
          <w:i w:val="false"/>
          <w:iCs w:val="false"/>
          <w:sz w:val="24"/>
          <w:szCs w:val="24"/>
        </w:rPr>
        <w:t xml:space="preserve">DeepL Voice for Meetings provides real-time translated captions within existing videoconferencing tools such as Microsoft Teams, Zoom, and Google Meet, with processing performed on DeepL’s servers and explicit assurances that transcription data is not permanently retained.</w:t>
      </w:r>
    </w:p>
    <w:p>
      <w:pPr>
        <w:spacing w:after="200" w:line="360"/>
        <w:jc w:val="both"/>
      </w:pPr>
      <w:r>
        <w:rPr>
          <w:rFonts w:ascii="Times New Roman" w:cs="Times New Roman" w:eastAsia="Times New Roman" w:hAnsi="Times New Roman"/>
          <w:i w:val="false"/>
          <w:iCs w:val="false"/>
          <w:sz w:val="24"/>
          <w:szCs w:val="24"/>
        </w:rPr>
        <w:t xml:space="preserve">Across all five systems, the architectural pattern is identical at the level relevant to this paper: a cloud server mediates every session, and a local, internet-independent, presenter-device-hosted deployment model is not offered by any of them. Table 1 summarizes this comparison against the system implemented in this paper.</w:t>
      </w:r>
    </w:p>
    <w:p>
      <w:pPr>
        <w:spacing w:after="150" w:before="100"/>
        <w:jc w:val="center"/>
      </w:pPr>
      <w:r>
        <w:rPr>
          <w:rFonts w:ascii="Times New Roman" w:cs="Times New Roman" w:eastAsia="Times New Roman" w:hAnsi="Times New Roman"/>
          <w:i/>
          <w:iCs/>
          <w:sz w:val="24"/>
          <w:szCs w:val="24"/>
        </w:rPr>
        <w:t xml:space="preserve">Table 1. Connectivity model of existing platforms versus the implemented system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tcBorders>
              <w:top w:val="single" w:color="000000" w:sz="4"/>
              <w:left w:val="single" w:color="000000" w:sz="4"/>
              <w:bottom w:val="single" w:color="000000" w:sz="4"/>
              <w:right w:val="single" w:color="000000" w:sz="4"/>
            </w:tcBorders>
            <w:shd w:fill="FFFFFF"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4"/>
                <w:szCs w:val="24"/>
              </w:rPr>
              <w:t xml:space="preserve">System</w:t>
            </w:r>
          </w:p>
        </w:tc>
        <w:tc>
          <w:tcPr>
            <w:tcW w:type="dxa" w:w="3600"/>
            <w:tcBorders>
              <w:top w:val="single" w:color="000000" w:sz="4"/>
              <w:left w:val="single" w:color="000000" w:sz="4"/>
              <w:bottom w:val="single" w:color="000000" w:sz="4"/>
              <w:right w:val="single" w:color="000000" w:sz="4"/>
            </w:tcBorders>
            <w:shd w:fill="FFFFFF"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4"/>
                <w:szCs w:val="24"/>
              </w:rPr>
              <w:t xml:space="preserve">Connectivity Model</w:t>
            </w:r>
          </w:p>
        </w:tc>
        <w:tc>
          <w:tcPr>
            <w:tcW w:type="dxa" w:w="3200"/>
            <w:tcBorders>
              <w:top w:val="single" w:color="000000" w:sz="4"/>
              <w:left w:val="single" w:color="000000" w:sz="4"/>
              <w:bottom w:val="single" w:color="000000" w:sz="4"/>
              <w:right w:val="single" w:color="000000" w:sz="4"/>
            </w:tcBorders>
            <w:shd w:fill="FFFFFF"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4"/>
                <w:szCs w:val="24"/>
              </w:rPr>
              <w:t xml:space="preserve">Data Path</w:t>
            </w:r>
          </w:p>
        </w:tc>
      </w:tr>
      <w:tr>
        <w:tc>
          <w:tcPr>
            <w:tcW w:type="dxa" w:w="2600"/>
            <w:tcBorders>
              <w:top w:val="single" w:color="000000" w:sz="4"/>
              <w:left w:val="single" w:color="000000" w:sz="4"/>
              <w:bottom w:val="single" w:color="000000" w:sz="4"/>
              <w:right w:val="single" w:color="000000" w:sz="4"/>
            </w:tcBorders>
            <w:shd w:fill="FFFFFF" w:val="clear"/>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Wordly</w:t>
            </w:r>
          </w:p>
        </w:tc>
        <w:tc>
          <w:tcPr>
            <w:tcW w:type="dxa" w:w="3600"/>
            <w:tcBorders>
              <w:top w:val="single" w:color="000000" w:sz="4"/>
              <w:left w:val="single" w:color="000000" w:sz="4"/>
              <w:bottom w:val="single" w:color="000000" w:sz="4"/>
              <w:right w:val="single" w:color="000000" w:sz="4"/>
            </w:tcBorders>
            <w:shd w:fill="FFFFFF" w:val="clear"/>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Cloud-hosted, requires internet</w:t>
            </w:r>
          </w:p>
        </w:tc>
        <w:tc>
          <w:tcPr>
            <w:tcW w:type="dxa" w:w="3200"/>
            <w:tcBorders>
              <w:top w:val="single" w:color="000000" w:sz="4"/>
              <w:left w:val="single" w:color="000000" w:sz="4"/>
              <w:bottom w:val="single" w:color="000000" w:sz="4"/>
              <w:right w:val="single" w:color="000000" w:sz="4"/>
            </w:tcBorders>
            <w:shd w:fill="FFFFFF" w:val="clear"/>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Mic to vendor cloud to device</w:t>
            </w:r>
          </w:p>
        </w:tc>
      </w:tr>
      <w:tr>
        <w:tc>
          <w:tcPr>
            <w:tcW w:type="dxa" w:w="2600"/>
            <w:tcBorders>
              <w:top w:val="single" w:color="000000" w:sz="4"/>
              <w:left w:val="single" w:color="000000" w:sz="4"/>
              <w:bottom w:val="single" w:color="000000" w:sz="4"/>
              <w:right w:val="single" w:color="000000" w:sz="4"/>
            </w:tcBorders>
            <w:shd w:fill="FFFFFF" w:val="clear"/>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Maestra</w:t>
            </w:r>
          </w:p>
        </w:tc>
        <w:tc>
          <w:tcPr>
            <w:tcW w:type="dxa" w:w="3600"/>
            <w:tcBorders>
              <w:top w:val="single" w:color="000000" w:sz="4"/>
              <w:left w:val="single" w:color="000000" w:sz="4"/>
              <w:bottom w:val="single" w:color="000000" w:sz="4"/>
              <w:right w:val="single" w:color="000000" w:sz="4"/>
            </w:tcBorders>
            <w:shd w:fill="FFFFFF" w:val="clear"/>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Cloud-hosted, requires internet</w:t>
            </w:r>
          </w:p>
        </w:tc>
        <w:tc>
          <w:tcPr>
            <w:tcW w:type="dxa" w:w="3200"/>
            <w:tcBorders>
              <w:top w:val="single" w:color="000000" w:sz="4"/>
              <w:left w:val="single" w:color="000000" w:sz="4"/>
              <w:bottom w:val="single" w:color="000000" w:sz="4"/>
              <w:right w:val="single" w:color="000000" w:sz="4"/>
            </w:tcBorders>
            <w:shd w:fill="FFFFFF" w:val="clear"/>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Mic to vendor cloud to device</w:t>
            </w:r>
          </w:p>
        </w:tc>
      </w:tr>
      <w:tr>
        <w:tc>
          <w:tcPr>
            <w:tcW w:type="dxa" w:w="2600"/>
            <w:tcBorders>
              <w:top w:val="single" w:color="000000" w:sz="4"/>
              <w:left w:val="single" w:color="000000" w:sz="4"/>
              <w:bottom w:val="single" w:color="000000" w:sz="4"/>
              <w:right w:val="single" w:color="000000" w:sz="4"/>
            </w:tcBorders>
            <w:shd w:fill="FFFFFF" w:val="clear"/>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Boostlingo Events</w:t>
            </w:r>
          </w:p>
        </w:tc>
        <w:tc>
          <w:tcPr>
            <w:tcW w:type="dxa" w:w="3600"/>
            <w:tcBorders>
              <w:top w:val="single" w:color="000000" w:sz="4"/>
              <w:left w:val="single" w:color="000000" w:sz="4"/>
              <w:bottom w:val="single" w:color="000000" w:sz="4"/>
              <w:right w:val="single" w:color="000000" w:sz="4"/>
            </w:tcBorders>
            <w:shd w:fill="FFFFFF" w:val="clear"/>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Cloud-hosted, requires internet</w:t>
            </w:r>
          </w:p>
        </w:tc>
        <w:tc>
          <w:tcPr>
            <w:tcW w:type="dxa" w:w="3200"/>
            <w:tcBorders>
              <w:top w:val="single" w:color="000000" w:sz="4"/>
              <w:left w:val="single" w:color="000000" w:sz="4"/>
              <w:bottom w:val="single" w:color="000000" w:sz="4"/>
              <w:right w:val="single" w:color="000000" w:sz="4"/>
            </w:tcBorders>
            <w:shd w:fill="FFFFFF" w:val="clear"/>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Mic to vendor cloud to device</w:t>
            </w:r>
          </w:p>
        </w:tc>
      </w:tr>
      <w:tr>
        <w:tc>
          <w:tcPr>
            <w:tcW w:type="dxa" w:w="2600"/>
            <w:tcBorders>
              <w:top w:val="single" w:color="000000" w:sz="4"/>
              <w:left w:val="single" w:color="000000" w:sz="4"/>
              <w:bottom w:val="single" w:color="000000" w:sz="4"/>
              <w:right w:val="single" w:color="000000" w:sz="4"/>
            </w:tcBorders>
            <w:shd w:fill="FFFFFF" w:val="clear"/>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KUDO</w:t>
            </w:r>
          </w:p>
        </w:tc>
        <w:tc>
          <w:tcPr>
            <w:tcW w:type="dxa" w:w="3600"/>
            <w:tcBorders>
              <w:top w:val="single" w:color="000000" w:sz="4"/>
              <w:left w:val="single" w:color="000000" w:sz="4"/>
              <w:bottom w:val="single" w:color="000000" w:sz="4"/>
              <w:right w:val="single" w:color="000000" w:sz="4"/>
            </w:tcBorders>
            <w:shd w:fill="FFFFFF" w:val="clear"/>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Cloud-hosted, requires internet</w:t>
            </w:r>
          </w:p>
        </w:tc>
        <w:tc>
          <w:tcPr>
            <w:tcW w:type="dxa" w:w="3200"/>
            <w:tcBorders>
              <w:top w:val="single" w:color="000000" w:sz="4"/>
              <w:left w:val="single" w:color="000000" w:sz="4"/>
              <w:bottom w:val="single" w:color="000000" w:sz="4"/>
              <w:right w:val="single" w:color="000000" w:sz="4"/>
            </w:tcBorders>
            <w:shd w:fill="FFFFFF" w:val="clear"/>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Mic to vendor cloud to device</w:t>
            </w:r>
          </w:p>
        </w:tc>
      </w:tr>
      <w:tr>
        <w:tc>
          <w:tcPr>
            <w:tcW w:type="dxa" w:w="2600"/>
            <w:tcBorders>
              <w:top w:val="single" w:color="000000" w:sz="4"/>
              <w:left w:val="single" w:color="000000" w:sz="4"/>
              <w:bottom w:val="single" w:color="000000" w:sz="4"/>
              <w:right w:val="single" w:color="000000" w:sz="4"/>
            </w:tcBorders>
            <w:shd w:fill="FFFFFF" w:val="clear"/>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DeepL Voice for Meetings</w:t>
            </w:r>
          </w:p>
        </w:tc>
        <w:tc>
          <w:tcPr>
            <w:tcW w:type="dxa" w:w="3600"/>
            <w:tcBorders>
              <w:top w:val="single" w:color="000000" w:sz="4"/>
              <w:left w:val="single" w:color="000000" w:sz="4"/>
              <w:bottom w:val="single" w:color="000000" w:sz="4"/>
              <w:right w:val="single" w:color="000000" w:sz="4"/>
            </w:tcBorders>
            <w:shd w:fill="FFFFFF" w:val="clear"/>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Cloud-hosted, requires internet</w:t>
            </w:r>
          </w:p>
        </w:tc>
        <w:tc>
          <w:tcPr>
            <w:tcW w:type="dxa" w:w="3200"/>
            <w:tcBorders>
              <w:top w:val="single" w:color="000000" w:sz="4"/>
              <w:left w:val="single" w:color="000000" w:sz="4"/>
              <w:bottom w:val="single" w:color="000000" w:sz="4"/>
              <w:right w:val="single" w:color="000000" w:sz="4"/>
            </w:tcBorders>
            <w:shd w:fill="FFFFFF" w:val="clear"/>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Mic to vendor cloud to device</w:t>
            </w:r>
          </w:p>
        </w:tc>
      </w:tr>
      <w:tr>
        <w:tc>
          <w:tcPr>
            <w:tcW w:type="dxa" w:w="2600"/>
            <w:tcBorders>
              <w:top w:val="single" w:color="000000" w:sz="4"/>
              <w:left w:val="single" w:color="000000" w:sz="4"/>
              <w:bottom w:val="single" w:color="000000" w:sz="4"/>
              <w:right w:val="single" w:color="000000" w:sz="4"/>
            </w:tcBorders>
            <w:shd w:fill="FFFFFF" w:val="clear"/>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LDST (this paper)</w:t>
            </w:r>
          </w:p>
        </w:tc>
        <w:tc>
          <w:tcPr>
            <w:tcW w:type="dxa" w:w="3600"/>
            <w:tcBorders>
              <w:top w:val="single" w:color="000000" w:sz="4"/>
              <w:left w:val="single" w:color="000000" w:sz="4"/>
              <w:bottom w:val="single" w:color="000000" w:sz="4"/>
              <w:right w:val="single" w:color="000000" w:sz="4"/>
            </w:tcBorders>
            <w:shd w:fill="FFFFFF" w:val="clear"/>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Local network, no internet dependency, no third-party server</w:t>
            </w:r>
          </w:p>
        </w:tc>
        <w:tc>
          <w:tcPr>
            <w:tcW w:type="dxa" w:w="3200"/>
            <w:tcBorders>
              <w:top w:val="single" w:color="000000" w:sz="4"/>
              <w:left w:val="single" w:color="000000" w:sz="4"/>
              <w:bottom w:val="single" w:color="000000" w:sz="4"/>
              <w:right w:val="single" w:color="000000" w:sz="4"/>
            </w:tcBorders>
            <w:shd w:fill="FFFFFF" w:val="clear"/>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Mic to presenter device to attendee device directly</w:t>
            </w:r>
          </w:p>
        </w:tc>
      </w:tr>
    </w:tbl>
    <w:p>
      <w:pPr>
        <w:spacing w:after="150" w:before="300"/>
      </w:pPr>
      <w:r>
        <w:rPr>
          <w:rFonts w:ascii="Times New Roman" w:cs="Times New Roman" w:eastAsia="Times New Roman" w:hAnsi="Times New Roman"/>
          <w:b/>
          <w:bCs/>
          <w:sz w:val="24"/>
          <w:szCs w:val="24"/>
          <w:u w:val="single"/>
        </w:rPr>
        <w:t xml:space="preserve">4. System Architecture</w:t>
      </w:r>
    </w:p>
    <w:p>
      <w:pPr>
        <w:spacing w:after="200" w:line="360"/>
        <w:jc w:val="both"/>
      </w:pPr>
      <w:r>
        <w:rPr>
          <w:rFonts w:ascii="Times New Roman" w:cs="Times New Roman" w:eastAsia="Times New Roman" w:hAnsi="Times New Roman"/>
          <w:i w:val="false"/>
          <w:iCs w:val="false"/>
          <w:sz w:val="24"/>
          <w:szCs w:val="24"/>
        </w:rPr>
        <w:t xml:space="preserve">LDST consists of four modules: session hosting, local discovery and connection, the transcription-translation pipeline, and the attendee client. This section describes each as implemented; Section 5 describes the codebase organization underlying that implementation.</w:t>
      </w:r>
    </w:p>
    <w:p>
      <w:pPr>
        <w:spacing w:after="100" w:before="200"/>
      </w:pPr>
      <w:r>
        <w:rPr>
          <w:rFonts w:ascii="Times New Roman" w:cs="Times New Roman" w:eastAsia="Times New Roman" w:hAnsi="Times New Roman"/>
          <w:b/>
          <w:bCs/>
          <w:i/>
          <w:iCs/>
          <w:sz w:val="24"/>
          <w:szCs w:val="24"/>
        </w:rPr>
        <w:t xml:space="preserve">4.1 Session Hosting</w:t>
      </w:r>
    </w:p>
    <w:p>
      <w:pPr>
        <w:spacing w:after="200" w:line="360"/>
        <w:jc w:val="both"/>
      </w:pPr>
      <w:r>
        <w:rPr>
          <w:rFonts w:ascii="Times New Roman" w:cs="Times New Roman" w:eastAsia="Times New Roman" w:hAnsi="Times New Roman"/>
          <w:i w:val="false"/>
          <w:iCs w:val="false"/>
          <w:sz w:val="24"/>
          <w:szCs w:val="24"/>
        </w:rPr>
        <w:t xml:space="preserve">The presenter’s own laptop runs a FastAPI-based host application. On startup, it determines every non-loopback IPv4 address the machine is reachable on, since a laptop with WiFi, Ethernet, and VPN interfaces active simultaneously can have several, and the venue WiFi address is not always the first one a naive implementation would pick. It then generates a session identifier and a QR code encoding the join URL, rendered both as a terminal ASCII code for the presenter’s own confirmation and as a PNG for projection on a slide. No external account or internet-based registration is required to start a session.</w:t>
      </w:r>
    </w:p>
    <w:p>
      <w:pPr>
        <w:spacing w:after="100" w:before="200"/>
      </w:pPr>
      <w:r>
        <w:rPr>
          <w:rFonts w:ascii="Times New Roman" w:cs="Times New Roman" w:eastAsia="Times New Roman" w:hAnsi="Times New Roman"/>
          <w:b/>
          <w:bCs/>
          <w:i/>
          <w:iCs/>
          <w:sz w:val="24"/>
          <w:szCs w:val="24"/>
        </w:rPr>
        <w:t xml:space="preserve">4.2 Local Discovery and Connection</w:t>
      </w:r>
    </w:p>
    <w:p>
      <w:pPr>
        <w:spacing w:after="200" w:line="360"/>
        <w:jc w:val="both"/>
      </w:pPr>
      <w:r>
        <w:rPr>
          <w:rFonts w:ascii="Times New Roman" w:cs="Times New Roman" w:eastAsia="Times New Roman" w:hAnsi="Times New Roman"/>
          <w:i w:val="false"/>
          <w:iCs w:val="false"/>
          <w:sz w:val="24"/>
          <w:szCs w:val="24"/>
        </w:rPr>
        <w:t xml:space="preserve">Attendee devices scan the QR code and open a lightweight web page served directly by the host device, which in turn opens a WebSocket connection back to the host over the venue’s local wireless network. Every session identifier is validated against the host’s current session on connection, and the connection is otherwise indistinguishable from any other local-subnet WebSocket traffic; no packet leaves the local network at any point in the pipeline.</w:t>
      </w:r>
    </w:p>
    <w:p>
      <w:pPr>
        <w:spacing w:after="100" w:before="200"/>
      </w:pPr>
      <w:r>
        <w:rPr>
          <w:rFonts w:ascii="Times New Roman" w:cs="Times New Roman" w:eastAsia="Times New Roman" w:hAnsi="Times New Roman"/>
          <w:b/>
          <w:bCs/>
          <w:i/>
          <w:iCs/>
          <w:sz w:val="24"/>
          <w:szCs w:val="24"/>
        </w:rPr>
        <w:t xml:space="preserve">4.3 Transcription-Translation Pipeline</w:t>
      </w:r>
    </w:p>
    <w:p>
      <w:pPr>
        <w:spacing w:after="200" w:line="360"/>
        <w:jc w:val="both"/>
      </w:pPr>
      <w:r>
        <w:rPr>
          <w:rFonts w:ascii="Times New Roman" w:cs="Times New Roman" w:eastAsia="Times New Roman" w:hAnsi="Times New Roman"/>
          <w:i w:val="false"/>
          <w:iCs w:val="false"/>
          <w:sz w:val="24"/>
          <w:szCs w:val="24"/>
        </w:rPr>
        <w:t xml:space="preserve">Audio captured on the host device is segmented using an energy-based voice activity detector that buffers incoming audio chunks and closes a segment once enough voiced audio has been followed by enough silence, with a maximum-duration safeguard so that one uninterrupted, run-on utterance cannot block captions indefinitely. Each completed segment is transcribed once using a compact Whisper variant served locally through faster-whisper, a CTranslate2 reimplementation of Whisper that runs entirely on the host device with no network calls at inference time (Radford et al., 2022). The resulting transcript is then translated once for every distinct target language currently selected by connected attendees, using a locally hosted NLLB-200 model, likewise converted to CTranslate2 format and run entirely offline (NLLB Team et al., 2022). Translation is deliberately performed once per distinct requested language rather than once per attendee, since three attendees requesting Hindi captions should not triple the machine translation cost; the resulting caption for each language is then broadcast to every attendee currently subscribed to that language.</w:t>
      </w:r>
    </w:p>
    <w:p>
      <w:pPr>
        <w:spacing w:after="100" w:before="200"/>
      </w:pPr>
      <w:r>
        <w:rPr>
          <w:rFonts w:ascii="Times New Roman" w:cs="Times New Roman" w:eastAsia="Times New Roman" w:hAnsi="Times New Roman"/>
          <w:b/>
          <w:bCs/>
          <w:i/>
          <w:iCs/>
          <w:sz w:val="24"/>
          <w:szCs w:val="24"/>
        </w:rPr>
        <w:t xml:space="preserve">4.4 Attendee Client</w:t>
      </w:r>
    </w:p>
    <w:p>
      <w:pPr>
        <w:spacing w:after="200" w:line="360"/>
        <w:jc w:val="both"/>
      </w:pPr>
      <w:r>
        <w:rPr>
          <w:rFonts w:ascii="Times New Roman" w:cs="Times New Roman" w:eastAsia="Times New Roman" w:hAnsi="Times New Roman"/>
          <w:i w:val="false"/>
          <w:iCs w:val="false"/>
          <w:sz w:val="24"/>
          <w:szCs w:val="24"/>
        </w:rPr>
        <w:t xml:space="preserve">The attendee-facing interface is a lightweight web page served directly by the host device, requiring no separate app installation. On connecting, the attendee selects a target language from a dropdown list, after which translated captions for that language stream to their device continuously for the remainder of the session over a dedicated caption WebSocket.</w:t>
      </w:r>
    </w:p>
    <w:p>
      <w:pPr>
        <w:spacing w:after="150" w:before="300"/>
      </w:pPr>
      <w:r>
        <w:rPr>
          <w:rFonts w:ascii="Times New Roman" w:cs="Times New Roman" w:eastAsia="Times New Roman" w:hAnsi="Times New Roman"/>
          <w:b/>
          <w:bCs/>
          <w:sz w:val="24"/>
          <w:szCs w:val="24"/>
          <w:u w:val="single"/>
        </w:rPr>
        <w:t xml:space="preserve">5. Implementation</w:t>
      </w:r>
    </w:p>
    <w:p>
      <w:pPr>
        <w:spacing w:after="200" w:line="360"/>
        <w:jc w:val="both"/>
      </w:pPr>
      <w:r>
        <w:rPr>
          <w:rFonts w:ascii="Times New Roman" w:cs="Times New Roman" w:eastAsia="Times New Roman" w:hAnsi="Times New Roman"/>
          <w:i w:val="false"/>
          <w:iCs w:val="false"/>
          <w:sz w:val="24"/>
          <w:szCs w:val="24"/>
        </w:rPr>
        <w:t xml:space="preserve">The system described in Section 4 is implemented as a modular Python codebase, organized deliberately around one constraint: the core segmentation and orchestration logic must remain independently testable without requiring any of the heavy machine learning dependencies (faster-whisper, ctranslate2, transformers) to be installed.</w:t>
      </w:r>
    </w:p>
    <w:p>
      <w:pPr>
        <w:spacing w:after="100" w:before="200"/>
      </w:pPr>
      <w:r>
        <w:rPr>
          <w:rFonts w:ascii="Times New Roman" w:cs="Times New Roman" w:eastAsia="Times New Roman" w:hAnsi="Times New Roman"/>
          <w:b/>
          <w:bCs/>
          <w:i/>
          <w:iCs/>
          <w:sz w:val="24"/>
          <w:szCs w:val="24"/>
        </w:rPr>
        <w:t xml:space="preserve">5.1 Dependency Isolation</w:t>
      </w:r>
    </w:p>
    <w:p>
      <w:pPr>
        <w:spacing w:after="200" w:line="360"/>
        <w:jc w:val="both"/>
      </w:pPr>
      <w:r>
        <w:rPr>
          <w:rFonts w:ascii="Times New Roman" w:cs="Times New Roman" w:eastAsia="Times New Roman" w:hAnsi="Times New Roman"/>
          <w:i w:val="false"/>
          <w:iCs w:val="false"/>
          <w:sz w:val="24"/>
          <w:szCs w:val="24"/>
        </w:rPr>
        <w:t xml:space="preserve">The voice activity segmenter, the translate-once-per-language broadcast logic, and the WebSocket session handling are implemented against two narrow protocols, an ASR backend and a translation backend, each exposing a single asynchronous method. Deterministic, dependency-free fake implementations of both protocols exist for testing and local development; the real Whisper- and NLLB-backed implementations live in a separate module whose heavy imports are deferred to first use, so that importing the orchestration logic itself never requires the machine learning stack to be installed. This separation allows the segmentation boundaries, the per-language broadcast fan-out, and the WebSocket authentication and lifecycle logic to be verified by a fast, fully offline unit test suite, independent of whether real speech and translation models are available on the machine running the tests.</w:t>
      </w:r>
    </w:p>
    <w:p>
      <w:pPr>
        <w:spacing w:after="100" w:before="200"/>
      </w:pPr>
      <w:r>
        <w:rPr>
          <w:rFonts w:ascii="Times New Roman" w:cs="Times New Roman" w:eastAsia="Times New Roman" w:hAnsi="Times New Roman"/>
          <w:b/>
          <w:bCs/>
          <w:i/>
          <w:iCs/>
          <w:sz w:val="24"/>
          <w:szCs w:val="24"/>
        </w:rPr>
        <w:t xml:space="preserve">5.2 Concurrency</w:t>
      </w:r>
    </w:p>
    <w:p>
      <w:pPr>
        <w:spacing w:after="200" w:line="360"/>
        <w:jc w:val="both"/>
      </w:pPr>
      <w:r>
        <w:rPr>
          <w:rFonts w:ascii="Times New Roman" w:cs="Times New Roman" w:eastAsia="Times New Roman" w:hAnsi="Times New Roman"/>
          <w:i w:val="false"/>
          <w:iCs w:val="false"/>
          <w:sz w:val="24"/>
          <w:szCs w:val="24"/>
        </w:rPr>
        <w:t xml:space="preserve">The host server is built on FastAPI and asyncio. Because faster-whisper’s and ctranslate2’s inference calls are blocking, synchronous operations, each is dispatched to a worker thread from within the asynchronous pipeline, so that a transcription or translation call in progress does not stall the event loop shared by every attendee’s WebSocket connection.</w:t>
      </w:r>
    </w:p>
    <w:p>
      <w:pPr>
        <w:spacing w:after="100" w:before="200"/>
      </w:pPr>
      <w:r>
        <w:rPr>
          <w:rFonts w:ascii="Times New Roman" w:cs="Times New Roman" w:eastAsia="Times New Roman" w:hAnsi="Times New Roman"/>
          <w:b/>
          <w:bCs/>
          <w:i/>
          <w:iCs/>
          <w:sz w:val="24"/>
          <w:szCs w:val="24"/>
        </w:rPr>
        <w:t xml:space="preserve">5.3 Testing</w:t>
      </w:r>
    </w:p>
    <w:p>
      <w:pPr>
        <w:spacing w:after="200" w:line="360"/>
        <w:jc w:val="both"/>
      </w:pPr>
      <w:r>
        <w:rPr>
          <w:rFonts w:ascii="Times New Roman" w:cs="Times New Roman" w:eastAsia="Times New Roman" w:hAnsi="Times New Roman"/>
          <w:i w:val="false"/>
          <w:iCs w:val="false"/>
          <w:sz w:val="24"/>
          <w:szCs w:val="24"/>
        </w:rPr>
        <w:t xml:space="preserve">The implementation is accompanied by an extensive automated test suite covering segmentation boundary conditions (minimum voiced duration, minimum silence duration, forced cuts on maximum segment length, trailing-audio flush at session end), the WebSocket session-identifier authentication gate for both attendee and presenter connections, per-language broadcast fan-out and dead-socket pruning, and the static asset and session-information HTTP endpoints. This suite runs without any model weights or network access, which keeps it fast enough to run on every change and independent of any particular machine’s hardware.</w:t>
      </w:r>
    </w:p>
    <w:p>
      <w:pPr>
        <w:spacing w:after="150" w:before="300"/>
      </w:pPr>
      <w:r>
        <w:rPr>
          <w:rFonts w:ascii="Times New Roman" w:cs="Times New Roman" w:eastAsia="Times New Roman" w:hAnsi="Times New Roman"/>
          <w:b/>
          <w:bCs/>
          <w:sz w:val="24"/>
          <w:szCs w:val="24"/>
          <w:u w:val="single"/>
        </w:rPr>
        <w:t xml:space="preserve">6. Extensions: Three Additional Technical Contributions</w:t>
      </w:r>
    </w:p>
    <w:p>
      <w:pPr>
        <w:spacing w:after="200" w:line="360"/>
        <w:jc w:val="both"/>
      </w:pPr>
      <w:r>
        <w:rPr>
          <w:rFonts w:ascii="Times New Roman" w:cs="Times New Roman" w:eastAsia="Times New Roman" w:hAnsi="Times New Roman"/>
          <w:i w:val="false"/>
          <w:iCs w:val="false"/>
          <w:sz w:val="24"/>
          <w:szCs w:val="24"/>
        </w:rPr>
        <w:t xml:space="preserve">Beyond implementing the architecture proposed in the original design, this paper introduces three extensions that address specific weaknesses locally deployable, general-domain speech and translation models introduce relative to their larger, cloud-hosted counterparts: redundant computation on repeated speech within a session, unreliable handling of domain-specific technical vocabulary, and the loss of any such learned adaptation the moment a session ends.</w:t>
      </w:r>
    </w:p>
    <w:p>
      <w:pPr>
        <w:spacing w:after="100" w:before="200"/>
      </w:pPr>
      <w:r>
        <w:rPr>
          <w:rFonts w:ascii="Times New Roman" w:cs="Times New Roman" w:eastAsia="Times New Roman" w:hAnsi="Times New Roman"/>
          <w:b/>
          <w:bCs/>
          <w:i/>
          <w:iCs/>
          <w:sz w:val="24"/>
          <w:szCs w:val="24"/>
        </w:rPr>
        <w:t xml:space="preserve">6.1 Semantic Translation Cache</w:t>
      </w:r>
    </w:p>
    <w:p>
      <w:pPr>
        <w:spacing w:after="200" w:line="360"/>
        <w:jc w:val="both"/>
      </w:pPr>
      <w:r>
        <w:rPr>
          <w:rFonts w:ascii="Times New Roman" w:cs="Times New Roman" w:eastAsia="Times New Roman" w:hAnsi="Times New Roman"/>
          <w:i w:val="false"/>
          <w:iCs w:val="false"/>
          <w:sz w:val="24"/>
          <w:szCs w:val="24"/>
        </w:rPr>
        <w:t xml:space="preserve">A presenter re-reading a slide title, recapping a definition, or repeating a phrase such as “any questions?” triggers a full machine translation call every time under the architecture described in Section 4, even though a semantically identical or near-identical sentence may already have been translated earlier in the same session. The semantic translation cache addresses this by sitting between the transcript produced by the ASR backend and the call to the translation backend. Each transcript segment is embedded using a sentence-embedding model and checked, per target language, against every transcript already translated for that language earlier in the session, using cosine similarity between L2-normalized embedding vectors. If the closest previously seen transcript exceeds a configurable similarity threshold, its stored translation is reused directly and the real translation call is skipped; otherwise the segment is translated as usual and the result is stored in the per-language cache for future reuse. Caching is applied per target language independently, since the same source transcript can legitimately have different cached translations across languages, and translation is still performed at most once per distinct language per segment as in the uncached pipeline.</w:t>
      </w:r>
    </w:p>
    <w:p>
      <w:pPr>
        <w:spacing w:after="200" w:line="360"/>
        <w:jc w:val="both"/>
      </w:pPr>
      <w:r>
        <w:rPr>
          <w:rFonts w:ascii="Times New Roman" w:cs="Times New Roman" w:eastAsia="Times New Roman" w:hAnsi="Times New Roman"/>
          <w:i w:val="false"/>
          <w:iCs w:val="false"/>
          <w:sz w:val="24"/>
          <w:szCs w:val="24"/>
        </w:rPr>
        <w:t xml:space="preserve">The cache is designed as a drop-in addition to the existing pipeline rather than a modification of it: it implements the same narrow translation-backend-adjacent interface used elsewhere in the codebase, defaults to a no-op implementation that preserves the original always-translate behavior exactly, and is only active when explicitly supplied. This keeps the cache’s effect isolated and independently measurable, since disabling it recovers the original, previously validated pipeline behavior exactly.</w:t>
      </w:r>
    </w:p>
    <w:p>
      <w:pPr>
        <w:spacing w:after="100" w:before="200"/>
      </w:pPr>
      <w:r>
        <w:rPr>
          <w:rFonts w:ascii="Times New Roman" w:cs="Times New Roman" w:eastAsia="Times New Roman" w:hAnsi="Times New Roman"/>
          <w:b/>
          <w:bCs/>
          <w:i/>
          <w:iCs/>
          <w:sz w:val="24"/>
          <w:szCs w:val="24"/>
        </w:rPr>
        <w:t xml:space="preserve">6.2 Conference Glossary Adaptation</w:t>
      </w:r>
    </w:p>
    <w:p>
      <w:pPr>
        <w:spacing w:after="200" w:line="360"/>
        <w:jc w:val="both"/>
      </w:pPr>
      <w:r>
        <w:rPr>
          <w:rFonts w:ascii="Times New Roman" w:cs="Times New Roman" w:eastAsia="Times New Roman" w:hAnsi="Times New Roman"/>
          <w:i w:val="false"/>
          <w:iCs w:val="false"/>
          <w:sz w:val="24"/>
          <w:szCs w:val="24"/>
        </w:rPr>
        <w:t xml:space="preserve">General-domain machine translation models such as NLLB-200 are prone to mishandling domain-specific technical vocabulary, acronyms, hardware and model names, and terminology coined within the paper or talk itself, precisely the vocabulary an academic conference audience most needs rendered correctly. Because NLLB-200 offers no built-in mechanism for forcing a specific translation of a specific term mid-sentence, and because retraining or constrained decoding are both impractical on a presenter’s laptop the night before a talk, glossary adaptation is implemented as a placeholder-substitution mechanism applied around the translation call rather than inside the translation model itself. Before a segment is translated, every glossary term found in it is replaced with a unique, non-linguistic placeholder token; the placeholder-substituted text is translated normally; and afterward, each placeholder is replaced with either a specified per-language translation for that term, if one has been supplied, or the term’s original surface form, preserved verbatim, if not. Terms are matched longest-first and on whole-word boundaries, so that a multi-word term such as a named model architecture is protected as a single unit rather than fragmenting into its component words.</w:t>
      </w:r>
    </w:p>
    <w:p>
      <w:pPr>
        <w:spacing w:after="200" w:line="360"/>
        <w:jc w:val="both"/>
      </w:pPr>
      <w:r>
        <w:rPr>
          <w:rFonts w:ascii="Times New Roman" w:cs="Times New Roman" w:eastAsia="Times New Roman" w:hAnsi="Times New Roman"/>
          <w:i w:val="false"/>
          <w:iCs w:val="false"/>
          <w:sz w:val="24"/>
          <w:szCs w:val="24"/>
        </w:rPr>
        <w:t xml:space="preserve">Because manually compiling a glossary for every talk is impractical, a heuristic candidate-term extractor is provided that scans a paper, slide deck, or abstract for acronyms and repeated Title Case phrases, filtered against a list of common English words to reduce false positives from ordinary capitalized sentence-starters and section headers, and filtered by a minimum-occurrence threshold to reduce false positives from incidentally capitalized words that are not actually recurring terminology. This extraction step is explicitly treated as a first pass rather than a finished glossary: its output is written to an editable file specifically so that a human reviews, prunes, and where necessary supplies per-language translations for the extracted candidates before a session, rather than trusting automatic extraction as a final answer.</w:t>
      </w:r>
    </w:p>
    <w:p>
      <w:pPr>
        <w:spacing w:after="100" w:before="200"/>
      </w:pPr>
      <w:r>
        <w:rPr>
          <w:rFonts w:ascii="Times New Roman" w:cs="Times New Roman" w:eastAsia="Times New Roman" w:hAnsi="Times New Roman"/>
          <w:b/>
          <w:bCs/>
          <w:i/>
          <w:iCs/>
          <w:sz w:val="24"/>
          <w:szCs w:val="24"/>
        </w:rPr>
        <w:t xml:space="preserve">6.3 Cross-Session Persistent Memory</w:t>
      </w:r>
    </w:p>
    <w:p>
      <w:pPr>
        <w:spacing w:after="200" w:line="360"/>
        <w:jc w:val="both"/>
      </w:pPr>
      <w:r>
        <w:rPr>
          <w:rFonts w:ascii="Times New Roman" w:cs="Times New Roman" w:eastAsia="Times New Roman" w:hAnsi="Times New Roman"/>
          <w:i w:val="false"/>
          <w:iCs w:val="false"/>
          <w:sz w:val="24"/>
          <w:szCs w:val="24"/>
        </w:rPr>
        <w:t xml:space="preserve">Sections 6.1 and 6.2 both improve translation within a single session, but neither persists what was learned once that session's process exits: a presenter giving a similar lecture to a different section the following week, or a departmental seminar series that reuses much of the same vocabulary across talks, gains nothing from a previous session's cache or glossary under the architecture described so far. Cross-session persistent memory extends both mechanisms to close this gap, without changing the single-device, no-network architecture the rest of the system depends on.</w:t>
      </w:r>
    </w:p>
    <w:p>
      <w:pPr>
        <w:spacing w:after="200" w:line="360"/>
        <w:jc w:val="both"/>
      </w:pPr>
      <w:r>
        <w:rPr>
          <w:rFonts w:ascii="Times New Roman" w:cs="Times New Roman" w:eastAsia="Times New Roman" w:hAnsi="Times New Roman"/>
          <w:i w:val="false"/>
          <w:iCs w:val="false"/>
          <w:sz w:val="24"/>
          <w:szCs w:val="24"/>
        </w:rPr>
        <w:t xml:space="preserve">For the semantic translation cache, persistence is implemented as an optional, presenter-scoped local file: at construction, the cache loads any entries a previous session saved for the same presenter, in addition to whatever it accumulates during the current session, so a repeated or near-repeated phrase from a prior lecture can produce a cache hit from its first occurrence in a new session rather than only after being spoken once already in the current one. At the end of a presenter's connection, the current contents of the cache, both carried-over and newly added entries, are written back to the same file. The glossary is extended the same way: terms added or corrected during a session, including any added via candidate-term extraction and reviewed by the presenter, are saved back to the glossary file at session end, so a term approved in one session does not need to be rediscovered or re-approved in the next. Both extensions default to the original, session-scoped behavior exactly when no persistence path is configured, matching the drop-in, opt-in design already used for the cache and glossary themselves (Sections 6.1, 6.2); the cache's existing per-language entry cap (Section 6.1) applies unchanged to the combined carried-over and newly added entries, so long-running accumulation across many sessions remains bounded rather than growing without limit.</w:t>
      </w:r>
    </w:p>
    <w:p>
      <w:pPr>
        <w:spacing w:after="200" w:line="360"/>
        <w:jc w:val="both"/>
      </w:pPr>
      <w:r>
        <w:rPr>
          <w:rFonts w:ascii="Times New Roman" w:cs="Times New Roman" w:eastAsia="Times New Roman" w:hAnsi="Times New Roman"/>
          <w:i w:val="false"/>
          <w:iCs w:val="false"/>
          <w:sz w:val="24"/>
          <w:szCs w:val="24"/>
        </w:rPr>
        <w:t xml:space="preserve">Persistence here is deliberately local and single-device: the saved cache and glossary files live on the presenter's own laptop, are never transmitted anywhere, and require no coordination with any other device or session host. This keeps the extension consistent with the rest of the system's privacy model, no conference content leaves the presenter's device in this session or any other, while still allowing translation quality and computational savings to compound across a presenter's repeated use of the system over time, rather than resetting to zero at the start of every session.</w:t>
      </w:r>
    </w:p>
    <w:p>
      <w:pPr>
        <w:spacing w:after="150" w:before="300"/>
      </w:pPr>
      <w:r>
        <w:rPr>
          <w:rFonts w:ascii="Times New Roman" w:cs="Times New Roman" w:eastAsia="Times New Roman" w:hAnsi="Times New Roman"/>
          <w:b/>
          <w:bCs/>
          <w:sz w:val="24"/>
          <w:szCs w:val="24"/>
          <w:u w:val="single"/>
        </w:rPr>
        <w:t xml:space="preserve">7. Evaluation Methodology</w:t>
      </w:r>
    </w:p>
    <w:p>
      <w:pPr>
        <w:spacing w:after="200" w:line="360"/>
        <w:jc w:val="both"/>
      </w:pPr>
      <w:r>
        <w:rPr>
          <w:rFonts w:ascii="Times New Roman" w:cs="Times New Roman" w:eastAsia="Times New Roman" w:hAnsi="Times New Roman"/>
          <w:i w:val="false"/>
          <w:iCs w:val="false"/>
          <w:sz w:val="24"/>
          <w:szCs w:val="24"/>
        </w:rPr>
        <w:t xml:space="preserve">The evaluation plan is organized around six questions, extending the latency, accuracy, and stability questions from the original proposal with three further questions specific to the three extensions described in Section 6. For each, the corresponding instrumentation has been implemented and is described below; the empirical results these instruments produce are reported separately, in Section 8, once evaluation against real lecture audio and verified reference translations is complete.</w:t>
      </w:r>
    </w:p>
    <w:p>
      <w:pPr>
        <w:spacing w:after="100" w:before="200"/>
      </w:pPr>
      <w:r>
        <w:rPr>
          <w:rFonts w:ascii="Times New Roman" w:cs="Times New Roman" w:eastAsia="Times New Roman" w:hAnsi="Times New Roman"/>
          <w:b/>
          <w:bCs/>
          <w:i/>
          <w:iCs/>
          <w:sz w:val="24"/>
          <w:szCs w:val="24"/>
        </w:rPr>
        <w:t xml:space="preserve">7.1 Latency Evaluation</w:t>
      </w:r>
    </w:p>
    <w:p>
      <w:pPr>
        <w:spacing w:after="200" w:line="360"/>
        <w:jc w:val="both"/>
      </w:pPr>
      <w:r>
        <w:rPr>
          <w:rFonts w:ascii="Times New Roman" w:cs="Times New Roman" w:eastAsia="Times New Roman" w:hAnsi="Times New Roman"/>
          <w:i w:val="false"/>
          <w:iCs w:val="false"/>
          <w:sz w:val="24"/>
          <w:szCs w:val="24"/>
        </w:rPr>
        <w:t xml:space="preserve">End-to-end latency, measured from the moment a word is spoken to the moment its translation appears on an attendee device, is recorded across a range of attendee device counts to assess whether local network broadcast introduces meaningful delay as the number of connected attendees increases.</w:t>
      </w:r>
    </w:p>
    <w:p>
      <w:pPr>
        <w:spacing w:after="100" w:before="200"/>
      </w:pPr>
      <w:r>
        <w:rPr>
          <w:rFonts w:ascii="Times New Roman" w:cs="Times New Roman" w:eastAsia="Times New Roman" w:hAnsi="Times New Roman"/>
          <w:b/>
          <w:bCs/>
          <w:i/>
          <w:iCs/>
          <w:sz w:val="24"/>
          <w:szCs w:val="24"/>
        </w:rPr>
        <w:t xml:space="preserve">7.2 Transcription and Translation Accuracy Evaluation</w:t>
      </w:r>
    </w:p>
    <w:p>
      <w:pPr>
        <w:spacing w:after="200" w:line="360"/>
        <w:jc w:val="both"/>
      </w:pPr>
      <w:r>
        <w:rPr>
          <w:rFonts w:ascii="Times New Roman" w:cs="Times New Roman" w:eastAsia="Times New Roman" w:hAnsi="Times New Roman"/>
          <w:i w:val="false"/>
          <w:iCs w:val="false"/>
          <w:sz w:val="24"/>
          <w:szCs w:val="24"/>
        </w:rPr>
        <w:t xml:space="preserve">Recorded academic lecture audio, covering both general explanatory speech and technical, jargon-dense segments, is transcribed and translated by the implemented pipeline and compared against human-supplied reference transcripts and translations. Word error rate characterizes transcription accuracy; BLEU and character n-gram F-score (chrF) characterize translation quality against the reference translations (Post, 2018; Popović, 2015).</w:t>
      </w:r>
    </w:p>
    <w:p>
      <w:pPr>
        <w:spacing w:after="100" w:before="200"/>
      </w:pPr>
      <w:r>
        <w:rPr>
          <w:rFonts w:ascii="Times New Roman" w:cs="Times New Roman" w:eastAsia="Times New Roman" w:hAnsi="Times New Roman"/>
          <w:b/>
          <w:bCs/>
          <w:i/>
          <w:iCs/>
          <w:sz w:val="24"/>
          <w:szCs w:val="24"/>
        </w:rPr>
        <w:t xml:space="preserve">7.3 Session Stability Evaluation</w:t>
      </w:r>
    </w:p>
    <w:p>
      <w:pPr>
        <w:spacing w:after="200" w:line="360"/>
        <w:jc w:val="both"/>
      </w:pPr>
      <w:r>
        <w:rPr>
          <w:rFonts w:ascii="Times New Roman" w:cs="Times New Roman" w:eastAsia="Times New Roman" w:hAnsi="Times New Roman"/>
          <w:i w:val="false"/>
          <w:iCs w:val="false"/>
          <w:sz w:val="24"/>
          <w:szCs w:val="24"/>
        </w:rPr>
        <w:t xml:space="preserve">The system is run continuously against a full-length lecture recording to evaluate whether transcription and translation quality remain consistent over time, and whether the local network connection remains stable as simulated attendees join and leave the session mid-way through.</w:t>
      </w:r>
    </w:p>
    <w:p>
      <w:pPr>
        <w:spacing w:after="100" w:before="200"/>
      </w:pPr>
      <w:r>
        <w:rPr>
          <w:rFonts w:ascii="Times New Roman" w:cs="Times New Roman" w:eastAsia="Times New Roman" w:hAnsi="Times New Roman"/>
          <w:b/>
          <w:bCs/>
          <w:i/>
          <w:iCs/>
          <w:sz w:val="24"/>
          <w:szCs w:val="24"/>
        </w:rPr>
        <w:t xml:space="preserve">7.4 Semantic Translation Cache Evaluation</w:t>
      </w:r>
    </w:p>
    <w:p>
      <w:pPr>
        <w:spacing w:after="200" w:line="360"/>
        <w:jc w:val="both"/>
      </w:pPr>
      <w:r>
        <w:rPr>
          <w:rFonts w:ascii="Times New Roman" w:cs="Times New Roman" w:eastAsia="Times New Roman" w:hAnsi="Times New Roman"/>
          <w:i w:val="false"/>
          <w:iCs w:val="false"/>
          <w:sz w:val="24"/>
          <w:szCs w:val="24"/>
        </w:rPr>
        <w:t xml:space="preserve">The cache described in Section 6.1 is evaluated by translating an identical sequence of sentences twice, once through the uncached pipeline and once through the cache, and comparing the number of real translation calls made, the cache hit rate, total wall-clock translation time, and process-level CPU and peak memory usage during each run. Because the two runs translate exactly the same input, any difference in these measurements is attributable to the cache rather than to variation in the input itself.</w:t>
      </w:r>
    </w:p>
    <w:p>
      <w:pPr>
        <w:spacing w:after="100" w:before="200"/>
      </w:pPr>
      <w:r>
        <w:rPr>
          <w:rFonts w:ascii="Times New Roman" w:cs="Times New Roman" w:eastAsia="Times New Roman" w:hAnsi="Times New Roman"/>
          <w:b/>
          <w:bCs/>
          <w:i/>
          <w:iCs/>
          <w:sz w:val="24"/>
          <w:szCs w:val="24"/>
        </w:rPr>
        <w:t xml:space="preserve">7.5 Glossary Adaptation Evaluation</w:t>
      </w:r>
    </w:p>
    <w:p>
      <w:pPr>
        <w:spacing w:after="200" w:line="360"/>
        <w:jc w:val="both"/>
      </w:pPr>
      <w:r>
        <w:rPr>
          <w:rFonts w:ascii="Times New Roman" w:cs="Times New Roman" w:eastAsia="Times New Roman" w:hAnsi="Times New Roman"/>
          <w:i w:val="false"/>
          <w:iCs w:val="false"/>
          <w:sz w:val="24"/>
          <w:szCs w:val="24"/>
        </w:rPr>
        <w:t xml:space="preserve">The glossary mechanism described in Section 6.2 is evaluated by translating the same sentences, each containing at least one glossary term, both with and without glossary adaptation applied, and scoring both outputs against human-reviewed reference translations using BLEU, chrF, and, optionally, the neural COMET metric (Rei et al., 2020), alongside a glossary-specific term-accuracy measure recording, per sentence, whether the protected term itself appears correctly in the output independent of how the sentence as a whole scored. This last measure is included because sentence-level BLEU and chrF can dilute a single incorrect term across an otherwise adequate translation, whereas term accuracy speaks directly to the question the glossary mechanism is meant to answer. A structured space for human adequacy and fluency ratings is included alongside the automatic metrics, since automatic MT evaluation metrics are known to correlate imperfectly with human judgment, particularly at the level of an individual technical term.</w:t>
      </w:r>
    </w:p>
    <w:p>
      <w:pPr>
        <w:spacing w:after="100" w:before="200"/>
      </w:pPr>
      <w:r>
        <w:rPr>
          <w:rFonts w:ascii="Times New Roman" w:cs="Times New Roman" w:eastAsia="Times New Roman" w:hAnsi="Times New Roman"/>
          <w:b/>
          <w:bCs/>
          <w:i/>
          <w:iCs/>
          <w:sz w:val="24"/>
          <w:szCs w:val="24"/>
        </w:rPr>
        <w:t xml:space="preserve">7.6 Cross-Session Persistence Evaluation</w:t>
      </w:r>
    </w:p>
    <w:p>
      <w:pPr>
        <w:spacing w:after="200" w:line="360"/>
        <w:jc w:val="both"/>
      </w:pPr>
      <w:r>
        <w:rPr>
          <w:rFonts w:ascii="Times New Roman" w:cs="Times New Roman" w:eastAsia="Times New Roman" w:hAnsi="Times New Roman"/>
          <w:i w:val="false"/>
          <w:iCs w:val="false"/>
          <w:sz w:val="24"/>
          <w:szCs w:val="24"/>
        </w:rPr>
        <w:t xml:space="preserve">The persistence extension described in Section 6.3 is evaluated with a two-session protocol: a first session translates a full lecture recording with the semantic cache and glossary both configured to persist to disk, and at its end both are saved exactly as they would be after a real presenter session. A second session then loads from the same files and translates a related lecture, either a repeat of similar material or a different talk sharing much of the first lecture's technical vocabulary, and cache and glossary statistics are read from this second session alone. The primary measure is cross-session hit rate: the proportion of the second session's cache hits attributable specifically to entries carried over from the first session, isolated from ordinary within-session hits by the same instrumentation described in Section 7.4. This is compared against the within-session hit rate a single, non-persistent run of the second lecture alone would produce, to characterize how much of the cache's benefit in a realistic, repeated-use setting comes specifically from cross-session reuse rather than from repetition within the second lecture itself. Glossary term accuracy is evaluated the same way as Section 7.5, comparing the second session's output against reference translations with and without the terms already approved and carried over from the first session.</w:t>
      </w:r>
    </w:p>
    <w:p>
      <w:pPr>
        <w:spacing w:after="150" w:before="300"/>
      </w:pPr>
      <w:r>
        <w:rPr>
          <w:rFonts w:ascii="Times New Roman" w:cs="Times New Roman" w:eastAsia="Times New Roman" w:hAnsi="Times New Roman"/>
          <w:b/>
          <w:bCs/>
          <w:sz w:val="24"/>
          <w:szCs w:val="24"/>
          <w:u w:val="single"/>
        </w:rPr>
        <w:t xml:space="preserve">8. Results</w:t>
      </w:r>
    </w:p>
    <w:p>
      <w:pPr>
        <w:spacing w:after="200" w:line="360"/>
        <w:jc w:val="both"/>
      </w:pPr>
      <w:r>
        <w:rPr>
          <w:rFonts w:ascii="Times New Roman" w:cs="Times New Roman" w:eastAsia="Times New Roman" w:hAnsi="Times New Roman"/>
          <w:b/>
          <w:bCs/>
          <w:sz w:val="24"/>
          <w:szCs w:val="24"/>
        </w:rPr>
        <w:t xml:space="preserve">Results pending. </w:t>
      </w:r>
      <w:r>
        <w:rPr>
          <w:rFonts w:ascii="Times New Roman" w:cs="Times New Roman" w:eastAsia="Times New Roman" w:hAnsi="Times New Roman"/>
          <w:sz w:val="24"/>
          <w:szCs w:val="24"/>
        </w:rPr>
        <w:t xml:space="preserve">The evaluation instrumentation described in Section 7 is fully implemented and operational for all six evaluation questions. Reporting empirical word error rate, BLEU, chrF, COMET, latency, within-session and cross-session cache hit rate, and glossary term accuracy figures in this section requires, respectively: recorded lecture audio with human-verified reference transcripts and translations; a completed set of latency measurements across varying attendee counts; a full-length session stability run; a set of lecture-representative sentences run through the semantic cache instrumentation; a glossary built from real conference materials together with human-verified reference translations for glossary-bearing sentences; and a two-session run over related lecture content with cache and glossary persistence enabled, for the cross-session evaluation described in Section 7.6. This section will be completed with those figures once that data collection is finished, in place of estimated or illustrative numbers.</w:t>
      </w:r>
    </w:p>
    <w:p>
      <w:pPr>
        <w:spacing w:after="150" w:before="300"/>
      </w:pPr>
      <w:r>
        <w:rPr>
          <w:rFonts w:ascii="Times New Roman" w:cs="Times New Roman" w:eastAsia="Times New Roman" w:hAnsi="Times New Roman"/>
          <w:b/>
          <w:bCs/>
          <w:sz w:val="24"/>
          <w:szCs w:val="24"/>
          <w:u w:val="single"/>
        </w:rPr>
        <w:t xml:space="preserve">9. Limitations and Future Work</w:t>
      </w:r>
    </w:p>
    <w:p>
      <w:pPr>
        <w:spacing w:after="200" w:line="360"/>
        <w:jc w:val="both"/>
      </w:pPr>
      <w:r>
        <w:rPr>
          <w:rFonts w:ascii="Times New Roman" w:cs="Times New Roman" w:eastAsia="Times New Roman" w:hAnsi="Times New Roman"/>
          <w:i w:val="false"/>
          <w:iCs w:val="false"/>
          <w:sz w:val="24"/>
          <w:szCs w:val="24"/>
        </w:rPr>
        <w:t xml:space="preserve">Locally deployable speech recognition and translation models are generally smaller than their cloud-hosted counterparts and may show reduced accuracy on heavily accented speech or highly specialized technical vocabulary; Section 6.2’s glossary adaptation mechanism is a direct response to the technical-vocabulary component of this limitation, though it does not address accented-speech transcription accuracy, which remains open. The current system is also scoped to a single-room deployment; extending the design to multi-room or multi-track conference formats, where several presenter devices operate simultaneously, is left to future work, as is a more thorough characterization of how the semantic translation cache’s similarity threshold trades off cache hit rate against the risk of reusing a translation for a segment that was similar but not, in fact, semantically identical. The persistent memory extension introduced in Section 6.3 is bounded by the same size-based eviction policy as the in-session cache, applied cumulatively across sessions rather than within one; characterizing how this policy trades off retained cross-session hit rate against unbounded memory growth over months of repeated use, and whether a recency- or topic-weighted alternative would perform meaningfully better, is likewise left to future work, as is any mechanism for sharing this memory across presenters or institutions, deliberately out of scope here given the trust-bootstrapping and synchronization problems such sharing would introduce.</w:t>
      </w:r>
    </w:p>
    <w:p>
      <w:pPr>
        <w:spacing w:after="150" w:before="300"/>
      </w:pPr>
      <w:r>
        <w:rPr>
          <w:rFonts w:ascii="Times New Roman" w:cs="Times New Roman" w:eastAsia="Times New Roman" w:hAnsi="Times New Roman"/>
          <w:b/>
          <w:bCs/>
          <w:sz w:val="24"/>
          <w:szCs w:val="24"/>
          <w:u w:val="single"/>
        </w:rPr>
        <w:t xml:space="preserve">10. Conclusion</w:t>
      </w:r>
    </w:p>
    <w:p>
      <w:pPr>
        <w:spacing w:after="200" w:line="360"/>
        <w:jc w:val="both"/>
      </w:pPr>
      <w:r>
        <w:rPr>
          <w:rFonts w:ascii="Times New Roman" w:cs="Times New Roman" w:eastAsia="Times New Roman" w:hAnsi="Times New Roman"/>
          <w:i w:val="false"/>
          <w:iCs w:val="false"/>
          <w:sz w:val="24"/>
          <w:szCs w:val="24"/>
        </w:rPr>
        <w:t xml:space="preserve">Live speech translation for conferences is a well-established commercial category, but every existing platform surveyed in this paper depends on continuous internet connectivity and third-party cloud infrastructure, a dependency poorly suited to single-room, cost-sensitive, and connectivity-constrained academic settings such as college seminar halls and departmental conferences. This paper has reported a complete, locally hosted implementation of Local Device-to-Device Speech Translation that removes both the internet dependency and the recurring cost associated with existing solutions, together with three additional technical contributions, a semantic translation cache, an automated conference glossary adaptation mechanism, and a cross-session persistent memory extension to both, that target specific weaknesses of the locally deployable speech and translation models the architecture depends on and the loss of any learned adaptation between sessions. A complete evaluation methodology and instrumentation for all six evaluation questions this raises have been implemented; empirical results from that evaluation will be reported once data collection against real lecture audio and verified reference translations is complete.</w:t>
      </w:r>
    </w:p>
    <w:p>
      <w:pPr>
        <w:spacing w:after="150" w:before="300"/>
      </w:pPr>
      <w:r>
        <w:rPr>
          <w:rFonts w:ascii="Times New Roman" w:cs="Times New Roman" w:eastAsia="Times New Roman" w:hAnsi="Times New Roman"/>
          <w:b/>
          <w:bCs/>
          <w:sz w:val="24"/>
          <w:szCs w:val="24"/>
          <w:u w:val="single"/>
        </w:rPr>
        <w:t xml:space="preserve">References</w:t>
      </w:r>
    </w:p>
    <w:p>
      <w:pPr>
        <w:spacing w:after="200" w:line="360"/>
        <w:jc w:val="both"/>
      </w:pPr>
      <w:r>
        <w:rPr>
          <w:rFonts w:ascii="Times New Roman" w:cs="Times New Roman" w:eastAsia="Times New Roman" w:hAnsi="Times New Roman"/>
          <w:i w:val="false"/>
          <w:iCs w:val="false"/>
          <w:sz w:val="24"/>
          <w:szCs w:val="24"/>
        </w:rPr>
        <w:t xml:space="preserve">Boostlingo, 2026. AI Live Speech Translation and Captioning Services. [online] Available at: https://boostlingo.com/solutions/multilingual-events/live-translation/</w:t>
      </w:r>
    </w:p>
    <w:p>
      <w:pPr>
        <w:spacing w:after="200" w:line="360"/>
        <w:jc w:val="both"/>
      </w:pPr>
      <w:r>
        <w:rPr>
          <w:rFonts w:ascii="Times New Roman" w:cs="Times New Roman" w:eastAsia="Times New Roman" w:hAnsi="Times New Roman"/>
          <w:i w:val="false"/>
          <w:iCs w:val="false"/>
          <w:sz w:val="24"/>
          <w:szCs w:val="24"/>
        </w:rPr>
        <w:t xml:space="preserve">Khushi, 2026. Local Device-to-Device Live Speech Translation for In-Person Academic Conferences: A Proposal. Department of Information Technology, Guru Tegh Bahadur Institute of Technology, Guru Gobind Singh Indraprastha University.</w:t>
      </w:r>
    </w:p>
    <w:p>
      <w:pPr>
        <w:spacing w:after="200" w:line="360"/>
        <w:jc w:val="both"/>
      </w:pPr>
      <w:r>
        <w:rPr>
          <w:rFonts w:ascii="Times New Roman" w:cs="Times New Roman" w:eastAsia="Times New Roman" w:hAnsi="Times New Roman"/>
          <w:i w:val="false"/>
          <w:iCs w:val="false"/>
          <w:sz w:val="24"/>
          <w:szCs w:val="24"/>
        </w:rPr>
        <w:t xml:space="preserve">NLLB Team, Costa-jussà, M.R., Cross, J., Çelebi, O., Elbayad, M., Heafield, K., Heffernan, K., Kalbassi, E., Lam, J., Licht, D., Maillard, J., Sun, A., Wang, S., Wenzek, G., Youngblood, A., Akula, B., Barrault, L., Mejia Gonzalez, G., Hansanti, P., Hoffman, J., Jarrett, S., Sadagopan, K.R., Rowe, D., Spruit, S., Tran, C., Andrews, P., Ayan, N.F., Bhosale, S., Edunov, S., Fan, A., Gao, C., Goswami, V., Guzmán, F., Koehn, P., Mourachko, A., Ropers, C., Saleem, S., Schwenk, H. and Wang, J., 2022. No Language Left Behind: Scaling Human-Centered Machine Translation. arXiv preprint arXiv:2207.04672.</w:t>
      </w:r>
    </w:p>
    <w:p>
      <w:pPr>
        <w:spacing w:after="200" w:line="360"/>
        <w:jc w:val="both"/>
      </w:pPr>
      <w:r>
        <w:rPr>
          <w:rFonts w:ascii="Times New Roman" w:cs="Times New Roman" w:eastAsia="Times New Roman" w:hAnsi="Times New Roman"/>
          <w:i w:val="false"/>
          <w:iCs w:val="false"/>
          <w:sz w:val="24"/>
          <w:szCs w:val="24"/>
        </w:rPr>
        <w:t xml:space="preserve">Popović, M., 2015. chrF: character n-gram F-score for automatic MT evaluation. In: Proceedings of the Tenth Workshop on Statistical Machine Translation. Lisbon: Association for Computational Linguistics, pp.392–395.</w:t>
      </w:r>
    </w:p>
    <w:p>
      <w:pPr>
        <w:spacing w:after="200" w:line="360"/>
        <w:jc w:val="both"/>
      </w:pPr>
      <w:r>
        <w:rPr>
          <w:rFonts w:ascii="Times New Roman" w:cs="Times New Roman" w:eastAsia="Times New Roman" w:hAnsi="Times New Roman"/>
          <w:i w:val="false"/>
          <w:iCs w:val="false"/>
          <w:sz w:val="24"/>
          <w:szCs w:val="24"/>
        </w:rPr>
        <w:t xml:space="preserve">Post, M., 2018. A Call for Clarity in Reporting BLEU Scores. In: Proceedings of the Third Conference on Machine Translation: Research Papers. Brussels: Association for Computational Linguistics, pp.186–191.</w:t>
      </w:r>
    </w:p>
    <w:p>
      <w:pPr>
        <w:spacing w:after="200" w:line="360"/>
        <w:jc w:val="both"/>
      </w:pPr>
      <w:r>
        <w:rPr>
          <w:rFonts w:ascii="Times New Roman" w:cs="Times New Roman" w:eastAsia="Times New Roman" w:hAnsi="Times New Roman"/>
          <w:i w:val="false"/>
          <w:iCs w:val="false"/>
          <w:sz w:val="24"/>
          <w:szCs w:val="24"/>
        </w:rPr>
        <w:t xml:space="preserve">Radford, A., Kim, J.W., Xu, T., Brockman, G., McLeavey, C. and Sutskever, I., 2022. Robust Speech Recognition via Large-Scale Weak Supervision. arXiv preprint arXiv:2212.04356.</w:t>
      </w:r>
    </w:p>
    <w:p>
      <w:pPr>
        <w:spacing w:after="200" w:line="360"/>
        <w:jc w:val="both"/>
      </w:pPr>
      <w:r>
        <w:rPr>
          <w:rFonts w:ascii="Times New Roman" w:cs="Times New Roman" w:eastAsia="Times New Roman" w:hAnsi="Times New Roman"/>
          <w:i w:val="false"/>
          <w:iCs w:val="false"/>
          <w:sz w:val="24"/>
          <w:szCs w:val="24"/>
        </w:rPr>
        <w:t xml:space="preserve">Rei, R., Stewart, C., Farinha, A.C. and Lavie, A., 2020. COMET: A Neural Framework for MT Evaluation. In: Proceedings of the 2020 Conference on Empirical Methods in Natural Language Processing (EMNLP). Online: Association for Computational Linguistics, pp.2685–2702.</w:t>
      </w:r>
    </w:p>
    <w:p>
      <w:pPr>
        <w:spacing w:after="200" w:line="360"/>
        <w:jc w:val="both"/>
      </w:pPr>
      <w:r>
        <w:rPr>
          <w:rFonts w:ascii="Times New Roman" w:cs="Times New Roman" w:eastAsia="Times New Roman" w:hAnsi="Times New Roman"/>
          <w:i w:val="false"/>
          <w:iCs w:val="false"/>
          <w:sz w:val="24"/>
          <w:szCs w:val="24"/>
        </w:rPr>
        <w:t xml:space="preserve">Reimers, N. and Gurevych, I., 2019. Sentence-BERT: Sentence Embeddings using Siamese BERT-Networks. In: Proceedings of the 2019 Conference on Empirical Methods in Natural Language Processing and the 9th International Joint Conference on Natural Language Processing (EMNLP-IJCNLP). Hong Kong: Association for Computational Linguistics, pp.3982–3992.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2026-07-16T07:14:57.167Z</dcterms:created>
  <dcterms:modified xsi:type="dcterms:W3CDTF">2026-07-16T07:14:57.180Z</dcterms:modified>
</cp:coreProperties>
</file>

<file path=docProps/custom.xml><?xml version="1.0" encoding="utf-8"?>
<Properties xmlns="http://schemas.openxmlformats.org/officeDocument/2006/custom-properties" xmlns:vt="http://schemas.openxmlformats.org/officeDocument/2006/docPropsVTypes"/>
</file>