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6A8C" w14:textId="77777777" w:rsidR="00C406BB" w:rsidRDefault="00C406BB" w:rsidP="00C406BB">
      <w:pPr>
        <w:spacing w:before="240" w:line="288" w:lineRule="auto"/>
        <w:jc w:val="center"/>
        <w:rPr>
          <w:rFonts w:ascii="Times New Roman" w:hAnsi="Times New Roman" w:cs="Times New Roman"/>
          <w:b/>
          <w:sz w:val="48"/>
          <w:szCs w:val="48"/>
        </w:rPr>
      </w:pPr>
      <w:bookmarkStart w:id="0" w:name="aol_time_warner_merger_analysis"/>
    </w:p>
    <w:p w14:paraId="6A568232" w14:textId="77777777" w:rsidR="00C406BB" w:rsidRDefault="00C406BB" w:rsidP="00C406BB">
      <w:pPr>
        <w:spacing w:before="240" w:line="288" w:lineRule="auto"/>
        <w:jc w:val="center"/>
        <w:rPr>
          <w:rFonts w:ascii="Times New Roman" w:hAnsi="Times New Roman" w:cs="Times New Roman"/>
          <w:b/>
          <w:sz w:val="48"/>
          <w:szCs w:val="48"/>
        </w:rPr>
      </w:pPr>
    </w:p>
    <w:p w14:paraId="549FD168" w14:textId="77777777" w:rsidR="00C406BB" w:rsidRDefault="00C406BB" w:rsidP="00C406BB">
      <w:pPr>
        <w:spacing w:before="240" w:line="288" w:lineRule="auto"/>
        <w:jc w:val="center"/>
        <w:rPr>
          <w:rFonts w:ascii="Times New Roman" w:hAnsi="Times New Roman" w:cs="Times New Roman"/>
          <w:b/>
          <w:sz w:val="48"/>
          <w:szCs w:val="48"/>
        </w:rPr>
      </w:pPr>
    </w:p>
    <w:p w14:paraId="1DBFBB16" w14:textId="77777777" w:rsidR="00C406BB" w:rsidRDefault="00C406BB" w:rsidP="00C406BB">
      <w:pPr>
        <w:spacing w:before="240" w:line="288" w:lineRule="auto"/>
        <w:jc w:val="center"/>
        <w:rPr>
          <w:rFonts w:ascii="Times New Roman" w:hAnsi="Times New Roman" w:cs="Times New Roman"/>
          <w:b/>
          <w:sz w:val="48"/>
          <w:szCs w:val="48"/>
        </w:rPr>
      </w:pPr>
    </w:p>
    <w:p w14:paraId="42382B87" w14:textId="77777777" w:rsidR="00C406BB" w:rsidRDefault="00C406BB" w:rsidP="00C406BB">
      <w:pPr>
        <w:spacing w:before="240" w:line="288" w:lineRule="auto"/>
        <w:jc w:val="center"/>
        <w:rPr>
          <w:rFonts w:ascii="Times New Roman" w:hAnsi="Times New Roman" w:cs="Times New Roman"/>
          <w:b/>
          <w:sz w:val="48"/>
          <w:szCs w:val="48"/>
        </w:rPr>
      </w:pPr>
    </w:p>
    <w:p w14:paraId="14AE6A0F" w14:textId="5F790EC3" w:rsidR="00521FEF" w:rsidRPr="00C406BB" w:rsidRDefault="00000000" w:rsidP="00C406BB">
      <w:pPr>
        <w:spacing w:before="240" w:line="288" w:lineRule="auto"/>
        <w:jc w:val="center"/>
        <w:rPr>
          <w:rFonts w:ascii="Times New Roman" w:hAnsi="Times New Roman" w:cs="Times New Roman"/>
          <w:sz w:val="48"/>
          <w:szCs w:val="48"/>
        </w:rPr>
      </w:pPr>
      <w:r w:rsidRPr="00C406BB">
        <w:rPr>
          <w:rFonts w:ascii="Times New Roman" w:hAnsi="Times New Roman" w:cs="Times New Roman"/>
          <w:b/>
          <w:sz w:val="48"/>
          <w:szCs w:val="48"/>
        </w:rPr>
        <w:t>AOL Time Warner Merger Analysis</w:t>
      </w:r>
      <w:bookmarkEnd w:id="0"/>
    </w:p>
    <w:p w14:paraId="0227832A" w14:textId="77777777" w:rsidR="00521FEF" w:rsidRPr="00C406BB" w:rsidRDefault="00000000" w:rsidP="00C406BB">
      <w:pPr>
        <w:spacing w:before="240" w:line="271" w:lineRule="auto"/>
        <w:jc w:val="center"/>
        <w:rPr>
          <w:rFonts w:ascii="Times New Roman" w:hAnsi="Times New Roman" w:cs="Times New Roman"/>
          <w:sz w:val="40"/>
          <w:szCs w:val="40"/>
        </w:rPr>
      </w:pPr>
      <w:bookmarkStart w:id="1" w:name="comprehensive_case_study_on_merge_75ad21"/>
      <w:r w:rsidRPr="00C406BB">
        <w:rPr>
          <w:rFonts w:ascii="Times New Roman" w:hAnsi="Times New Roman" w:cs="Times New Roman"/>
          <w:b/>
          <w:sz w:val="40"/>
          <w:szCs w:val="40"/>
        </w:rPr>
        <w:t>Comprehensive Case Study on Merger Accounting, Valuation, and Investment Decision</w:t>
      </w:r>
      <w:bookmarkEnd w:id="1"/>
    </w:p>
    <w:p w14:paraId="40DFA133" w14:textId="45C3F799" w:rsidR="00521FEF" w:rsidRPr="00C406BB" w:rsidRDefault="00000000" w:rsidP="00C406BB">
      <w:pPr>
        <w:spacing w:after="210"/>
        <w:jc w:val="center"/>
        <w:rPr>
          <w:rFonts w:ascii="Times New Roman" w:hAnsi="Times New Roman" w:cs="Times New Roman"/>
          <w:sz w:val="40"/>
          <w:szCs w:val="40"/>
        </w:rPr>
      </w:pPr>
      <w:r w:rsidRPr="00C406BB">
        <w:rPr>
          <w:rFonts w:ascii="Times New Roman" w:hAnsi="Times New Roman" w:cs="Times New Roman"/>
          <w:b/>
          <w:sz w:val="40"/>
          <w:szCs w:val="40"/>
        </w:rPr>
        <w:t>Case No. A171</w:t>
      </w:r>
    </w:p>
    <w:p w14:paraId="5E37EB2F" w14:textId="1C0B1676" w:rsidR="00C406BB" w:rsidRPr="00C406BB" w:rsidRDefault="00C406BB" w:rsidP="00C406BB">
      <w:pPr>
        <w:jc w:val="center"/>
        <w:rPr>
          <w:rFonts w:ascii="Times New Roman" w:hAnsi="Times New Roman" w:cs="Times New Roman"/>
          <w:sz w:val="48"/>
          <w:szCs w:val="48"/>
        </w:rPr>
      </w:pPr>
      <w:r w:rsidRPr="00C406BB">
        <w:rPr>
          <w:rFonts w:ascii="Times New Roman" w:hAnsi="Times New Roman" w:cs="Times New Roman"/>
          <w:sz w:val="48"/>
          <w:szCs w:val="48"/>
        </w:rPr>
        <w:br w:type="page"/>
      </w:r>
    </w:p>
    <w:sdt>
      <w:sdtPr>
        <w:id w:val="454066533"/>
        <w:docPartObj>
          <w:docPartGallery w:val="Table of Contents"/>
          <w:docPartUnique/>
        </w:docPartObj>
      </w:sdtPr>
      <w:sdtEndPr>
        <w:rPr>
          <w:rFonts w:ascii="Georgia" w:eastAsiaTheme="minorHAnsi" w:hAnsiTheme="minorHAnsi" w:cstheme="minorBidi"/>
          <w:noProof/>
          <w:color w:val="auto"/>
          <w:sz w:val="21"/>
          <w:szCs w:val="22"/>
        </w:rPr>
      </w:sdtEndPr>
      <w:sdtContent>
        <w:p w14:paraId="3B3A7FD6" w14:textId="6B393A8E" w:rsidR="00780271" w:rsidRDefault="00780271">
          <w:pPr>
            <w:pStyle w:val="TOCHeading"/>
          </w:pPr>
          <w:r>
            <w:t>Table of Contents</w:t>
          </w:r>
        </w:p>
        <w:p w14:paraId="5EB9D174" w14:textId="6F20BA78" w:rsidR="00780271" w:rsidRDefault="00780271">
          <w:pPr>
            <w:pStyle w:val="TOC1"/>
            <w:tabs>
              <w:tab w:val="right" w:leader="dot" w:pos="8680"/>
            </w:tabs>
            <w:rPr>
              <w:noProof/>
            </w:rPr>
          </w:pPr>
          <w:r>
            <w:rPr>
              <w:b w:val="0"/>
              <w:bCs w:val="0"/>
            </w:rPr>
            <w:fldChar w:fldCharType="begin"/>
          </w:r>
          <w:r>
            <w:instrText xml:space="preserve"> TOC \o "1-3" \h \z \u </w:instrText>
          </w:r>
          <w:r>
            <w:rPr>
              <w:b w:val="0"/>
              <w:bCs w:val="0"/>
            </w:rPr>
            <w:fldChar w:fldCharType="separate"/>
          </w:r>
          <w:hyperlink w:anchor="_Toc221361469" w:history="1">
            <w:r w:rsidRPr="005A3088">
              <w:rPr>
                <w:rStyle w:val="Hyperlink"/>
                <w:noProof/>
              </w:rPr>
              <w:t>Executive Summary</w:t>
            </w:r>
            <w:r>
              <w:rPr>
                <w:noProof/>
                <w:webHidden/>
              </w:rPr>
              <w:tab/>
            </w:r>
            <w:r>
              <w:rPr>
                <w:noProof/>
                <w:webHidden/>
              </w:rPr>
              <w:fldChar w:fldCharType="begin"/>
            </w:r>
            <w:r>
              <w:rPr>
                <w:noProof/>
                <w:webHidden/>
              </w:rPr>
              <w:instrText xml:space="preserve"> PAGEREF _Toc221361469 \h </w:instrText>
            </w:r>
            <w:r>
              <w:rPr>
                <w:noProof/>
                <w:webHidden/>
              </w:rPr>
            </w:r>
            <w:r>
              <w:rPr>
                <w:noProof/>
                <w:webHidden/>
              </w:rPr>
              <w:fldChar w:fldCharType="separate"/>
            </w:r>
            <w:r>
              <w:rPr>
                <w:noProof/>
                <w:webHidden/>
              </w:rPr>
              <w:t>3</w:t>
            </w:r>
            <w:r>
              <w:rPr>
                <w:noProof/>
                <w:webHidden/>
              </w:rPr>
              <w:fldChar w:fldCharType="end"/>
            </w:r>
          </w:hyperlink>
        </w:p>
        <w:p w14:paraId="19A52FE0" w14:textId="3D3CEDAB" w:rsidR="00780271" w:rsidRDefault="00780271">
          <w:pPr>
            <w:pStyle w:val="TOC1"/>
            <w:tabs>
              <w:tab w:val="right" w:leader="dot" w:pos="8680"/>
            </w:tabs>
            <w:rPr>
              <w:noProof/>
            </w:rPr>
          </w:pPr>
          <w:hyperlink w:anchor="_Toc221361470" w:history="1">
            <w:r w:rsidRPr="005A3088">
              <w:rPr>
                <w:rStyle w:val="Hyperlink"/>
                <w:noProof/>
              </w:rPr>
              <w:t>1. Transaction Overview and Strategic Rationale</w:t>
            </w:r>
            <w:r>
              <w:rPr>
                <w:noProof/>
                <w:webHidden/>
              </w:rPr>
              <w:tab/>
            </w:r>
            <w:r>
              <w:rPr>
                <w:noProof/>
                <w:webHidden/>
              </w:rPr>
              <w:fldChar w:fldCharType="begin"/>
            </w:r>
            <w:r>
              <w:rPr>
                <w:noProof/>
                <w:webHidden/>
              </w:rPr>
              <w:instrText xml:space="preserve"> PAGEREF _Toc221361470 \h </w:instrText>
            </w:r>
            <w:r>
              <w:rPr>
                <w:noProof/>
                <w:webHidden/>
              </w:rPr>
            </w:r>
            <w:r>
              <w:rPr>
                <w:noProof/>
                <w:webHidden/>
              </w:rPr>
              <w:fldChar w:fldCharType="separate"/>
            </w:r>
            <w:r>
              <w:rPr>
                <w:noProof/>
                <w:webHidden/>
              </w:rPr>
              <w:t>4</w:t>
            </w:r>
            <w:r>
              <w:rPr>
                <w:noProof/>
                <w:webHidden/>
              </w:rPr>
              <w:fldChar w:fldCharType="end"/>
            </w:r>
          </w:hyperlink>
        </w:p>
        <w:p w14:paraId="712A6AF4" w14:textId="11B7101E" w:rsidR="00780271" w:rsidRDefault="00780271">
          <w:pPr>
            <w:pStyle w:val="TOC2"/>
            <w:tabs>
              <w:tab w:val="right" w:leader="dot" w:pos="8680"/>
            </w:tabs>
            <w:rPr>
              <w:noProof/>
            </w:rPr>
          </w:pPr>
          <w:hyperlink w:anchor="_Toc221361471" w:history="1">
            <w:r w:rsidRPr="005A3088">
              <w:rPr>
                <w:rStyle w:val="Hyperlink"/>
                <w:noProof/>
              </w:rPr>
              <w:t>1.1 Deal Structure and Terms</w:t>
            </w:r>
            <w:r>
              <w:rPr>
                <w:noProof/>
                <w:webHidden/>
              </w:rPr>
              <w:tab/>
            </w:r>
            <w:r>
              <w:rPr>
                <w:noProof/>
                <w:webHidden/>
              </w:rPr>
              <w:fldChar w:fldCharType="begin"/>
            </w:r>
            <w:r>
              <w:rPr>
                <w:noProof/>
                <w:webHidden/>
              </w:rPr>
              <w:instrText xml:space="preserve"> PAGEREF _Toc221361471 \h </w:instrText>
            </w:r>
            <w:r>
              <w:rPr>
                <w:noProof/>
                <w:webHidden/>
              </w:rPr>
            </w:r>
            <w:r>
              <w:rPr>
                <w:noProof/>
                <w:webHidden/>
              </w:rPr>
              <w:fldChar w:fldCharType="separate"/>
            </w:r>
            <w:r>
              <w:rPr>
                <w:noProof/>
                <w:webHidden/>
              </w:rPr>
              <w:t>4</w:t>
            </w:r>
            <w:r>
              <w:rPr>
                <w:noProof/>
                <w:webHidden/>
              </w:rPr>
              <w:fldChar w:fldCharType="end"/>
            </w:r>
          </w:hyperlink>
        </w:p>
        <w:p w14:paraId="035616E5" w14:textId="00A1E866" w:rsidR="00780271" w:rsidRDefault="00780271">
          <w:pPr>
            <w:pStyle w:val="TOC2"/>
            <w:tabs>
              <w:tab w:val="right" w:leader="dot" w:pos="8680"/>
            </w:tabs>
            <w:rPr>
              <w:noProof/>
            </w:rPr>
          </w:pPr>
          <w:hyperlink w:anchor="_Toc221361472" w:history="1">
            <w:r w:rsidRPr="005A3088">
              <w:rPr>
                <w:rStyle w:val="Hyperlink"/>
                <w:noProof/>
              </w:rPr>
              <w:t>1.2 Company Profiles at Merger Announcement</w:t>
            </w:r>
            <w:r>
              <w:rPr>
                <w:noProof/>
                <w:webHidden/>
              </w:rPr>
              <w:tab/>
            </w:r>
            <w:r>
              <w:rPr>
                <w:noProof/>
                <w:webHidden/>
              </w:rPr>
              <w:fldChar w:fldCharType="begin"/>
            </w:r>
            <w:r>
              <w:rPr>
                <w:noProof/>
                <w:webHidden/>
              </w:rPr>
              <w:instrText xml:space="preserve"> PAGEREF _Toc221361472 \h </w:instrText>
            </w:r>
            <w:r>
              <w:rPr>
                <w:noProof/>
                <w:webHidden/>
              </w:rPr>
            </w:r>
            <w:r>
              <w:rPr>
                <w:noProof/>
                <w:webHidden/>
              </w:rPr>
              <w:fldChar w:fldCharType="separate"/>
            </w:r>
            <w:r>
              <w:rPr>
                <w:noProof/>
                <w:webHidden/>
              </w:rPr>
              <w:t>4</w:t>
            </w:r>
            <w:r>
              <w:rPr>
                <w:noProof/>
                <w:webHidden/>
              </w:rPr>
              <w:fldChar w:fldCharType="end"/>
            </w:r>
          </w:hyperlink>
        </w:p>
        <w:p w14:paraId="18B8F33C" w14:textId="3CD2B34B" w:rsidR="00780271" w:rsidRDefault="00780271">
          <w:pPr>
            <w:pStyle w:val="TOC2"/>
            <w:tabs>
              <w:tab w:val="right" w:leader="dot" w:pos="8680"/>
            </w:tabs>
            <w:rPr>
              <w:noProof/>
            </w:rPr>
          </w:pPr>
          <w:hyperlink w:anchor="_Toc221361473" w:history="1">
            <w:r w:rsidRPr="005A3088">
              <w:rPr>
                <w:rStyle w:val="Hyperlink"/>
                <w:noProof/>
              </w:rPr>
              <w:t>1.3 Strategic Rationale and Synergy Expectations</w:t>
            </w:r>
            <w:r>
              <w:rPr>
                <w:noProof/>
                <w:webHidden/>
              </w:rPr>
              <w:tab/>
            </w:r>
            <w:r>
              <w:rPr>
                <w:noProof/>
                <w:webHidden/>
              </w:rPr>
              <w:fldChar w:fldCharType="begin"/>
            </w:r>
            <w:r>
              <w:rPr>
                <w:noProof/>
                <w:webHidden/>
              </w:rPr>
              <w:instrText xml:space="preserve"> PAGEREF _Toc221361473 \h </w:instrText>
            </w:r>
            <w:r>
              <w:rPr>
                <w:noProof/>
                <w:webHidden/>
              </w:rPr>
            </w:r>
            <w:r>
              <w:rPr>
                <w:noProof/>
                <w:webHidden/>
              </w:rPr>
              <w:fldChar w:fldCharType="separate"/>
            </w:r>
            <w:r>
              <w:rPr>
                <w:noProof/>
                <w:webHidden/>
              </w:rPr>
              <w:t>5</w:t>
            </w:r>
            <w:r>
              <w:rPr>
                <w:noProof/>
                <w:webHidden/>
              </w:rPr>
              <w:fldChar w:fldCharType="end"/>
            </w:r>
          </w:hyperlink>
        </w:p>
        <w:p w14:paraId="0A580670" w14:textId="61F58D7E" w:rsidR="00780271" w:rsidRDefault="00780271">
          <w:pPr>
            <w:pStyle w:val="TOC2"/>
            <w:tabs>
              <w:tab w:val="right" w:leader="dot" w:pos="8680"/>
            </w:tabs>
            <w:rPr>
              <w:noProof/>
            </w:rPr>
          </w:pPr>
          <w:hyperlink w:anchor="_Toc221361474" w:history="1">
            <w:r w:rsidRPr="005A3088">
              <w:rPr>
                <w:rStyle w:val="Hyperlink"/>
                <w:noProof/>
              </w:rPr>
              <w:t>1.4 Market Reaction and Valuation Concerns</w:t>
            </w:r>
            <w:r>
              <w:rPr>
                <w:noProof/>
                <w:webHidden/>
              </w:rPr>
              <w:tab/>
            </w:r>
            <w:r>
              <w:rPr>
                <w:noProof/>
                <w:webHidden/>
              </w:rPr>
              <w:fldChar w:fldCharType="begin"/>
            </w:r>
            <w:r>
              <w:rPr>
                <w:noProof/>
                <w:webHidden/>
              </w:rPr>
              <w:instrText xml:space="preserve"> PAGEREF _Toc221361474 \h </w:instrText>
            </w:r>
            <w:r>
              <w:rPr>
                <w:noProof/>
                <w:webHidden/>
              </w:rPr>
            </w:r>
            <w:r>
              <w:rPr>
                <w:noProof/>
                <w:webHidden/>
              </w:rPr>
              <w:fldChar w:fldCharType="separate"/>
            </w:r>
            <w:r>
              <w:rPr>
                <w:noProof/>
                <w:webHidden/>
              </w:rPr>
              <w:t>6</w:t>
            </w:r>
            <w:r>
              <w:rPr>
                <w:noProof/>
                <w:webHidden/>
              </w:rPr>
              <w:fldChar w:fldCharType="end"/>
            </w:r>
          </w:hyperlink>
        </w:p>
        <w:p w14:paraId="6DFBAEA8" w14:textId="1232329F" w:rsidR="00780271" w:rsidRDefault="00780271">
          <w:pPr>
            <w:pStyle w:val="TOC1"/>
            <w:tabs>
              <w:tab w:val="right" w:leader="dot" w:pos="8680"/>
            </w:tabs>
            <w:rPr>
              <w:noProof/>
            </w:rPr>
          </w:pPr>
          <w:hyperlink w:anchor="_Toc221361475" w:history="1">
            <w:r w:rsidRPr="005A3088">
              <w:rPr>
                <w:rStyle w:val="Hyperlink"/>
                <w:noProof/>
              </w:rPr>
              <w:t>2. Purchase vs. Pooling Accounting Analysis</w:t>
            </w:r>
            <w:r>
              <w:rPr>
                <w:noProof/>
                <w:webHidden/>
              </w:rPr>
              <w:tab/>
            </w:r>
            <w:r>
              <w:rPr>
                <w:noProof/>
                <w:webHidden/>
              </w:rPr>
              <w:fldChar w:fldCharType="begin"/>
            </w:r>
            <w:r>
              <w:rPr>
                <w:noProof/>
                <w:webHidden/>
              </w:rPr>
              <w:instrText xml:space="preserve"> PAGEREF _Toc221361475 \h </w:instrText>
            </w:r>
            <w:r>
              <w:rPr>
                <w:noProof/>
                <w:webHidden/>
              </w:rPr>
            </w:r>
            <w:r>
              <w:rPr>
                <w:noProof/>
                <w:webHidden/>
              </w:rPr>
              <w:fldChar w:fldCharType="separate"/>
            </w:r>
            <w:r>
              <w:rPr>
                <w:noProof/>
                <w:webHidden/>
              </w:rPr>
              <w:t>7</w:t>
            </w:r>
            <w:r>
              <w:rPr>
                <w:noProof/>
                <w:webHidden/>
              </w:rPr>
              <w:fldChar w:fldCharType="end"/>
            </w:r>
          </w:hyperlink>
        </w:p>
        <w:p w14:paraId="6B68572B" w14:textId="0D391A7C" w:rsidR="00780271" w:rsidRDefault="00780271">
          <w:pPr>
            <w:pStyle w:val="TOC2"/>
            <w:tabs>
              <w:tab w:val="right" w:leader="dot" w:pos="8680"/>
            </w:tabs>
            <w:rPr>
              <w:noProof/>
            </w:rPr>
          </w:pPr>
          <w:hyperlink w:anchor="_Toc221361476" w:history="1">
            <w:r w:rsidRPr="005A3088">
              <w:rPr>
                <w:rStyle w:val="Hyperlink"/>
                <w:noProof/>
              </w:rPr>
              <w:t>2.1 Accounting Method Overview</w:t>
            </w:r>
            <w:r>
              <w:rPr>
                <w:noProof/>
                <w:webHidden/>
              </w:rPr>
              <w:tab/>
            </w:r>
            <w:r>
              <w:rPr>
                <w:noProof/>
                <w:webHidden/>
              </w:rPr>
              <w:fldChar w:fldCharType="begin"/>
            </w:r>
            <w:r>
              <w:rPr>
                <w:noProof/>
                <w:webHidden/>
              </w:rPr>
              <w:instrText xml:space="preserve"> PAGEREF _Toc221361476 \h </w:instrText>
            </w:r>
            <w:r>
              <w:rPr>
                <w:noProof/>
                <w:webHidden/>
              </w:rPr>
            </w:r>
            <w:r>
              <w:rPr>
                <w:noProof/>
                <w:webHidden/>
              </w:rPr>
              <w:fldChar w:fldCharType="separate"/>
            </w:r>
            <w:r>
              <w:rPr>
                <w:noProof/>
                <w:webHidden/>
              </w:rPr>
              <w:t>7</w:t>
            </w:r>
            <w:r>
              <w:rPr>
                <w:noProof/>
                <w:webHidden/>
              </w:rPr>
              <w:fldChar w:fldCharType="end"/>
            </w:r>
          </w:hyperlink>
        </w:p>
        <w:p w14:paraId="1CE4FB4B" w14:textId="0CED190F" w:rsidR="00780271" w:rsidRDefault="00780271">
          <w:pPr>
            <w:pStyle w:val="TOC2"/>
            <w:tabs>
              <w:tab w:val="right" w:leader="dot" w:pos="8680"/>
            </w:tabs>
            <w:rPr>
              <w:noProof/>
            </w:rPr>
          </w:pPr>
          <w:hyperlink w:anchor="_Toc221361477" w:history="1">
            <w:r w:rsidRPr="005A3088">
              <w:rPr>
                <w:rStyle w:val="Hyperlink"/>
                <w:noProof/>
              </w:rPr>
              <w:t>2.2 Pooling Eligibility Requirements</w:t>
            </w:r>
            <w:r>
              <w:rPr>
                <w:noProof/>
                <w:webHidden/>
              </w:rPr>
              <w:tab/>
            </w:r>
            <w:r>
              <w:rPr>
                <w:noProof/>
                <w:webHidden/>
              </w:rPr>
              <w:fldChar w:fldCharType="begin"/>
            </w:r>
            <w:r>
              <w:rPr>
                <w:noProof/>
                <w:webHidden/>
              </w:rPr>
              <w:instrText xml:space="preserve"> PAGEREF _Toc221361477 \h </w:instrText>
            </w:r>
            <w:r>
              <w:rPr>
                <w:noProof/>
                <w:webHidden/>
              </w:rPr>
            </w:r>
            <w:r>
              <w:rPr>
                <w:noProof/>
                <w:webHidden/>
              </w:rPr>
              <w:fldChar w:fldCharType="separate"/>
            </w:r>
            <w:r>
              <w:rPr>
                <w:noProof/>
                <w:webHidden/>
              </w:rPr>
              <w:t>7</w:t>
            </w:r>
            <w:r>
              <w:rPr>
                <w:noProof/>
                <w:webHidden/>
              </w:rPr>
              <w:fldChar w:fldCharType="end"/>
            </w:r>
          </w:hyperlink>
        </w:p>
        <w:p w14:paraId="17892AAA" w14:textId="001C614B" w:rsidR="00780271" w:rsidRDefault="00780271">
          <w:pPr>
            <w:pStyle w:val="TOC2"/>
            <w:tabs>
              <w:tab w:val="right" w:leader="dot" w:pos="8680"/>
            </w:tabs>
            <w:rPr>
              <w:noProof/>
            </w:rPr>
          </w:pPr>
          <w:hyperlink w:anchor="_Toc221361478" w:history="1">
            <w:r w:rsidRPr="005A3088">
              <w:rPr>
                <w:rStyle w:val="Hyperlink"/>
                <w:noProof/>
              </w:rPr>
              <w:t>2.3 Why AOL Time Warner Could Not Use Pooling</w:t>
            </w:r>
            <w:r>
              <w:rPr>
                <w:noProof/>
                <w:webHidden/>
              </w:rPr>
              <w:tab/>
            </w:r>
            <w:r>
              <w:rPr>
                <w:noProof/>
                <w:webHidden/>
              </w:rPr>
              <w:fldChar w:fldCharType="begin"/>
            </w:r>
            <w:r>
              <w:rPr>
                <w:noProof/>
                <w:webHidden/>
              </w:rPr>
              <w:instrText xml:space="preserve"> PAGEREF _Toc221361478 \h </w:instrText>
            </w:r>
            <w:r>
              <w:rPr>
                <w:noProof/>
                <w:webHidden/>
              </w:rPr>
            </w:r>
            <w:r>
              <w:rPr>
                <w:noProof/>
                <w:webHidden/>
              </w:rPr>
              <w:fldChar w:fldCharType="separate"/>
            </w:r>
            <w:r>
              <w:rPr>
                <w:noProof/>
                <w:webHidden/>
              </w:rPr>
              <w:t>8</w:t>
            </w:r>
            <w:r>
              <w:rPr>
                <w:noProof/>
                <w:webHidden/>
              </w:rPr>
              <w:fldChar w:fldCharType="end"/>
            </w:r>
          </w:hyperlink>
        </w:p>
        <w:p w14:paraId="04367B00" w14:textId="66074A6B" w:rsidR="00780271" w:rsidRDefault="00780271">
          <w:pPr>
            <w:pStyle w:val="TOC2"/>
            <w:tabs>
              <w:tab w:val="right" w:leader="dot" w:pos="8680"/>
            </w:tabs>
            <w:rPr>
              <w:noProof/>
            </w:rPr>
          </w:pPr>
          <w:hyperlink w:anchor="_Toc221361479" w:history="1">
            <w:r w:rsidRPr="005A3088">
              <w:rPr>
                <w:rStyle w:val="Hyperlink"/>
                <w:noProof/>
              </w:rPr>
              <w:t>2.4 Comparative Analysis: Other Contemporary Mergers</w:t>
            </w:r>
            <w:r>
              <w:rPr>
                <w:noProof/>
                <w:webHidden/>
              </w:rPr>
              <w:tab/>
            </w:r>
            <w:r>
              <w:rPr>
                <w:noProof/>
                <w:webHidden/>
              </w:rPr>
              <w:fldChar w:fldCharType="begin"/>
            </w:r>
            <w:r>
              <w:rPr>
                <w:noProof/>
                <w:webHidden/>
              </w:rPr>
              <w:instrText xml:space="preserve"> PAGEREF _Toc221361479 \h </w:instrText>
            </w:r>
            <w:r>
              <w:rPr>
                <w:noProof/>
                <w:webHidden/>
              </w:rPr>
            </w:r>
            <w:r>
              <w:rPr>
                <w:noProof/>
                <w:webHidden/>
              </w:rPr>
              <w:fldChar w:fldCharType="separate"/>
            </w:r>
            <w:r>
              <w:rPr>
                <w:noProof/>
                <w:webHidden/>
              </w:rPr>
              <w:t>9</w:t>
            </w:r>
            <w:r>
              <w:rPr>
                <w:noProof/>
                <w:webHidden/>
              </w:rPr>
              <w:fldChar w:fldCharType="end"/>
            </w:r>
          </w:hyperlink>
        </w:p>
        <w:p w14:paraId="39196E2A" w14:textId="73B532F5" w:rsidR="00780271" w:rsidRDefault="00780271">
          <w:pPr>
            <w:pStyle w:val="TOC2"/>
            <w:tabs>
              <w:tab w:val="right" w:leader="dot" w:pos="8680"/>
            </w:tabs>
            <w:rPr>
              <w:noProof/>
            </w:rPr>
          </w:pPr>
          <w:hyperlink w:anchor="_Toc221361480" w:history="1">
            <w:r w:rsidRPr="005A3088">
              <w:rPr>
                <w:rStyle w:val="Hyperlink"/>
                <w:noProof/>
              </w:rPr>
              <w:t>2.5 Financial Statement Impact: Purchase vs. Pooling</w:t>
            </w:r>
            <w:r>
              <w:rPr>
                <w:noProof/>
                <w:webHidden/>
              </w:rPr>
              <w:tab/>
            </w:r>
            <w:r>
              <w:rPr>
                <w:noProof/>
                <w:webHidden/>
              </w:rPr>
              <w:fldChar w:fldCharType="begin"/>
            </w:r>
            <w:r>
              <w:rPr>
                <w:noProof/>
                <w:webHidden/>
              </w:rPr>
              <w:instrText xml:space="preserve"> PAGEREF _Toc221361480 \h </w:instrText>
            </w:r>
            <w:r>
              <w:rPr>
                <w:noProof/>
                <w:webHidden/>
              </w:rPr>
            </w:r>
            <w:r>
              <w:rPr>
                <w:noProof/>
                <w:webHidden/>
              </w:rPr>
              <w:fldChar w:fldCharType="separate"/>
            </w:r>
            <w:r>
              <w:rPr>
                <w:noProof/>
                <w:webHidden/>
              </w:rPr>
              <w:t>9</w:t>
            </w:r>
            <w:r>
              <w:rPr>
                <w:noProof/>
                <w:webHidden/>
              </w:rPr>
              <w:fldChar w:fldCharType="end"/>
            </w:r>
          </w:hyperlink>
        </w:p>
        <w:p w14:paraId="1FA41FD2" w14:textId="46D36A29" w:rsidR="00780271" w:rsidRDefault="00780271">
          <w:pPr>
            <w:pStyle w:val="TOC1"/>
            <w:tabs>
              <w:tab w:val="right" w:leader="dot" w:pos="8680"/>
            </w:tabs>
            <w:rPr>
              <w:noProof/>
            </w:rPr>
          </w:pPr>
          <w:hyperlink w:anchor="_Toc221361481" w:history="1">
            <w:r w:rsidRPr="005A3088">
              <w:rPr>
                <w:rStyle w:val="Hyperlink"/>
                <w:noProof/>
              </w:rPr>
              <w:t>3. Purchase Price Allocation and Goodwill Calculation</w:t>
            </w:r>
            <w:r>
              <w:rPr>
                <w:noProof/>
                <w:webHidden/>
              </w:rPr>
              <w:tab/>
            </w:r>
            <w:r>
              <w:rPr>
                <w:noProof/>
                <w:webHidden/>
              </w:rPr>
              <w:fldChar w:fldCharType="begin"/>
            </w:r>
            <w:r>
              <w:rPr>
                <w:noProof/>
                <w:webHidden/>
              </w:rPr>
              <w:instrText xml:space="preserve"> PAGEREF _Toc221361481 \h </w:instrText>
            </w:r>
            <w:r>
              <w:rPr>
                <w:noProof/>
                <w:webHidden/>
              </w:rPr>
            </w:r>
            <w:r>
              <w:rPr>
                <w:noProof/>
                <w:webHidden/>
              </w:rPr>
              <w:fldChar w:fldCharType="separate"/>
            </w:r>
            <w:r>
              <w:rPr>
                <w:noProof/>
                <w:webHidden/>
              </w:rPr>
              <w:t>10</w:t>
            </w:r>
            <w:r>
              <w:rPr>
                <w:noProof/>
                <w:webHidden/>
              </w:rPr>
              <w:fldChar w:fldCharType="end"/>
            </w:r>
          </w:hyperlink>
        </w:p>
        <w:p w14:paraId="7665779A" w14:textId="0B1A516D" w:rsidR="00780271" w:rsidRDefault="00780271">
          <w:pPr>
            <w:pStyle w:val="TOC2"/>
            <w:tabs>
              <w:tab w:val="right" w:leader="dot" w:pos="8680"/>
            </w:tabs>
            <w:rPr>
              <w:noProof/>
            </w:rPr>
          </w:pPr>
          <w:hyperlink w:anchor="_Toc221361482" w:history="1">
            <w:r w:rsidRPr="005A3088">
              <w:rPr>
                <w:rStyle w:val="Hyperlink"/>
                <w:noProof/>
              </w:rPr>
              <w:t>3.1 Total Purchase Price Determination</w:t>
            </w:r>
            <w:r>
              <w:rPr>
                <w:noProof/>
                <w:webHidden/>
              </w:rPr>
              <w:tab/>
            </w:r>
            <w:r>
              <w:rPr>
                <w:noProof/>
                <w:webHidden/>
              </w:rPr>
              <w:fldChar w:fldCharType="begin"/>
            </w:r>
            <w:r>
              <w:rPr>
                <w:noProof/>
                <w:webHidden/>
              </w:rPr>
              <w:instrText xml:space="preserve"> PAGEREF _Toc221361482 \h </w:instrText>
            </w:r>
            <w:r>
              <w:rPr>
                <w:noProof/>
                <w:webHidden/>
              </w:rPr>
            </w:r>
            <w:r>
              <w:rPr>
                <w:noProof/>
                <w:webHidden/>
              </w:rPr>
              <w:fldChar w:fldCharType="separate"/>
            </w:r>
            <w:r>
              <w:rPr>
                <w:noProof/>
                <w:webHidden/>
              </w:rPr>
              <w:t>10</w:t>
            </w:r>
            <w:r>
              <w:rPr>
                <w:noProof/>
                <w:webHidden/>
              </w:rPr>
              <w:fldChar w:fldCharType="end"/>
            </w:r>
          </w:hyperlink>
        </w:p>
        <w:p w14:paraId="2DAA579E" w14:textId="5BAD02F0" w:rsidR="00780271" w:rsidRDefault="00780271">
          <w:pPr>
            <w:pStyle w:val="TOC2"/>
            <w:tabs>
              <w:tab w:val="right" w:leader="dot" w:pos="8680"/>
            </w:tabs>
            <w:rPr>
              <w:noProof/>
            </w:rPr>
          </w:pPr>
          <w:hyperlink w:anchor="_Toc221361483" w:history="1">
            <w:r w:rsidRPr="005A3088">
              <w:rPr>
                <w:rStyle w:val="Hyperlink"/>
                <w:noProof/>
              </w:rPr>
              <w:t>3.2 Fair Value of Time Warner Net Assets</w:t>
            </w:r>
            <w:r>
              <w:rPr>
                <w:noProof/>
                <w:webHidden/>
              </w:rPr>
              <w:tab/>
            </w:r>
            <w:r>
              <w:rPr>
                <w:noProof/>
                <w:webHidden/>
              </w:rPr>
              <w:fldChar w:fldCharType="begin"/>
            </w:r>
            <w:r>
              <w:rPr>
                <w:noProof/>
                <w:webHidden/>
              </w:rPr>
              <w:instrText xml:space="preserve"> PAGEREF _Toc221361483 \h </w:instrText>
            </w:r>
            <w:r>
              <w:rPr>
                <w:noProof/>
                <w:webHidden/>
              </w:rPr>
            </w:r>
            <w:r>
              <w:rPr>
                <w:noProof/>
                <w:webHidden/>
              </w:rPr>
              <w:fldChar w:fldCharType="separate"/>
            </w:r>
            <w:r>
              <w:rPr>
                <w:noProof/>
                <w:webHidden/>
              </w:rPr>
              <w:t>11</w:t>
            </w:r>
            <w:r>
              <w:rPr>
                <w:noProof/>
                <w:webHidden/>
              </w:rPr>
              <w:fldChar w:fldCharType="end"/>
            </w:r>
          </w:hyperlink>
        </w:p>
        <w:p w14:paraId="7AF007DC" w14:textId="72508CF9" w:rsidR="00780271" w:rsidRDefault="00780271">
          <w:pPr>
            <w:pStyle w:val="TOC2"/>
            <w:tabs>
              <w:tab w:val="right" w:leader="dot" w:pos="8680"/>
            </w:tabs>
            <w:rPr>
              <w:noProof/>
            </w:rPr>
          </w:pPr>
          <w:hyperlink w:anchor="_Toc221361484" w:history="1">
            <w:r w:rsidRPr="005A3088">
              <w:rPr>
                <w:rStyle w:val="Hyperlink"/>
                <w:noProof/>
              </w:rPr>
              <w:t>3.3 Goodwill Calculation</w:t>
            </w:r>
            <w:r>
              <w:rPr>
                <w:noProof/>
                <w:webHidden/>
              </w:rPr>
              <w:tab/>
            </w:r>
            <w:r>
              <w:rPr>
                <w:noProof/>
                <w:webHidden/>
              </w:rPr>
              <w:fldChar w:fldCharType="begin"/>
            </w:r>
            <w:r>
              <w:rPr>
                <w:noProof/>
                <w:webHidden/>
              </w:rPr>
              <w:instrText xml:space="preserve"> PAGEREF _Toc221361484 \h </w:instrText>
            </w:r>
            <w:r>
              <w:rPr>
                <w:noProof/>
                <w:webHidden/>
              </w:rPr>
            </w:r>
            <w:r>
              <w:rPr>
                <w:noProof/>
                <w:webHidden/>
              </w:rPr>
              <w:fldChar w:fldCharType="separate"/>
            </w:r>
            <w:r>
              <w:rPr>
                <w:noProof/>
                <w:webHidden/>
              </w:rPr>
              <w:t>12</w:t>
            </w:r>
            <w:r>
              <w:rPr>
                <w:noProof/>
                <w:webHidden/>
              </w:rPr>
              <w:fldChar w:fldCharType="end"/>
            </w:r>
          </w:hyperlink>
        </w:p>
        <w:p w14:paraId="656A7D5A" w14:textId="2071465F" w:rsidR="00780271" w:rsidRDefault="00780271">
          <w:pPr>
            <w:pStyle w:val="TOC2"/>
            <w:tabs>
              <w:tab w:val="right" w:leader="dot" w:pos="8680"/>
            </w:tabs>
            <w:rPr>
              <w:noProof/>
            </w:rPr>
          </w:pPr>
          <w:hyperlink w:anchor="_Toc221361485" w:history="1">
            <w:r w:rsidRPr="005A3088">
              <w:rPr>
                <w:rStyle w:val="Hyperlink"/>
                <w:noProof/>
              </w:rPr>
              <w:t>3.4 Goodwill Amortization Schedule</w:t>
            </w:r>
            <w:r>
              <w:rPr>
                <w:noProof/>
                <w:webHidden/>
              </w:rPr>
              <w:tab/>
            </w:r>
            <w:r>
              <w:rPr>
                <w:noProof/>
                <w:webHidden/>
              </w:rPr>
              <w:fldChar w:fldCharType="begin"/>
            </w:r>
            <w:r>
              <w:rPr>
                <w:noProof/>
                <w:webHidden/>
              </w:rPr>
              <w:instrText xml:space="preserve"> PAGEREF _Toc221361485 \h </w:instrText>
            </w:r>
            <w:r>
              <w:rPr>
                <w:noProof/>
                <w:webHidden/>
              </w:rPr>
            </w:r>
            <w:r>
              <w:rPr>
                <w:noProof/>
                <w:webHidden/>
              </w:rPr>
              <w:fldChar w:fldCharType="separate"/>
            </w:r>
            <w:r>
              <w:rPr>
                <w:noProof/>
                <w:webHidden/>
              </w:rPr>
              <w:t>13</w:t>
            </w:r>
            <w:r>
              <w:rPr>
                <w:noProof/>
                <w:webHidden/>
              </w:rPr>
              <w:fldChar w:fldCharType="end"/>
            </w:r>
          </w:hyperlink>
        </w:p>
        <w:p w14:paraId="4157DE41" w14:textId="49554A96" w:rsidR="00780271" w:rsidRDefault="00780271">
          <w:pPr>
            <w:pStyle w:val="TOC1"/>
            <w:tabs>
              <w:tab w:val="right" w:leader="dot" w:pos="8680"/>
            </w:tabs>
            <w:rPr>
              <w:noProof/>
            </w:rPr>
          </w:pPr>
          <w:hyperlink w:anchor="_Toc221361486" w:history="1">
            <w:r w:rsidRPr="005A3088">
              <w:rPr>
                <w:rStyle w:val="Hyperlink"/>
                <w:noProof/>
              </w:rPr>
              <w:t>4. Pro Forma Financial Statement Analysis</w:t>
            </w:r>
            <w:r>
              <w:rPr>
                <w:noProof/>
                <w:webHidden/>
              </w:rPr>
              <w:tab/>
            </w:r>
            <w:r>
              <w:rPr>
                <w:noProof/>
                <w:webHidden/>
              </w:rPr>
              <w:fldChar w:fldCharType="begin"/>
            </w:r>
            <w:r>
              <w:rPr>
                <w:noProof/>
                <w:webHidden/>
              </w:rPr>
              <w:instrText xml:space="preserve"> PAGEREF _Toc221361486 \h </w:instrText>
            </w:r>
            <w:r>
              <w:rPr>
                <w:noProof/>
                <w:webHidden/>
              </w:rPr>
            </w:r>
            <w:r>
              <w:rPr>
                <w:noProof/>
                <w:webHidden/>
              </w:rPr>
              <w:fldChar w:fldCharType="separate"/>
            </w:r>
            <w:r>
              <w:rPr>
                <w:noProof/>
                <w:webHidden/>
              </w:rPr>
              <w:t>14</w:t>
            </w:r>
            <w:r>
              <w:rPr>
                <w:noProof/>
                <w:webHidden/>
              </w:rPr>
              <w:fldChar w:fldCharType="end"/>
            </w:r>
          </w:hyperlink>
        </w:p>
        <w:p w14:paraId="62F6476A" w14:textId="7947B24B" w:rsidR="00780271" w:rsidRDefault="00780271">
          <w:pPr>
            <w:pStyle w:val="TOC2"/>
            <w:tabs>
              <w:tab w:val="right" w:leader="dot" w:pos="8680"/>
            </w:tabs>
            <w:rPr>
              <w:noProof/>
            </w:rPr>
          </w:pPr>
          <w:hyperlink w:anchor="_Toc221361487" w:history="1">
            <w:r w:rsidRPr="005A3088">
              <w:rPr>
                <w:rStyle w:val="Hyperlink"/>
                <w:noProof/>
              </w:rPr>
              <w:t>4.1 Pro Forma Income Statement (2000)</w:t>
            </w:r>
            <w:r>
              <w:rPr>
                <w:noProof/>
                <w:webHidden/>
              </w:rPr>
              <w:tab/>
            </w:r>
            <w:r>
              <w:rPr>
                <w:noProof/>
                <w:webHidden/>
              </w:rPr>
              <w:fldChar w:fldCharType="begin"/>
            </w:r>
            <w:r>
              <w:rPr>
                <w:noProof/>
                <w:webHidden/>
              </w:rPr>
              <w:instrText xml:space="preserve"> PAGEREF _Toc221361487 \h </w:instrText>
            </w:r>
            <w:r>
              <w:rPr>
                <w:noProof/>
                <w:webHidden/>
              </w:rPr>
            </w:r>
            <w:r>
              <w:rPr>
                <w:noProof/>
                <w:webHidden/>
              </w:rPr>
              <w:fldChar w:fldCharType="separate"/>
            </w:r>
            <w:r>
              <w:rPr>
                <w:noProof/>
                <w:webHidden/>
              </w:rPr>
              <w:t>14</w:t>
            </w:r>
            <w:r>
              <w:rPr>
                <w:noProof/>
                <w:webHidden/>
              </w:rPr>
              <w:fldChar w:fldCharType="end"/>
            </w:r>
          </w:hyperlink>
        </w:p>
        <w:p w14:paraId="1D1EAB9D" w14:textId="02BA4C6D" w:rsidR="00780271" w:rsidRDefault="00780271">
          <w:pPr>
            <w:pStyle w:val="TOC2"/>
            <w:tabs>
              <w:tab w:val="right" w:leader="dot" w:pos="8680"/>
            </w:tabs>
            <w:rPr>
              <w:noProof/>
            </w:rPr>
          </w:pPr>
          <w:hyperlink w:anchor="_Toc221361488" w:history="1">
            <w:r w:rsidRPr="005A3088">
              <w:rPr>
                <w:rStyle w:val="Hyperlink"/>
                <w:noProof/>
              </w:rPr>
              <w:t>4.2 Pro Forma Income Statement - Pooling Comparison</w:t>
            </w:r>
            <w:r>
              <w:rPr>
                <w:noProof/>
                <w:webHidden/>
              </w:rPr>
              <w:tab/>
            </w:r>
            <w:r>
              <w:rPr>
                <w:noProof/>
                <w:webHidden/>
              </w:rPr>
              <w:fldChar w:fldCharType="begin"/>
            </w:r>
            <w:r>
              <w:rPr>
                <w:noProof/>
                <w:webHidden/>
              </w:rPr>
              <w:instrText xml:space="preserve"> PAGEREF _Toc221361488 \h </w:instrText>
            </w:r>
            <w:r>
              <w:rPr>
                <w:noProof/>
                <w:webHidden/>
              </w:rPr>
            </w:r>
            <w:r>
              <w:rPr>
                <w:noProof/>
                <w:webHidden/>
              </w:rPr>
              <w:fldChar w:fldCharType="separate"/>
            </w:r>
            <w:r>
              <w:rPr>
                <w:noProof/>
                <w:webHidden/>
              </w:rPr>
              <w:t>15</w:t>
            </w:r>
            <w:r>
              <w:rPr>
                <w:noProof/>
                <w:webHidden/>
              </w:rPr>
              <w:fldChar w:fldCharType="end"/>
            </w:r>
          </w:hyperlink>
        </w:p>
        <w:p w14:paraId="3CAA7469" w14:textId="2650BBB5" w:rsidR="00780271" w:rsidRDefault="00780271">
          <w:pPr>
            <w:pStyle w:val="TOC2"/>
            <w:tabs>
              <w:tab w:val="right" w:leader="dot" w:pos="8680"/>
            </w:tabs>
            <w:rPr>
              <w:noProof/>
            </w:rPr>
          </w:pPr>
          <w:hyperlink w:anchor="_Toc221361489" w:history="1">
            <w:r w:rsidRPr="005A3088">
              <w:rPr>
                <w:rStyle w:val="Hyperlink"/>
                <w:noProof/>
              </w:rPr>
              <w:t>4.3 Pro Forma Balance Sheet (Post-Merger)</w:t>
            </w:r>
            <w:r>
              <w:rPr>
                <w:noProof/>
                <w:webHidden/>
              </w:rPr>
              <w:tab/>
            </w:r>
            <w:r>
              <w:rPr>
                <w:noProof/>
                <w:webHidden/>
              </w:rPr>
              <w:fldChar w:fldCharType="begin"/>
            </w:r>
            <w:r>
              <w:rPr>
                <w:noProof/>
                <w:webHidden/>
              </w:rPr>
              <w:instrText xml:space="preserve"> PAGEREF _Toc221361489 \h </w:instrText>
            </w:r>
            <w:r>
              <w:rPr>
                <w:noProof/>
                <w:webHidden/>
              </w:rPr>
            </w:r>
            <w:r>
              <w:rPr>
                <w:noProof/>
                <w:webHidden/>
              </w:rPr>
              <w:fldChar w:fldCharType="separate"/>
            </w:r>
            <w:r>
              <w:rPr>
                <w:noProof/>
                <w:webHidden/>
              </w:rPr>
              <w:t>16</w:t>
            </w:r>
            <w:r>
              <w:rPr>
                <w:noProof/>
                <w:webHidden/>
              </w:rPr>
              <w:fldChar w:fldCharType="end"/>
            </w:r>
          </w:hyperlink>
        </w:p>
        <w:p w14:paraId="7240B9D5" w14:textId="1A507511" w:rsidR="00780271" w:rsidRDefault="00780271">
          <w:pPr>
            <w:pStyle w:val="TOC2"/>
            <w:tabs>
              <w:tab w:val="right" w:leader="dot" w:pos="8680"/>
            </w:tabs>
            <w:rPr>
              <w:noProof/>
            </w:rPr>
          </w:pPr>
          <w:hyperlink w:anchor="_Toc221361490" w:history="1">
            <w:r w:rsidRPr="005A3088">
              <w:rPr>
                <w:rStyle w:val="Hyperlink"/>
                <w:noProof/>
              </w:rPr>
              <w:t>4.4 Pro Forma Cash Flow Statement</w:t>
            </w:r>
            <w:r>
              <w:rPr>
                <w:noProof/>
                <w:webHidden/>
              </w:rPr>
              <w:tab/>
            </w:r>
            <w:r>
              <w:rPr>
                <w:noProof/>
                <w:webHidden/>
              </w:rPr>
              <w:fldChar w:fldCharType="begin"/>
            </w:r>
            <w:r>
              <w:rPr>
                <w:noProof/>
                <w:webHidden/>
              </w:rPr>
              <w:instrText xml:space="preserve"> PAGEREF _Toc221361490 \h </w:instrText>
            </w:r>
            <w:r>
              <w:rPr>
                <w:noProof/>
                <w:webHidden/>
              </w:rPr>
            </w:r>
            <w:r>
              <w:rPr>
                <w:noProof/>
                <w:webHidden/>
              </w:rPr>
              <w:fldChar w:fldCharType="separate"/>
            </w:r>
            <w:r>
              <w:rPr>
                <w:noProof/>
                <w:webHidden/>
              </w:rPr>
              <w:t>17</w:t>
            </w:r>
            <w:r>
              <w:rPr>
                <w:noProof/>
                <w:webHidden/>
              </w:rPr>
              <w:fldChar w:fldCharType="end"/>
            </w:r>
          </w:hyperlink>
        </w:p>
        <w:p w14:paraId="38260A7A" w14:textId="11E0BDF2" w:rsidR="00780271" w:rsidRDefault="00780271">
          <w:pPr>
            <w:pStyle w:val="TOC1"/>
            <w:tabs>
              <w:tab w:val="right" w:leader="dot" w:pos="8680"/>
            </w:tabs>
            <w:rPr>
              <w:noProof/>
            </w:rPr>
          </w:pPr>
          <w:hyperlink w:anchor="_Toc221361491" w:history="1">
            <w:r w:rsidRPr="005A3088">
              <w:rPr>
                <w:rStyle w:val="Hyperlink"/>
                <w:noProof/>
              </w:rPr>
              <w:t>5. Impact on Earnings Per Share</w:t>
            </w:r>
            <w:r>
              <w:rPr>
                <w:noProof/>
                <w:webHidden/>
              </w:rPr>
              <w:tab/>
            </w:r>
            <w:r>
              <w:rPr>
                <w:noProof/>
                <w:webHidden/>
              </w:rPr>
              <w:fldChar w:fldCharType="begin"/>
            </w:r>
            <w:r>
              <w:rPr>
                <w:noProof/>
                <w:webHidden/>
              </w:rPr>
              <w:instrText xml:space="preserve"> PAGEREF _Toc221361491 \h </w:instrText>
            </w:r>
            <w:r>
              <w:rPr>
                <w:noProof/>
                <w:webHidden/>
              </w:rPr>
            </w:r>
            <w:r>
              <w:rPr>
                <w:noProof/>
                <w:webHidden/>
              </w:rPr>
              <w:fldChar w:fldCharType="separate"/>
            </w:r>
            <w:r>
              <w:rPr>
                <w:noProof/>
                <w:webHidden/>
              </w:rPr>
              <w:t>18</w:t>
            </w:r>
            <w:r>
              <w:rPr>
                <w:noProof/>
                <w:webHidden/>
              </w:rPr>
              <w:fldChar w:fldCharType="end"/>
            </w:r>
          </w:hyperlink>
        </w:p>
        <w:p w14:paraId="266CCBF4" w14:textId="36EC20C1" w:rsidR="00780271" w:rsidRDefault="00780271">
          <w:pPr>
            <w:pStyle w:val="TOC2"/>
            <w:tabs>
              <w:tab w:val="right" w:leader="dot" w:pos="8680"/>
            </w:tabs>
            <w:rPr>
              <w:noProof/>
            </w:rPr>
          </w:pPr>
          <w:hyperlink w:anchor="_Toc221361492" w:history="1">
            <w:r w:rsidRPr="005A3088">
              <w:rPr>
                <w:rStyle w:val="Hyperlink"/>
                <w:noProof/>
              </w:rPr>
              <w:t>5.1 Historical and Pro Forma EPS Analysis</w:t>
            </w:r>
            <w:r>
              <w:rPr>
                <w:noProof/>
                <w:webHidden/>
              </w:rPr>
              <w:tab/>
            </w:r>
            <w:r>
              <w:rPr>
                <w:noProof/>
                <w:webHidden/>
              </w:rPr>
              <w:fldChar w:fldCharType="begin"/>
            </w:r>
            <w:r>
              <w:rPr>
                <w:noProof/>
                <w:webHidden/>
              </w:rPr>
              <w:instrText xml:space="preserve"> PAGEREF _Toc221361492 \h </w:instrText>
            </w:r>
            <w:r>
              <w:rPr>
                <w:noProof/>
                <w:webHidden/>
              </w:rPr>
            </w:r>
            <w:r>
              <w:rPr>
                <w:noProof/>
                <w:webHidden/>
              </w:rPr>
              <w:fldChar w:fldCharType="separate"/>
            </w:r>
            <w:r>
              <w:rPr>
                <w:noProof/>
                <w:webHidden/>
              </w:rPr>
              <w:t>18</w:t>
            </w:r>
            <w:r>
              <w:rPr>
                <w:noProof/>
                <w:webHidden/>
              </w:rPr>
              <w:fldChar w:fldCharType="end"/>
            </w:r>
          </w:hyperlink>
        </w:p>
        <w:p w14:paraId="36D91D1E" w14:textId="7D22F005" w:rsidR="00780271" w:rsidRDefault="00780271">
          <w:pPr>
            <w:pStyle w:val="TOC2"/>
            <w:tabs>
              <w:tab w:val="right" w:leader="dot" w:pos="8680"/>
            </w:tabs>
            <w:rPr>
              <w:noProof/>
            </w:rPr>
          </w:pPr>
          <w:hyperlink w:anchor="_Toc221361493" w:history="1">
            <w:r w:rsidRPr="005A3088">
              <w:rPr>
                <w:rStyle w:val="Hyperlink"/>
                <w:noProof/>
              </w:rPr>
              <w:t>5.2 EPS Dilution Analysis</w:t>
            </w:r>
            <w:r>
              <w:rPr>
                <w:noProof/>
                <w:webHidden/>
              </w:rPr>
              <w:tab/>
            </w:r>
            <w:r>
              <w:rPr>
                <w:noProof/>
                <w:webHidden/>
              </w:rPr>
              <w:fldChar w:fldCharType="begin"/>
            </w:r>
            <w:r>
              <w:rPr>
                <w:noProof/>
                <w:webHidden/>
              </w:rPr>
              <w:instrText xml:space="preserve"> PAGEREF _Toc221361493 \h </w:instrText>
            </w:r>
            <w:r>
              <w:rPr>
                <w:noProof/>
                <w:webHidden/>
              </w:rPr>
            </w:r>
            <w:r>
              <w:rPr>
                <w:noProof/>
                <w:webHidden/>
              </w:rPr>
              <w:fldChar w:fldCharType="separate"/>
            </w:r>
            <w:r>
              <w:rPr>
                <w:noProof/>
                <w:webHidden/>
              </w:rPr>
              <w:t>19</w:t>
            </w:r>
            <w:r>
              <w:rPr>
                <w:noProof/>
                <w:webHidden/>
              </w:rPr>
              <w:fldChar w:fldCharType="end"/>
            </w:r>
          </w:hyperlink>
        </w:p>
        <w:p w14:paraId="423EDAB2" w14:textId="14394C6E" w:rsidR="00780271" w:rsidRDefault="00780271">
          <w:pPr>
            <w:pStyle w:val="TOC2"/>
            <w:tabs>
              <w:tab w:val="right" w:leader="dot" w:pos="8680"/>
            </w:tabs>
            <w:rPr>
              <w:noProof/>
            </w:rPr>
          </w:pPr>
          <w:hyperlink w:anchor="_Toc221361494" w:history="1">
            <w:r w:rsidRPr="005A3088">
              <w:rPr>
                <w:rStyle w:val="Hyperlink"/>
                <w:noProof/>
              </w:rPr>
              <w:t>5.3 EPS Growth Projections vs. Market Expectations</w:t>
            </w:r>
            <w:r>
              <w:rPr>
                <w:noProof/>
                <w:webHidden/>
              </w:rPr>
              <w:tab/>
            </w:r>
            <w:r>
              <w:rPr>
                <w:noProof/>
                <w:webHidden/>
              </w:rPr>
              <w:fldChar w:fldCharType="begin"/>
            </w:r>
            <w:r>
              <w:rPr>
                <w:noProof/>
                <w:webHidden/>
              </w:rPr>
              <w:instrText xml:space="preserve"> PAGEREF _Toc221361494 \h </w:instrText>
            </w:r>
            <w:r>
              <w:rPr>
                <w:noProof/>
                <w:webHidden/>
              </w:rPr>
            </w:r>
            <w:r>
              <w:rPr>
                <w:noProof/>
                <w:webHidden/>
              </w:rPr>
              <w:fldChar w:fldCharType="separate"/>
            </w:r>
            <w:r>
              <w:rPr>
                <w:noProof/>
                <w:webHidden/>
              </w:rPr>
              <w:t>20</w:t>
            </w:r>
            <w:r>
              <w:rPr>
                <w:noProof/>
                <w:webHidden/>
              </w:rPr>
              <w:fldChar w:fldCharType="end"/>
            </w:r>
          </w:hyperlink>
        </w:p>
        <w:p w14:paraId="0058AD7E" w14:textId="2CE6EC8F" w:rsidR="00780271" w:rsidRDefault="00780271">
          <w:pPr>
            <w:pStyle w:val="TOC2"/>
            <w:tabs>
              <w:tab w:val="right" w:leader="dot" w:pos="8680"/>
            </w:tabs>
            <w:rPr>
              <w:noProof/>
            </w:rPr>
          </w:pPr>
          <w:hyperlink w:anchor="_Toc221361495" w:history="1">
            <w:r w:rsidRPr="005A3088">
              <w:rPr>
                <w:rStyle w:val="Hyperlink"/>
                <w:noProof/>
              </w:rPr>
              <w:t>5.4 Quality of Earnings Considerations</w:t>
            </w:r>
            <w:r>
              <w:rPr>
                <w:noProof/>
                <w:webHidden/>
              </w:rPr>
              <w:tab/>
            </w:r>
            <w:r>
              <w:rPr>
                <w:noProof/>
                <w:webHidden/>
              </w:rPr>
              <w:fldChar w:fldCharType="begin"/>
            </w:r>
            <w:r>
              <w:rPr>
                <w:noProof/>
                <w:webHidden/>
              </w:rPr>
              <w:instrText xml:space="preserve"> PAGEREF _Toc221361495 \h </w:instrText>
            </w:r>
            <w:r>
              <w:rPr>
                <w:noProof/>
                <w:webHidden/>
              </w:rPr>
            </w:r>
            <w:r>
              <w:rPr>
                <w:noProof/>
                <w:webHidden/>
              </w:rPr>
              <w:fldChar w:fldCharType="separate"/>
            </w:r>
            <w:r>
              <w:rPr>
                <w:noProof/>
                <w:webHidden/>
              </w:rPr>
              <w:t>20</w:t>
            </w:r>
            <w:r>
              <w:rPr>
                <w:noProof/>
                <w:webHidden/>
              </w:rPr>
              <w:fldChar w:fldCharType="end"/>
            </w:r>
          </w:hyperlink>
        </w:p>
        <w:p w14:paraId="6504718B" w14:textId="5AFF98BB" w:rsidR="00780271" w:rsidRDefault="00780271">
          <w:pPr>
            <w:pStyle w:val="TOC1"/>
            <w:tabs>
              <w:tab w:val="right" w:leader="dot" w:pos="8680"/>
            </w:tabs>
            <w:rPr>
              <w:noProof/>
            </w:rPr>
          </w:pPr>
          <w:hyperlink w:anchor="_Toc221361496" w:history="1">
            <w:r w:rsidRPr="005A3088">
              <w:rPr>
                <w:rStyle w:val="Hyperlink"/>
                <w:noProof/>
              </w:rPr>
              <w:t>6. Comprehensive Financial Ratio Analysis</w:t>
            </w:r>
            <w:r>
              <w:rPr>
                <w:noProof/>
                <w:webHidden/>
              </w:rPr>
              <w:tab/>
            </w:r>
            <w:r>
              <w:rPr>
                <w:noProof/>
                <w:webHidden/>
              </w:rPr>
              <w:fldChar w:fldCharType="begin"/>
            </w:r>
            <w:r>
              <w:rPr>
                <w:noProof/>
                <w:webHidden/>
              </w:rPr>
              <w:instrText xml:space="preserve"> PAGEREF _Toc221361496 \h </w:instrText>
            </w:r>
            <w:r>
              <w:rPr>
                <w:noProof/>
                <w:webHidden/>
              </w:rPr>
            </w:r>
            <w:r>
              <w:rPr>
                <w:noProof/>
                <w:webHidden/>
              </w:rPr>
              <w:fldChar w:fldCharType="separate"/>
            </w:r>
            <w:r>
              <w:rPr>
                <w:noProof/>
                <w:webHidden/>
              </w:rPr>
              <w:t>21</w:t>
            </w:r>
            <w:r>
              <w:rPr>
                <w:noProof/>
                <w:webHidden/>
              </w:rPr>
              <w:fldChar w:fldCharType="end"/>
            </w:r>
          </w:hyperlink>
        </w:p>
        <w:p w14:paraId="7684D93B" w14:textId="1A87BBA3" w:rsidR="00780271" w:rsidRDefault="00780271">
          <w:pPr>
            <w:pStyle w:val="TOC2"/>
            <w:tabs>
              <w:tab w:val="right" w:leader="dot" w:pos="8680"/>
            </w:tabs>
            <w:rPr>
              <w:noProof/>
            </w:rPr>
          </w:pPr>
          <w:hyperlink w:anchor="_Toc221361497" w:history="1">
            <w:r w:rsidRPr="005A3088">
              <w:rPr>
                <w:rStyle w:val="Hyperlink"/>
                <w:noProof/>
              </w:rPr>
              <w:t>6.1 Profitability Ratios</w:t>
            </w:r>
            <w:r>
              <w:rPr>
                <w:noProof/>
                <w:webHidden/>
              </w:rPr>
              <w:tab/>
            </w:r>
            <w:r>
              <w:rPr>
                <w:noProof/>
                <w:webHidden/>
              </w:rPr>
              <w:fldChar w:fldCharType="begin"/>
            </w:r>
            <w:r>
              <w:rPr>
                <w:noProof/>
                <w:webHidden/>
              </w:rPr>
              <w:instrText xml:space="preserve"> PAGEREF _Toc221361497 \h </w:instrText>
            </w:r>
            <w:r>
              <w:rPr>
                <w:noProof/>
                <w:webHidden/>
              </w:rPr>
            </w:r>
            <w:r>
              <w:rPr>
                <w:noProof/>
                <w:webHidden/>
              </w:rPr>
              <w:fldChar w:fldCharType="separate"/>
            </w:r>
            <w:r>
              <w:rPr>
                <w:noProof/>
                <w:webHidden/>
              </w:rPr>
              <w:t>21</w:t>
            </w:r>
            <w:r>
              <w:rPr>
                <w:noProof/>
                <w:webHidden/>
              </w:rPr>
              <w:fldChar w:fldCharType="end"/>
            </w:r>
          </w:hyperlink>
        </w:p>
        <w:p w14:paraId="618E9EB3" w14:textId="08978FE4" w:rsidR="00780271" w:rsidRDefault="00780271">
          <w:pPr>
            <w:pStyle w:val="TOC2"/>
            <w:tabs>
              <w:tab w:val="right" w:leader="dot" w:pos="8680"/>
            </w:tabs>
            <w:rPr>
              <w:noProof/>
            </w:rPr>
          </w:pPr>
          <w:hyperlink w:anchor="_Toc221361498" w:history="1">
            <w:r w:rsidRPr="005A3088">
              <w:rPr>
                <w:rStyle w:val="Hyperlink"/>
                <w:noProof/>
              </w:rPr>
              <w:t>6.2 Leverage Ratios</w:t>
            </w:r>
            <w:r>
              <w:rPr>
                <w:noProof/>
                <w:webHidden/>
              </w:rPr>
              <w:tab/>
            </w:r>
            <w:r>
              <w:rPr>
                <w:noProof/>
                <w:webHidden/>
              </w:rPr>
              <w:fldChar w:fldCharType="begin"/>
            </w:r>
            <w:r>
              <w:rPr>
                <w:noProof/>
                <w:webHidden/>
              </w:rPr>
              <w:instrText xml:space="preserve"> PAGEREF _Toc221361498 \h </w:instrText>
            </w:r>
            <w:r>
              <w:rPr>
                <w:noProof/>
                <w:webHidden/>
              </w:rPr>
            </w:r>
            <w:r>
              <w:rPr>
                <w:noProof/>
                <w:webHidden/>
              </w:rPr>
              <w:fldChar w:fldCharType="separate"/>
            </w:r>
            <w:r>
              <w:rPr>
                <w:noProof/>
                <w:webHidden/>
              </w:rPr>
              <w:t>22</w:t>
            </w:r>
            <w:r>
              <w:rPr>
                <w:noProof/>
                <w:webHidden/>
              </w:rPr>
              <w:fldChar w:fldCharType="end"/>
            </w:r>
          </w:hyperlink>
        </w:p>
        <w:p w14:paraId="376B1304" w14:textId="450CEA5A" w:rsidR="00780271" w:rsidRDefault="00780271">
          <w:pPr>
            <w:pStyle w:val="TOC2"/>
            <w:tabs>
              <w:tab w:val="right" w:leader="dot" w:pos="8680"/>
            </w:tabs>
            <w:rPr>
              <w:noProof/>
            </w:rPr>
          </w:pPr>
          <w:hyperlink w:anchor="_Toc221361499" w:history="1">
            <w:r w:rsidRPr="005A3088">
              <w:rPr>
                <w:rStyle w:val="Hyperlink"/>
                <w:noProof/>
              </w:rPr>
              <w:t>6.3 Efficiency Ratios</w:t>
            </w:r>
            <w:r>
              <w:rPr>
                <w:noProof/>
                <w:webHidden/>
              </w:rPr>
              <w:tab/>
            </w:r>
            <w:r>
              <w:rPr>
                <w:noProof/>
                <w:webHidden/>
              </w:rPr>
              <w:fldChar w:fldCharType="begin"/>
            </w:r>
            <w:r>
              <w:rPr>
                <w:noProof/>
                <w:webHidden/>
              </w:rPr>
              <w:instrText xml:space="preserve"> PAGEREF _Toc221361499 \h </w:instrText>
            </w:r>
            <w:r>
              <w:rPr>
                <w:noProof/>
                <w:webHidden/>
              </w:rPr>
            </w:r>
            <w:r>
              <w:rPr>
                <w:noProof/>
                <w:webHidden/>
              </w:rPr>
              <w:fldChar w:fldCharType="separate"/>
            </w:r>
            <w:r>
              <w:rPr>
                <w:noProof/>
                <w:webHidden/>
              </w:rPr>
              <w:t>23</w:t>
            </w:r>
            <w:r>
              <w:rPr>
                <w:noProof/>
                <w:webHidden/>
              </w:rPr>
              <w:fldChar w:fldCharType="end"/>
            </w:r>
          </w:hyperlink>
        </w:p>
        <w:p w14:paraId="21C56010" w14:textId="330E896D" w:rsidR="00780271" w:rsidRDefault="00780271">
          <w:pPr>
            <w:pStyle w:val="TOC2"/>
            <w:tabs>
              <w:tab w:val="right" w:leader="dot" w:pos="8680"/>
            </w:tabs>
            <w:rPr>
              <w:noProof/>
            </w:rPr>
          </w:pPr>
          <w:hyperlink w:anchor="_Toc221361500" w:history="1">
            <w:r w:rsidRPr="005A3088">
              <w:rPr>
                <w:rStyle w:val="Hyperlink"/>
                <w:noProof/>
              </w:rPr>
              <w:t>6.4 Valuation Multiples</w:t>
            </w:r>
            <w:r>
              <w:rPr>
                <w:noProof/>
                <w:webHidden/>
              </w:rPr>
              <w:tab/>
            </w:r>
            <w:r>
              <w:rPr>
                <w:noProof/>
                <w:webHidden/>
              </w:rPr>
              <w:fldChar w:fldCharType="begin"/>
            </w:r>
            <w:r>
              <w:rPr>
                <w:noProof/>
                <w:webHidden/>
              </w:rPr>
              <w:instrText xml:space="preserve"> PAGEREF _Toc221361500 \h </w:instrText>
            </w:r>
            <w:r>
              <w:rPr>
                <w:noProof/>
                <w:webHidden/>
              </w:rPr>
            </w:r>
            <w:r>
              <w:rPr>
                <w:noProof/>
                <w:webHidden/>
              </w:rPr>
              <w:fldChar w:fldCharType="separate"/>
            </w:r>
            <w:r>
              <w:rPr>
                <w:noProof/>
                <w:webHidden/>
              </w:rPr>
              <w:t>23</w:t>
            </w:r>
            <w:r>
              <w:rPr>
                <w:noProof/>
                <w:webHidden/>
              </w:rPr>
              <w:fldChar w:fldCharType="end"/>
            </w:r>
          </w:hyperlink>
        </w:p>
        <w:p w14:paraId="2C0316F6" w14:textId="4E636AD9" w:rsidR="00780271" w:rsidRDefault="00780271">
          <w:pPr>
            <w:pStyle w:val="TOC2"/>
            <w:tabs>
              <w:tab w:val="right" w:leader="dot" w:pos="8680"/>
            </w:tabs>
            <w:rPr>
              <w:noProof/>
            </w:rPr>
          </w:pPr>
          <w:hyperlink w:anchor="_Toc221361501" w:history="1">
            <w:r w:rsidRPr="005A3088">
              <w:rPr>
                <w:rStyle w:val="Hyperlink"/>
                <w:noProof/>
              </w:rPr>
              <w:t>6.5 Comparative Industry Analysis</w:t>
            </w:r>
            <w:r>
              <w:rPr>
                <w:noProof/>
                <w:webHidden/>
              </w:rPr>
              <w:tab/>
            </w:r>
            <w:r>
              <w:rPr>
                <w:noProof/>
                <w:webHidden/>
              </w:rPr>
              <w:fldChar w:fldCharType="begin"/>
            </w:r>
            <w:r>
              <w:rPr>
                <w:noProof/>
                <w:webHidden/>
              </w:rPr>
              <w:instrText xml:space="preserve"> PAGEREF _Toc221361501 \h </w:instrText>
            </w:r>
            <w:r>
              <w:rPr>
                <w:noProof/>
                <w:webHidden/>
              </w:rPr>
            </w:r>
            <w:r>
              <w:rPr>
                <w:noProof/>
                <w:webHidden/>
              </w:rPr>
              <w:fldChar w:fldCharType="separate"/>
            </w:r>
            <w:r>
              <w:rPr>
                <w:noProof/>
                <w:webHidden/>
              </w:rPr>
              <w:t>24</w:t>
            </w:r>
            <w:r>
              <w:rPr>
                <w:noProof/>
                <w:webHidden/>
              </w:rPr>
              <w:fldChar w:fldCharType="end"/>
            </w:r>
          </w:hyperlink>
        </w:p>
        <w:p w14:paraId="0D94AA58" w14:textId="3D8FBC09" w:rsidR="00780271" w:rsidRDefault="00780271">
          <w:pPr>
            <w:pStyle w:val="TOC1"/>
            <w:tabs>
              <w:tab w:val="right" w:leader="dot" w:pos="8680"/>
            </w:tabs>
            <w:rPr>
              <w:noProof/>
            </w:rPr>
          </w:pPr>
          <w:hyperlink w:anchor="_Toc221361502" w:history="1">
            <w:r w:rsidRPr="005A3088">
              <w:rPr>
                <w:rStyle w:val="Hyperlink"/>
                <w:noProof/>
              </w:rPr>
              <w:t>7. Valuation Analysis and Fair Value Assessment</w:t>
            </w:r>
            <w:r>
              <w:rPr>
                <w:noProof/>
                <w:webHidden/>
              </w:rPr>
              <w:tab/>
            </w:r>
            <w:r>
              <w:rPr>
                <w:noProof/>
                <w:webHidden/>
              </w:rPr>
              <w:fldChar w:fldCharType="begin"/>
            </w:r>
            <w:r>
              <w:rPr>
                <w:noProof/>
                <w:webHidden/>
              </w:rPr>
              <w:instrText xml:space="preserve"> PAGEREF _Toc221361502 \h </w:instrText>
            </w:r>
            <w:r>
              <w:rPr>
                <w:noProof/>
                <w:webHidden/>
              </w:rPr>
            </w:r>
            <w:r>
              <w:rPr>
                <w:noProof/>
                <w:webHidden/>
              </w:rPr>
              <w:fldChar w:fldCharType="separate"/>
            </w:r>
            <w:r>
              <w:rPr>
                <w:noProof/>
                <w:webHidden/>
              </w:rPr>
              <w:t>25</w:t>
            </w:r>
            <w:r>
              <w:rPr>
                <w:noProof/>
                <w:webHidden/>
              </w:rPr>
              <w:fldChar w:fldCharType="end"/>
            </w:r>
          </w:hyperlink>
        </w:p>
        <w:p w14:paraId="1B57B6AE" w14:textId="43A898E0" w:rsidR="00780271" w:rsidRDefault="00780271">
          <w:pPr>
            <w:pStyle w:val="TOC2"/>
            <w:tabs>
              <w:tab w:val="right" w:leader="dot" w:pos="8680"/>
            </w:tabs>
            <w:rPr>
              <w:noProof/>
            </w:rPr>
          </w:pPr>
          <w:hyperlink w:anchor="_Toc221361503" w:history="1">
            <w:r w:rsidRPr="005A3088">
              <w:rPr>
                <w:rStyle w:val="Hyperlink"/>
                <w:noProof/>
              </w:rPr>
              <w:t>7.1 Discounted Cash Flow Analysis</w:t>
            </w:r>
            <w:r>
              <w:rPr>
                <w:noProof/>
                <w:webHidden/>
              </w:rPr>
              <w:tab/>
            </w:r>
            <w:r>
              <w:rPr>
                <w:noProof/>
                <w:webHidden/>
              </w:rPr>
              <w:fldChar w:fldCharType="begin"/>
            </w:r>
            <w:r>
              <w:rPr>
                <w:noProof/>
                <w:webHidden/>
              </w:rPr>
              <w:instrText xml:space="preserve"> PAGEREF _Toc221361503 \h </w:instrText>
            </w:r>
            <w:r>
              <w:rPr>
                <w:noProof/>
                <w:webHidden/>
              </w:rPr>
            </w:r>
            <w:r>
              <w:rPr>
                <w:noProof/>
                <w:webHidden/>
              </w:rPr>
              <w:fldChar w:fldCharType="separate"/>
            </w:r>
            <w:r>
              <w:rPr>
                <w:noProof/>
                <w:webHidden/>
              </w:rPr>
              <w:t>25</w:t>
            </w:r>
            <w:r>
              <w:rPr>
                <w:noProof/>
                <w:webHidden/>
              </w:rPr>
              <w:fldChar w:fldCharType="end"/>
            </w:r>
          </w:hyperlink>
        </w:p>
        <w:p w14:paraId="0F07FA58" w14:textId="60A46D0B" w:rsidR="00780271" w:rsidRDefault="00780271">
          <w:pPr>
            <w:pStyle w:val="TOC2"/>
            <w:tabs>
              <w:tab w:val="right" w:leader="dot" w:pos="8680"/>
            </w:tabs>
            <w:rPr>
              <w:noProof/>
            </w:rPr>
          </w:pPr>
          <w:hyperlink w:anchor="_Toc221361504" w:history="1">
            <w:r w:rsidRPr="005A3088">
              <w:rPr>
                <w:rStyle w:val="Hyperlink"/>
                <w:noProof/>
              </w:rPr>
              <w:t>7.2 Comparable Company Analysis</w:t>
            </w:r>
            <w:r>
              <w:rPr>
                <w:noProof/>
                <w:webHidden/>
              </w:rPr>
              <w:tab/>
            </w:r>
            <w:r>
              <w:rPr>
                <w:noProof/>
                <w:webHidden/>
              </w:rPr>
              <w:fldChar w:fldCharType="begin"/>
            </w:r>
            <w:r>
              <w:rPr>
                <w:noProof/>
                <w:webHidden/>
              </w:rPr>
              <w:instrText xml:space="preserve"> PAGEREF _Toc221361504 \h </w:instrText>
            </w:r>
            <w:r>
              <w:rPr>
                <w:noProof/>
                <w:webHidden/>
              </w:rPr>
            </w:r>
            <w:r>
              <w:rPr>
                <w:noProof/>
                <w:webHidden/>
              </w:rPr>
              <w:fldChar w:fldCharType="separate"/>
            </w:r>
            <w:r>
              <w:rPr>
                <w:noProof/>
                <w:webHidden/>
              </w:rPr>
              <w:t>27</w:t>
            </w:r>
            <w:r>
              <w:rPr>
                <w:noProof/>
                <w:webHidden/>
              </w:rPr>
              <w:fldChar w:fldCharType="end"/>
            </w:r>
          </w:hyperlink>
        </w:p>
        <w:p w14:paraId="401BC03C" w14:textId="32FF6BD3" w:rsidR="00780271" w:rsidRDefault="00780271">
          <w:pPr>
            <w:pStyle w:val="TOC2"/>
            <w:tabs>
              <w:tab w:val="right" w:leader="dot" w:pos="8680"/>
            </w:tabs>
            <w:rPr>
              <w:noProof/>
            </w:rPr>
          </w:pPr>
          <w:hyperlink w:anchor="_Toc221361505" w:history="1">
            <w:r w:rsidRPr="005A3088">
              <w:rPr>
                <w:rStyle w:val="Hyperlink"/>
                <w:noProof/>
              </w:rPr>
              <w:t>7.3 Precedent Transaction Analysis</w:t>
            </w:r>
            <w:r>
              <w:rPr>
                <w:noProof/>
                <w:webHidden/>
              </w:rPr>
              <w:tab/>
            </w:r>
            <w:r>
              <w:rPr>
                <w:noProof/>
                <w:webHidden/>
              </w:rPr>
              <w:fldChar w:fldCharType="begin"/>
            </w:r>
            <w:r>
              <w:rPr>
                <w:noProof/>
                <w:webHidden/>
              </w:rPr>
              <w:instrText xml:space="preserve"> PAGEREF _Toc221361505 \h </w:instrText>
            </w:r>
            <w:r>
              <w:rPr>
                <w:noProof/>
                <w:webHidden/>
              </w:rPr>
            </w:r>
            <w:r>
              <w:rPr>
                <w:noProof/>
                <w:webHidden/>
              </w:rPr>
              <w:fldChar w:fldCharType="separate"/>
            </w:r>
            <w:r>
              <w:rPr>
                <w:noProof/>
                <w:webHidden/>
              </w:rPr>
              <w:t>28</w:t>
            </w:r>
            <w:r>
              <w:rPr>
                <w:noProof/>
                <w:webHidden/>
              </w:rPr>
              <w:fldChar w:fldCharType="end"/>
            </w:r>
          </w:hyperlink>
        </w:p>
        <w:p w14:paraId="03AA9578" w14:textId="02823267" w:rsidR="00780271" w:rsidRDefault="00780271">
          <w:pPr>
            <w:pStyle w:val="TOC2"/>
            <w:tabs>
              <w:tab w:val="right" w:leader="dot" w:pos="8680"/>
            </w:tabs>
            <w:rPr>
              <w:noProof/>
            </w:rPr>
          </w:pPr>
          <w:hyperlink w:anchor="_Toc221361506" w:history="1">
            <w:r w:rsidRPr="005A3088">
              <w:rPr>
                <w:rStyle w:val="Hyperlink"/>
                <w:noProof/>
              </w:rPr>
              <w:t>7.4 Sum-of-the-Parts Valuation</w:t>
            </w:r>
            <w:r>
              <w:rPr>
                <w:noProof/>
                <w:webHidden/>
              </w:rPr>
              <w:tab/>
            </w:r>
            <w:r>
              <w:rPr>
                <w:noProof/>
                <w:webHidden/>
              </w:rPr>
              <w:fldChar w:fldCharType="begin"/>
            </w:r>
            <w:r>
              <w:rPr>
                <w:noProof/>
                <w:webHidden/>
              </w:rPr>
              <w:instrText xml:space="preserve"> PAGEREF _Toc221361506 \h </w:instrText>
            </w:r>
            <w:r>
              <w:rPr>
                <w:noProof/>
                <w:webHidden/>
              </w:rPr>
            </w:r>
            <w:r>
              <w:rPr>
                <w:noProof/>
                <w:webHidden/>
              </w:rPr>
              <w:fldChar w:fldCharType="separate"/>
            </w:r>
            <w:r>
              <w:rPr>
                <w:noProof/>
                <w:webHidden/>
              </w:rPr>
              <w:t>29</w:t>
            </w:r>
            <w:r>
              <w:rPr>
                <w:noProof/>
                <w:webHidden/>
              </w:rPr>
              <w:fldChar w:fldCharType="end"/>
            </w:r>
          </w:hyperlink>
        </w:p>
        <w:p w14:paraId="4234BDA3" w14:textId="05BC48B3" w:rsidR="00780271" w:rsidRDefault="00780271">
          <w:pPr>
            <w:pStyle w:val="TOC2"/>
            <w:tabs>
              <w:tab w:val="right" w:leader="dot" w:pos="8680"/>
            </w:tabs>
            <w:rPr>
              <w:noProof/>
            </w:rPr>
          </w:pPr>
          <w:hyperlink w:anchor="_Toc221361507" w:history="1">
            <w:r w:rsidRPr="005A3088">
              <w:rPr>
                <w:rStyle w:val="Hyperlink"/>
                <w:noProof/>
              </w:rPr>
              <w:t>7.5 Valuation Summary and Fair Value Range</w:t>
            </w:r>
            <w:r>
              <w:rPr>
                <w:noProof/>
                <w:webHidden/>
              </w:rPr>
              <w:tab/>
            </w:r>
            <w:r>
              <w:rPr>
                <w:noProof/>
                <w:webHidden/>
              </w:rPr>
              <w:fldChar w:fldCharType="begin"/>
            </w:r>
            <w:r>
              <w:rPr>
                <w:noProof/>
                <w:webHidden/>
              </w:rPr>
              <w:instrText xml:space="preserve"> PAGEREF _Toc221361507 \h </w:instrText>
            </w:r>
            <w:r>
              <w:rPr>
                <w:noProof/>
                <w:webHidden/>
              </w:rPr>
            </w:r>
            <w:r>
              <w:rPr>
                <w:noProof/>
                <w:webHidden/>
              </w:rPr>
              <w:fldChar w:fldCharType="separate"/>
            </w:r>
            <w:r>
              <w:rPr>
                <w:noProof/>
                <w:webHidden/>
              </w:rPr>
              <w:t>29</w:t>
            </w:r>
            <w:r>
              <w:rPr>
                <w:noProof/>
                <w:webHidden/>
              </w:rPr>
              <w:fldChar w:fldCharType="end"/>
            </w:r>
          </w:hyperlink>
        </w:p>
        <w:p w14:paraId="7C5BF406" w14:textId="0EEF4CF6" w:rsidR="00780271" w:rsidRDefault="00780271">
          <w:pPr>
            <w:pStyle w:val="TOC1"/>
            <w:tabs>
              <w:tab w:val="right" w:leader="dot" w:pos="8680"/>
            </w:tabs>
            <w:rPr>
              <w:noProof/>
            </w:rPr>
          </w:pPr>
          <w:hyperlink w:anchor="_Toc221361508" w:history="1">
            <w:r w:rsidRPr="005A3088">
              <w:rPr>
                <w:rStyle w:val="Hyperlink"/>
                <w:noProof/>
              </w:rPr>
              <w:t>8. Risk Assessment and Integration Challenges</w:t>
            </w:r>
            <w:r>
              <w:rPr>
                <w:noProof/>
                <w:webHidden/>
              </w:rPr>
              <w:tab/>
            </w:r>
            <w:r>
              <w:rPr>
                <w:noProof/>
                <w:webHidden/>
              </w:rPr>
              <w:fldChar w:fldCharType="begin"/>
            </w:r>
            <w:r>
              <w:rPr>
                <w:noProof/>
                <w:webHidden/>
              </w:rPr>
              <w:instrText xml:space="preserve"> PAGEREF _Toc221361508 \h </w:instrText>
            </w:r>
            <w:r>
              <w:rPr>
                <w:noProof/>
                <w:webHidden/>
              </w:rPr>
            </w:r>
            <w:r>
              <w:rPr>
                <w:noProof/>
                <w:webHidden/>
              </w:rPr>
              <w:fldChar w:fldCharType="separate"/>
            </w:r>
            <w:r>
              <w:rPr>
                <w:noProof/>
                <w:webHidden/>
              </w:rPr>
              <w:t>30</w:t>
            </w:r>
            <w:r>
              <w:rPr>
                <w:noProof/>
                <w:webHidden/>
              </w:rPr>
              <w:fldChar w:fldCharType="end"/>
            </w:r>
          </w:hyperlink>
        </w:p>
        <w:p w14:paraId="6EAD73E7" w14:textId="742DA25E" w:rsidR="00780271" w:rsidRDefault="00780271">
          <w:pPr>
            <w:pStyle w:val="TOC2"/>
            <w:tabs>
              <w:tab w:val="right" w:leader="dot" w:pos="8680"/>
            </w:tabs>
            <w:rPr>
              <w:noProof/>
            </w:rPr>
          </w:pPr>
          <w:hyperlink w:anchor="_Toc221361509" w:history="1">
            <w:r w:rsidRPr="005A3088">
              <w:rPr>
                <w:rStyle w:val="Hyperlink"/>
                <w:noProof/>
              </w:rPr>
              <w:t>8.1 Strategic and Execution Risks</w:t>
            </w:r>
            <w:r>
              <w:rPr>
                <w:noProof/>
                <w:webHidden/>
              </w:rPr>
              <w:tab/>
            </w:r>
            <w:r>
              <w:rPr>
                <w:noProof/>
                <w:webHidden/>
              </w:rPr>
              <w:fldChar w:fldCharType="begin"/>
            </w:r>
            <w:r>
              <w:rPr>
                <w:noProof/>
                <w:webHidden/>
              </w:rPr>
              <w:instrText xml:space="preserve"> PAGEREF _Toc221361509 \h </w:instrText>
            </w:r>
            <w:r>
              <w:rPr>
                <w:noProof/>
                <w:webHidden/>
              </w:rPr>
            </w:r>
            <w:r>
              <w:rPr>
                <w:noProof/>
                <w:webHidden/>
              </w:rPr>
              <w:fldChar w:fldCharType="separate"/>
            </w:r>
            <w:r>
              <w:rPr>
                <w:noProof/>
                <w:webHidden/>
              </w:rPr>
              <w:t>30</w:t>
            </w:r>
            <w:r>
              <w:rPr>
                <w:noProof/>
                <w:webHidden/>
              </w:rPr>
              <w:fldChar w:fldCharType="end"/>
            </w:r>
          </w:hyperlink>
        </w:p>
        <w:p w14:paraId="0F444A26" w14:textId="3B900D50" w:rsidR="00780271" w:rsidRDefault="00780271">
          <w:pPr>
            <w:pStyle w:val="TOC2"/>
            <w:tabs>
              <w:tab w:val="right" w:leader="dot" w:pos="8680"/>
            </w:tabs>
            <w:rPr>
              <w:noProof/>
            </w:rPr>
          </w:pPr>
          <w:hyperlink w:anchor="_Toc221361510" w:history="1">
            <w:r w:rsidRPr="005A3088">
              <w:rPr>
                <w:rStyle w:val="Hyperlink"/>
                <w:noProof/>
              </w:rPr>
              <w:t>8.2 Market and Industry Risks</w:t>
            </w:r>
            <w:r>
              <w:rPr>
                <w:noProof/>
                <w:webHidden/>
              </w:rPr>
              <w:tab/>
            </w:r>
            <w:r>
              <w:rPr>
                <w:noProof/>
                <w:webHidden/>
              </w:rPr>
              <w:fldChar w:fldCharType="begin"/>
            </w:r>
            <w:r>
              <w:rPr>
                <w:noProof/>
                <w:webHidden/>
              </w:rPr>
              <w:instrText xml:space="preserve"> PAGEREF _Toc221361510 \h </w:instrText>
            </w:r>
            <w:r>
              <w:rPr>
                <w:noProof/>
                <w:webHidden/>
              </w:rPr>
            </w:r>
            <w:r>
              <w:rPr>
                <w:noProof/>
                <w:webHidden/>
              </w:rPr>
              <w:fldChar w:fldCharType="separate"/>
            </w:r>
            <w:r>
              <w:rPr>
                <w:noProof/>
                <w:webHidden/>
              </w:rPr>
              <w:t>31</w:t>
            </w:r>
            <w:r>
              <w:rPr>
                <w:noProof/>
                <w:webHidden/>
              </w:rPr>
              <w:fldChar w:fldCharType="end"/>
            </w:r>
          </w:hyperlink>
        </w:p>
        <w:p w14:paraId="49DD5691" w14:textId="739283C0" w:rsidR="00780271" w:rsidRDefault="00780271">
          <w:pPr>
            <w:pStyle w:val="TOC2"/>
            <w:tabs>
              <w:tab w:val="right" w:leader="dot" w:pos="8680"/>
            </w:tabs>
            <w:rPr>
              <w:noProof/>
            </w:rPr>
          </w:pPr>
          <w:hyperlink w:anchor="_Toc221361511" w:history="1">
            <w:r w:rsidRPr="005A3088">
              <w:rPr>
                <w:rStyle w:val="Hyperlink"/>
                <w:noProof/>
              </w:rPr>
              <w:t>8.3 Financial Risks</w:t>
            </w:r>
            <w:r>
              <w:rPr>
                <w:noProof/>
                <w:webHidden/>
              </w:rPr>
              <w:tab/>
            </w:r>
            <w:r>
              <w:rPr>
                <w:noProof/>
                <w:webHidden/>
              </w:rPr>
              <w:fldChar w:fldCharType="begin"/>
            </w:r>
            <w:r>
              <w:rPr>
                <w:noProof/>
                <w:webHidden/>
              </w:rPr>
              <w:instrText xml:space="preserve"> PAGEREF _Toc221361511 \h </w:instrText>
            </w:r>
            <w:r>
              <w:rPr>
                <w:noProof/>
                <w:webHidden/>
              </w:rPr>
            </w:r>
            <w:r>
              <w:rPr>
                <w:noProof/>
                <w:webHidden/>
              </w:rPr>
              <w:fldChar w:fldCharType="separate"/>
            </w:r>
            <w:r>
              <w:rPr>
                <w:noProof/>
                <w:webHidden/>
              </w:rPr>
              <w:t>32</w:t>
            </w:r>
            <w:r>
              <w:rPr>
                <w:noProof/>
                <w:webHidden/>
              </w:rPr>
              <w:fldChar w:fldCharType="end"/>
            </w:r>
          </w:hyperlink>
        </w:p>
        <w:p w14:paraId="4B4ECC72" w14:textId="5219B149" w:rsidR="00780271" w:rsidRDefault="00780271">
          <w:pPr>
            <w:pStyle w:val="TOC2"/>
            <w:tabs>
              <w:tab w:val="right" w:leader="dot" w:pos="8680"/>
            </w:tabs>
            <w:rPr>
              <w:noProof/>
            </w:rPr>
          </w:pPr>
          <w:hyperlink w:anchor="_Toc221361512" w:history="1">
            <w:r w:rsidRPr="005A3088">
              <w:rPr>
                <w:rStyle w:val="Hyperlink"/>
                <w:noProof/>
              </w:rPr>
              <w:t>8.4 Accounting and Reporting Risks</w:t>
            </w:r>
            <w:r>
              <w:rPr>
                <w:noProof/>
                <w:webHidden/>
              </w:rPr>
              <w:tab/>
            </w:r>
            <w:r>
              <w:rPr>
                <w:noProof/>
                <w:webHidden/>
              </w:rPr>
              <w:fldChar w:fldCharType="begin"/>
            </w:r>
            <w:r>
              <w:rPr>
                <w:noProof/>
                <w:webHidden/>
              </w:rPr>
              <w:instrText xml:space="preserve"> PAGEREF _Toc221361512 \h </w:instrText>
            </w:r>
            <w:r>
              <w:rPr>
                <w:noProof/>
                <w:webHidden/>
              </w:rPr>
            </w:r>
            <w:r>
              <w:rPr>
                <w:noProof/>
                <w:webHidden/>
              </w:rPr>
              <w:fldChar w:fldCharType="separate"/>
            </w:r>
            <w:r>
              <w:rPr>
                <w:noProof/>
                <w:webHidden/>
              </w:rPr>
              <w:t>33</w:t>
            </w:r>
            <w:r>
              <w:rPr>
                <w:noProof/>
                <w:webHidden/>
              </w:rPr>
              <w:fldChar w:fldCharType="end"/>
            </w:r>
          </w:hyperlink>
        </w:p>
        <w:p w14:paraId="29060E1A" w14:textId="7A3777B3" w:rsidR="00780271" w:rsidRDefault="00780271">
          <w:pPr>
            <w:pStyle w:val="TOC2"/>
            <w:tabs>
              <w:tab w:val="right" w:leader="dot" w:pos="8680"/>
            </w:tabs>
            <w:rPr>
              <w:noProof/>
            </w:rPr>
          </w:pPr>
          <w:hyperlink w:anchor="_Toc221361513" w:history="1">
            <w:r w:rsidRPr="005A3088">
              <w:rPr>
                <w:rStyle w:val="Hyperlink"/>
                <w:noProof/>
              </w:rPr>
              <w:t>9. Investment Recommendation and Conclusion</w:t>
            </w:r>
            <w:r>
              <w:rPr>
                <w:noProof/>
                <w:webHidden/>
              </w:rPr>
              <w:tab/>
            </w:r>
            <w:r>
              <w:rPr>
                <w:noProof/>
                <w:webHidden/>
              </w:rPr>
              <w:fldChar w:fldCharType="begin"/>
            </w:r>
            <w:r>
              <w:rPr>
                <w:noProof/>
                <w:webHidden/>
              </w:rPr>
              <w:instrText xml:space="preserve"> PAGEREF _Toc221361513 \h </w:instrText>
            </w:r>
            <w:r>
              <w:rPr>
                <w:noProof/>
                <w:webHidden/>
              </w:rPr>
            </w:r>
            <w:r>
              <w:rPr>
                <w:noProof/>
                <w:webHidden/>
              </w:rPr>
              <w:fldChar w:fldCharType="separate"/>
            </w:r>
            <w:r>
              <w:rPr>
                <w:noProof/>
                <w:webHidden/>
              </w:rPr>
              <w:t>33</w:t>
            </w:r>
            <w:r>
              <w:rPr>
                <w:noProof/>
                <w:webHidden/>
              </w:rPr>
              <w:fldChar w:fldCharType="end"/>
            </w:r>
          </w:hyperlink>
        </w:p>
        <w:p w14:paraId="6857C95E" w14:textId="11CE300D" w:rsidR="00780271" w:rsidRDefault="00780271">
          <w:pPr>
            <w:pStyle w:val="TOC2"/>
            <w:tabs>
              <w:tab w:val="right" w:leader="dot" w:pos="8680"/>
            </w:tabs>
            <w:rPr>
              <w:noProof/>
            </w:rPr>
          </w:pPr>
          <w:hyperlink w:anchor="_Toc221361514" w:history="1">
            <w:r w:rsidRPr="005A3088">
              <w:rPr>
                <w:rStyle w:val="Hyperlink"/>
                <w:noProof/>
              </w:rPr>
              <w:t>9.1 Investment Decision Framework</w:t>
            </w:r>
            <w:r>
              <w:rPr>
                <w:noProof/>
                <w:webHidden/>
              </w:rPr>
              <w:tab/>
            </w:r>
            <w:r>
              <w:rPr>
                <w:noProof/>
                <w:webHidden/>
              </w:rPr>
              <w:fldChar w:fldCharType="begin"/>
            </w:r>
            <w:r>
              <w:rPr>
                <w:noProof/>
                <w:webHidden/>
              </w:rPr>
              <w:instrText xml:space="preserve"> PAGEREF _Toc221361514 \h </w:instrText>
            </w:r>
            <w:r>
              <w:rPr>
                <w:noProof/>
                <w:webHidden/>
              </w:rPr>
            </w:r>
            <w:r>
              <w:rPr>
                <w:noProof/>
                <w:webHidden/>
              </w:rPr>
              <w:fldChar w:fldCharType="separate"/>
            </w:r>
            <w:r>
              <w:rPr>
                <w:noProof/>
                <w:webHidden/>
              </w:rPr>
              <w:t>33</w:t>
            </w:r>
            <w:r>
              <w:rPr>
                <w:noProof/>
                <w:webHidden/>
              </w:rPr>
              <w:fldChar w:fldCharType="end"/>
            </w:r>
          </w:hyperlink>
        </w:p>
        <w:p w14:paraId="0AD517C2" w14:textId="20B79031" w:rsidR="00780271" w:rsidRDefault="00780271">
          <w:pPr>
            <w:pStyle w:val="TOC2"/>
            <w:tabs>
              <w:tab w:val="right" w:leader="dot" w:pos="8680"/>
            </w:tabs>
            <w:rPr>
              <w:noProof/>
            </w:rPr>
          </w:pPr>
          <w:hyperlink w:anchor="_Toc221361515" w:history="1">
            <w:r w:rsidRPr="005A3088">
              <w:rPr>
                <w:rStyle w:val="Hyperlink"/>
                <w:noProof/>
              </w:rPr>
              <w:t>9.2 Investment Thesis: Bear Case</w:t>
            </w:r>
            <w:r>
              <w:rPr>
                <w:noProof/>
                <w:webHidden/>
              </w:rPr>
              <w:tab/>
            </w:r>
            <w:r>
              <w:rPr>
                <w:noProof/>
                <w:webHidden/>
              </w:rPr>
              <w:fldChar w:fldCharType="begin"/>
            </w:r>
            <w:r>
              <w:rPr>
                <w:noProof/>
                <w:webHidden/>
              </w:rPr>
              <w:instrText xml:space="preserve"> PAGEREF _Toc221361515 \h </w:instrText>
            </w:r>
            <w:r>
              <w:rPr>
                <w:noProof/>
                <w:webHidden/>
              </w:rPr>
            </w:r>
            <w:r>
              <w:rPr>
                <w:noProof/>
                <w:webHidden/>
              </w:rPr>
              <w:fldChar w:fldCharType="separate"/>
            </w:r>
            <w:r>
              <w:rPr>
                <w:noProof/>
                <w:webHidden/>
              </w:rPr>
              <w:t>34</w:t>
            </w:r>
            <w:r>
              <w:rPr>
                <w:noProof/>
                <w:webHidden/>
              </w:rPr>
              <w:fldChar w:fldCharType="end"/>
            </w:r>
          </w:hyperlink>
        </w:p>
        <w:p w14:paraId="2BFD2394" w14:textId="143A38E3" w:rsidR="00780271" w:rsidRDefault="00780271">
          <w:pPr>
            <w:pStyle w:val="TOC2"/>
            <w:tabs>
              <w:tab w:val="right" w:leader="dot" w:pos="8680"/>
            </w:tabs>
            <w:rPr>
              <w:noProof/>
            </w:rPr>
          </w:pPr>
          <w:hyperlink w:anchor="_Toc221361516" w:history="1">
            <w:r w:rsidRPr="005A3088">
              <w:rPr>
                <w:rStyle w:val="Hyperlink"/>
                <w:noProof/>
              </w:rPr>
              <w:t>9.3 Counterarguments to Sell Recommendation</w:t>
            </w:r>
            <w:r>
              <w:rPr>
                <w:noProof/>
                <w:webHidden/>
              </w:rPr>
              <w:tab/>
            </w:r>
            <w:r>
              <w:rPr>
                <w:noProof/>
                <w:webHidden/>
              </w:rPr>
              <w:fldChar w:fldCharType="begin"/>
            </w:r>
            <w:r>
              <w:rPr>
                <w:noProof/>
                <w:webHidden/>
              </w:rPr>
              <w:instrText xml:space="preserve"> PAGEREF _Toc221361516 \h </w:instrText>
            </w:r>
            <w:r>
              <w:rPr>
                <w:noProof/>
                <w:webHidden/>
              </w:rPr>
            </w:r>
            <w:r>
              <w:rPr>
                <w:noProof/>
                <w:webHidden/>
              </w:rPr>
              <w:fldChar w:fldCharType="separate"/>
            </w:r>
            <w:r>
              <w:rPr>
                <w:noProof/>
                <w:webHidden/>
              </w:rPr>
              <w:t>36</w:t>
            </w:r>
            <w:r>
              <w:rPr>
                <w:noProof/>
                <w:webHidden/>
              </w:rPr>
              <w:fldChar w:fldCharType="end"/>
            </w:r>
          </w:hyperlink>
        </w:p>
        <w:p w14:paraId="294A9DCA" w14:textId="0E281053" w:rsidR="00780271" w:rsidRDefault="00780271">
          <w:pPr>
            <w:pStyle w:val="TOC2"/>
            <w:tabs>
              <w:tab w:val="right" w:leader="dot" w:pos="8680"/>
            </w:tabs>
            <w:rPr>
              <w:noProof/>
            </w:rPr>
          </w:pPr>
          <w:hyperlink w:anchor="_Toc221361517" w:history="1">
            <w:r w:rsidRPr="005A3088">
              <w:rPr>
                <w:rStyle w:val="Hyperlink"/>
                <w:noProof/>
              </w:rPr>
              <w:t>9.4 Final Investment Recommendation</w:t>
            </w:r>
            <w:r>
              <w:rPr>
                <w:noProof/>
                <w:webHidden/>
              </w:rPr>
              <w:tab/>
            </w:r>
            <w:r>
              <w:rPr>
                <w:noProof/>
                <w:webHidden/>
              </w:rPr>
              <w:fldChar w:fldCharType="begin"/>
            </w:r>
            <w:r>
              <w:rPr>
                <w:noProof/>
                <w:webHidden/>
              </w:rPr>
              <w:instrText xml:space="preserve"> PAGEREF _Toc221361517 \h </w:instrText>
            </w:r>
            <w:r>
              <w:rPr>
                <w:noProof/>
                <w:webHidden/>
              </w:rPr>
            </w:r>
            <w:r>
              <w:rPr>
                <w:noProof/>
                <w:webHidden/>
              </w:rPr>
              <w:fldChar w:fldCharType="separate"/>
            </w:r>
            <w:r>
              <w:rPr>
                <w:noProof/>
                <w:webHidden/>
              </w:rPr>
              <w:t>37</w:t>
            </w:r>
            <w:r>
              <w:rPr>
                <w:noProof/>
                <w:webHidden/>
              </w:rPr>
              <w:fldChar w:fldCharType="end"/>
            </w:r>
          </w:hyperlink>
        </w:p>
        <w:p w14:paraId="2E940AA0" w14:textId="4DFFAD35" w:rsidR="00780271" w:rsidRDefault="00780271">
          <w:pPr>
            <w:pStyle w:val="TOC2"/>
            <w:tabs>
              <w:tab w:val="right" w:leader="dot" w:pos="8680"/>
            </w:tabs>
            <w:rPr>
              <w:noProof/>
            </w:rPr>
          </w:pPr>
          <w:hyperlink w:anchor="_Toc221361518" w:history="1">
            <w:r w:rsidRPr="005A3088">
              <w:rPr>
                <w:rStyle w:val="Hyperlink"/>
                <w:noProof/>
              </w:rPr>
              <w:t>9.5 Conclusion</w:t>
            </w:r>
            <w:r>
              <w:rPr>
                <w:noProof/>
                <w:webHidden/>
              </w:rPr>
              <w:tab/>
            </w:r>
            <w:r>
              <w:rPr>
                <w:noProof/>
                <w:webHidden/>
              </w:rPr>
              <w:fldChar w:fldCharType="begin"/>
            </w:r>
            <w:r>
              <w:rPr>
                <w:noProof/>
                <w:webHidden/>
              </w:rPr>
              <w:instrText xml:space="preserve"> PAGEREF _Toc221361518 \h </w:instrText>
            </w:r>
            <w:r>
              <w:rPr>
                <w:noProof/>
                <w:webHidden/>
              </w:rPr>
            </w:r>
            <w:r>
              <w:rPr>
                <w:noProof/>
                <w:webHidden/>
              </w:rPr>
              <w:fldChar w:fldCharType="separate"/>
            </w:r>
            <w:r>
              <w:rPr>
                <w:noProof/>
                <w:webHidden/>
              </w:rPr>
              <w:t>38</w:t>
            </w:r>
            <w:r>
              <w:rPr>
                <w:noProof/>
                <w:webHidden/>
              </w:rPr>
              <w:fldChar w:fldCharType="end"/>
            </w:r>
          </w:hyperlink>
        </w:p>
        <w:p w14:paraId="00687777" w14:textId="19243652" w:rsidR="00780271" w:rsidRDefault="00780271">
          <w:pPr>
            <w:pStyle w:val="TOC1"/>
            <w:tabs>
              <w:tab w:val="right" w:leader="dot" w:pos="8680"/>
            </w:tabs>
            <w:rPr>
              <w:noProof/>
            </w:rPr>
          </w:pPr>
          <w:hyperlink w:anchor="_Toc221361519" w:history="1">
            <w:r w:rsidRPr="005A3088">
              <w:rPr>
                <w:rStyle w:val="Hyperlink"/>
                <w:noProof/>
              </w:rPr>
              <w:t>10. References</w:t>
            </w:r>
            <w:r>
              <w:rPr>
                <w:noProof/>
                <w:webHidden/>
              </w:rPr>
              <w:tab/>
            </w:r>
            <w:r>
              <w:rPr>
                <w:noProof/>
                <w:webHidden/>
              </w:rPr>
              <w:fldChar w:fldCharType="begin"/>
            </w:r>
            <w:r>
              <w:rPr>
                <w:noProof/>
                <w:webHidden/>
              </w:rPr>
              <w:instrText xml:space="preserve"> PAGEREF _Toc221361519 \h </w:instrText>
            </w:r>
            <w:r>
              <w:rPr>
                <w:noProof/>
                <w:webHidden/>
              </w:rPr>
            </w:r>
            <w:r>
              <w:rPr>
                <w:noProof/>
                <w:webHidden/>
              </w:rPr>
              <w:fldChar w:fldCharType="separate"/>
            </w:r>
            <w:r>
              <w:rPr>
                <w:noProof/>
                <w:webHidden/>
              </w:rPr>
              <w:t>39</w:t>
            </w:r>
            <w:r>
              <w:rPr>
                <w:noProof/>
                <w:webHidden/>
              </w:rPr>
              <w:fldChar w:fldCharType="end"/>
            </w:r>
          </w:hyperlink>
        </w:p>
        <w:p w14:paraId="4E4702D1" w14:textId="1D4495F3" w:rsidR="00780271" w:rsidRDefault="00780271">
          <w:r>
            <w:rPr>
              <w:b/>
              <w:bCs/>
              <w:noProof/>
            </w:rPr>
            <w:fldChar w:fldCharType="end"/>
          </w:r>
        </w:p>
      </w:sdtContent>
    </w:sdt>
    <w:p w14:paraId="706968E2" w14:textId="77777777" w:rsidR="00521FEF" w:rsidRPr="00C406BB" w:rsidRDefault="00521FEF" w:rsidP="00C406BB">
      <w:pPr>
        <w:jc w:val="both"/>
        <w:rPr>
          <w:rFonts w:ascii="Times New Roman" w:hAnsi="Times New Roman" w:cs="Times New Roman"/>
          <w:sz w:val="24"/>
          <w:szCs w:val="24"/>
        </w:rPr>
      </w:pPr>
    </w:p>
    <w:p w14:paraId="53C72BDB" w14:textId="77777777" w:rsidR="00780271" w:rsidRDefault="00780271">
      <w:pPr>
        <w:rPr>
          <w:rFonts w:ascii="Times New Roman" w:eastAsiaTheme="majorEastAsia" w:hAnsi="Times New Roman" w:cstheme="majorBidi"/>
          <w:b/>
          <w:color w:val="000000" w:themeColor="text1"/>
          <w:sz w:val="32"/>
          <w:szCs w:val="32"/>
        </w:rPr>
      </w:pPr>
      <w:bookmarkStart w:id="2" w:name="executive_summary"/>
      <w:r>
        <w:br w:type="page"/>
      </w:r>
    </w:p>
    <w:p w14:paraId="224649C3" w14:textId="47E26846" w:rsidR="00521FEF" w:rsidRPr="00C406BB" w:rsidRDefault="00000000" w:rsidP="00C406BB">
      <w:pPr>
        <w:pStyle w:val="Heading1"/>
      </w:pPr>
      <w:bookmarkStart w:id="3" w:name="_Toc221361469"/>
      <w:r w:rsidRPr="00C406BB">
        <w:lastRenderedPageBreak/>
        <w:t>Executive Summary</w:t>
      </w:r>
      <w:bookmarkEnd w:id="2"/>
      <w:bookmarkEnd w:id="3"/>
    </w:p>
    <w:p w14:paraId="7D886F97" w14:textId="244573DA"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The January 10, </w:t>
      </w:r>
      <w:r w:rsidR="00C406BB" w:rsidRPr="00C406BB">
        <w:rPr>
          <w:rFonts w:ascii="Times New Roman" w:hAnsi="Times New Roman" w:cs="Times New Roman"/>
          <w:sz w:val="24"/>
          <w:szCs w:val="24"/>
        </w:rPr>
        <w:t>2000,</w:t>
      </w:r>
      <w:r w:rsidRPr="00C406BB">
        <w:rPr>
          <w:rFonts w:ascii="Times New Roman" w:hAnsi="Times New Roman" w:cs="Times New Roman"/>
          <w:sz w:val="24"/>
          <w:szCs w:val="24"/>
        </w:rPr>
        <w:t xml:space="preserve"> announcement of the AOL-Time Warner merger represented the largest corporate combination in history at the time, valued at approximately $165 billion. This landmark transaction combined America </w:t>
      </w:r>
      <w:r w:rsidR="00C406BB" w:rsidRPr="00C406BB">
        <w:rPr>
          <w:rFonts w:ascii="Times New Roman" w:hAnsi="Times New Roman" w:cs="Times New Roman"/>
          <w:sz w:val="24"/>
          <w:szCs w:val="24"/>
        </w:rPr>
        <w:t>Oline’s</w:t>
      </w:r>
      <w:r w:rsidRPr="00C406BB">
        <w:rPr>
          <w:rFonts w:ascii="Times New Roman" w:hAnsi="Times New Roman" w:cs="Times New Roman"/>
          <w:sz w:val="24"/>
          <w:szCs w:val="24"/>
        </w:rPr>
        <w:t xml:space="preserve"> internet dominance with Time Warner's traditional media empire, creating a combined entity with projected revenues exceeding $35 billion and market capitalization of $342 billion.</w:t>
      </w:r>
    </w:p>
    <w:p w14:paraId="762DE51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This analysis examines the critical accounting and valuation issues surrounding this merger, with particular focus on:</w:t>
      </w:r>
    </w:p>
    <w:p w14:paraId="59B9CF0F" w14:textId="77777777" w:rsidR="00521FEF" w:rsidRPr="00C406BB" w:rsidRDefault="00000000" w:rsidP="00C406BB">
      <w:pPr>
        <w:numPr>
          <w:ilvl w:val="0"/>
          <w:numId w:val="1"/>
        </w:numPr>
        <w:jc w:val="both"/>
        <w:rPr>
          <w:rFonts w:ascii="Times New Roman" w:hAnsi="Times New Roman" w:cs="Times New Roman"/>
          <w:sz w:val="24"/>
          <w:szCs w:val="24"/>
        </w:rPr>
      </w:pPr>
      <w:r w:rsidRPr="00C406BB">
        <w:rPr>
          <w:rFonts w:ascii="Times New Roman" w:hAnsi="Times New Roman" w:cs="Times New Roman"/>
          <w:sz w:val="24"/>
          <w:szCs w:val="24"/>
        </w:rPr>
        <w:t>The purchase vs. pooling accounting method decision and its impact on reported earnings</w:t>
      </w:r>
    </w:p>
    <w:p w14:paraId="48496577" w14:textId="77777777" w:rsidR="00521FEF" w:rsidRPr="00C406BB" w:rsidRDefault="00000000" w:rsidP="00C406BB">
      <w:pPr>
        <w:numPr>
          <w:ilvl w:val="0"/>
          <w:numId w:val="1"/>
        </w:numPr>
        <w:jc w:val="both"/>
        <w:rPr>
          <w:rFonts w:ascii="Times New Roman" w:hAnsi="Times New Roman" w:cs="Times New Roman"/>
          <w:sz w:val="24"/>
          <w:szCs w:val="24"/>
        </w:rPr>
      </w:pPr>
      <w:r w:rsidRPr="00C406BB">
        <w:rPr>
          <w:rFonts w:ascii="Times New Roman" w:hAnsi="Times New Roman" w:cs="Times New Roman"/>
          <w:sz w:val="24"/>
          <w:szCs w:val="24"/>
        </w:rPr>
        <w:t>Goodwill amortization effects on financial performance and market valuation</w:t>
      </w:r>
    </w:p>
    <w:p w14:paraId="42C6591A" w14:textId="77777777" w:rsidR="00521FEF" w:rsidRPr="00C406BB" w:rsidRDefault="00000000" w:rsidP="00C406BB">
      <w:pPr>
        <w:numPr>
          <w:ilvl w:val="0"/>
          <w:numId w:val="1"/>
        </w:numPr>
        <w:jc w:val="both"/>
        <w:rPr>
          <w:rFonts w:ascii="Times New Roman" w:hAnsi="Times New Roman" w:cs="Times New Roman"/>
          <w:sz w:val="24"/>
          <w:szCs w:val="24"/>
        </w:rPr>
      </w:pPr>
      <w:r w:rsidRPr="00C406BB">
        <w:rPr>
          <w:rFonts w:ascii="Times New Roman" w:hAnsi="Times New Roman" w:cs="Times New Roman"/>
          <w:sz w:val="24"/>
          <w:szCs w:val="24"/>
        </w:rPr>
        <w:t>Pro forma financial analysis under alternative accounting treatments</w:t>
      </w:r>
    </w:p>
    <w:p w14:paraId="4E55103D" w14:textId="77777777" w:rsidR="00521FEF" w:rsidRPr="00C406BB" w:rsidRDefault="00000000" w:rsidP="00C406BB">
      <w:pPr>
        <w:numPr>
          <w:ilvl w:val="0"/>
          <w:numId w:val="1"/>
        </w:numPr>
        <w:jc w:val="both"/>
        <w:rPr>
          <w:rFonts w:ascii="Times New Roman" w:hAnsi="Times New Roman" w:cs="Times New Roman"/>
          <w:sz w:val="24"/>
          <w:szCs w:val="24"/>
        </w:rPr>
      </w:pPr>
      <w:r w:rsidRPr="00C406BB">
        <w:rPr>
          <w:rFonts w:ascii="Times New Roman" w:hAnsi="Times New Roman" w:cs="Times New Roman"/>
          <w:sz w:val="24"/>
          <w:szCs w:val="24"/>
        </w:rPr>
        <w:t>Comprehensive ratio analysis and valuation assessment</w:t>
      </w:r>
    </w:p>
    <w:p w14:paraId="305CCD2D" w14:textId="77777777" w:rsidR="00521FEF" w:rsidRPr="00C406BB" w:rsidRDefault="00000000" w:rsidP="00C406BB">
      <w:pPr>
        <w:numPr>
          <w:ilvl w:val="0"/>
          <w:numId w:val="1"/>
        </w:numPr>
        <w:jc w:val="both"/>
        <w:rPr>
          <w:rFonts w:ascii="Times New Roman" w:hAnsi="Times New Roman" w:cs="Times New Roman"/>
          <w:sz w:val="24"/>
          <w:szCs w:val="24"/>
        </w:rPr>
      </w:pPr>
      <w:r w:rsidRPr="00C406BB">
        <w:rPr>
          <w:rFonts w:ascii="Times New Roman" w:hAnsi="Times New Roman" w:cs="Times New Roman"/>
          <w:sz w:val="24"/>
          <w:szCs w:val="24"/>
        </w:rPr>
        <w:t>Investment recommendation (buy, sell, or hold) based on fundamental analysis</w:t>
      </w:r>
    </w:p>
    <w:p w14:paraId="7338091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Key Findings:</w:t>
      </w:r>
    </w:p>
    <w:p w14:paraId="47C1BE14" w14:textId="19A9EFC2"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The merger created approximately $127-128 billion in goodwill using purchase accounting, requiring annual amortization charges of $3.2-4.5 billion over 30-40 years. This massive non-cash </w:t>
      </w:r>
      <w:r w:rsidR="00C406BB" w:rsidRPr="00C406BB">
        <w:rPr>
          <w:rFonts w:ascii="Times New Roman" w:hAnsi="Times New Roman" w:cs="Times New Roman"/>
          <w:sz w:val="24"/>
          <w:szCs w:val="24"/>
        </w:rPr>
        <w:t>charges</w:t>
      </w:r>
      <w:r w:rsidRPr="00C406BB">
        <w:rPr>
          <w:rFonts w:ascii="Times New Roman" w:hAnsi="Times New Roman" w:cs="Times New Roman"/>
          <w:sz w:val="24"/>
          <w:szCs w:val="24"/>
        </w:rPr>
        <w:t xml:space="preserve"> significantly depressed reported earnings while having no impact on cash flow. Our analysis reveals fundamental concerns about deal valuation, integration risks, and the sustainability of growth projections that supported AOL's premium stock price.</w:t>
      </w:r>
    </w:p>
    <w:p w14:paraId="6EA5CF5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Investment Recommendation:</w:t>
      </w:r>
      <w:r w:rsidRPr="00C406BB">
        <w:rPr>
          <w:rFonts w:ascii="Times New Roman" w:hAnsi="Times New Roman" w:cs="Times New Roman"/>
          <w:sz w:val="24"/>
          <w:szCs w:val="24"/>
        </w:rPr>
        <w:t xml:space="preserve"> </w:t>
      </w:r>
      <w:r w:rsidRPr="00C406BB">
        <w:rPr>
          <w:rFonts w:ascii="Times New Roman" w:hAnsi="Times New Roman" w:cs="Times New Roman"/>
          <w:b/>
          <w:sz w:val="24"/>
          <w:szCs w:val="24"/>
        </w:rPr>
        <w:t>SELL</w:t>
      </w:r>
      <w:r w:rsidRPr="00C406BB">
        <w:rPr>
          <w:rFonts w:ascii="Times New Roman" w:hAnsi="Times New Roman" w:cs="Times New Roman"/>
          <w:sz w:val="24"/>
          <w:szCs w:val="24"/>
        </w:rPr>
        <w:t xml:space="preserve"> - The combination of excessive purchase price premium, massive goodwill amortization burden, integration complexity, and deteriorating internet advertising market creates significant downside risk that outweighs potential synergy benefits.</w:t>
      </w:r>
    </w:p>
    <w:p w14:paraId="6A113BA3" w14:textId="275FA2B2" w:rsidR="00521FEF" w:rsidRPr="00C406BB" w:rsidRDefault="00521FEF" w:rsidP="00C406BB">
      <w:pPr>
        <w:jc w:val="both"/>
        <w:rPr>
          <w:rFonts w:ascii="Times New Roman" w:hAnsi="Times New Roman" w:cs="Times New Roman"/>
          <w:sz w:val="24"/>
          <w:szCs w:val="24"/>
        </w:rPr>
      </w:pPr>
    </w:p>
    <w:p w14:paraId="786692B9" w14:textId="77777777" w:rsidR="00C406BB" w:rsidRDefault="00C406BB" w:rsidP="00C406BB">
      <w:pPr>
        <w:spacing w:before="240" w:line="271" w:lineRule="auto"/>
        <w:jc w:val="both"/>
        <w:rPr>
          <w:rFonts w:ascii="Times New Roman" w:hAnsi="Times New Roman" w:cs="Times New Roman"/>
          <w:b/>
          <w:sz w:val="24"/>
          <w:szCs w:val="24"/>
        </w:rPr>
      </w:pPr>
      <w:bookmarkStart w:id="4" w:name="table_of_contents"/>
    </w:p>
    <w:bookmarkEnd w:id="4"/>
    <w:p w14:paraId="7F581593" w14:textId="1AF14981" w:rsidR="00521FEF" w:rsidRDefault="00521FEF" w:rsidP="00C406BB">
      <w:pPr>
        <w:jc w:val="both"/>
        <w:rPr>
          <w:rFonts w:ascii="Times New Roman" w:hAnsi="Times New Roman" w:cs="Times New Roman"/>
          <w:b/>
          <w:sz w:val="24"/>
          <w:szCs w:val="24"/>
        </w:rPr>
      </w:pPr>
    </w:p>
    <w:p w14:paraId="1283EA60" w14:textId="77777777" w:rsidR="00C406BB" w:rsidRDefault="00C406BB" w:rsidP="00C406BB">
      <w:pPr>
        <w:jc w:val="both"/>
        <w:rPr>
          <w:rFonts w:ascii="Times New Roman" w:hAnsi="Times New Roman" w:cs="Times New Roman"/>
          <w:b/>
          <w:sz w:val="24"/>
          <w:szCs w:val="24"/>
        </w:rPr>
      </w:pPr>
    </w:p>
    <w:p w14:paraId="006F797F" w14:textId="77777777" w:rsidR="00C406BB" w:rsidRDefault="00C406BB" w:rsidP="00C406BB">
      <w:pPr>
        <w:jc w:val="both"/>
        <w:rPr>
          <w:rFonts w:ascii="Times New Roman" w:hAnsi="Times New Roman" w:cs="Times New Roman"/>
          <w:b/>
          <w:sz w:val="24"/>
          <w:szCs w:val="24"/>
        </w:rPr>
      </w:pPr>
    </w:p>
    <w:p w14:paraId="1FC0C3F1" w14:textId="77777777" w:rsidR="00C406BB" w:rsidRDefault="00C406BB" w:rsidP="00C406BB">
      <w:pPr>
        <w:jc w:val="both"/>
        <w:rPr>
          <w:rFonts w:ascii="Times New Roman" w:hAnsi="Times New Roman" w:cs="Times New Roman"/>
          <w:b/>
          <w:sz w:val="24"/>
          <w:szCs w:val="24"/>
        </w:rPr>
      </w:pPr>
    </w:p>
    <w:p w14:paraId="34AB4298" w14:textId="77777777" w:rsidR="00C406BB" w:rsidRDefault="00C406BB" w:rsidP="00C406BB">
      <w:pPr>
        <w:jc w:val="both"/>
        <w:rPr>
          <w:rFonts w:ascii="Times New Roman" w:hAnsi="Times New Roman" w:cs="Times New Roman"/>
          <w:b/>
          <w:sz w:val="24"/>
          <w:szCs w:val="24"/>
        </w:rPr>
      </w:pPr>
    </w:p>
    <w:p w14:paraId="7AFD7B40" w14:textId="77777777" w:rsidR="00C406BB" w:rsidRDefault="00C406BB" w:rsidP="00C406BB">
      <w:pPr>
        <w:jc w:val="both"/>
        <w:rPr>
          <w:rFonts w:ascii="Times New Roman" w:hAnsi="Times New Roman" w:cs="Times New Roman"/>
          <w:b/>
          <w:sz w:val="24"/>
          <w:szCs w:val="24"/>
        </w:rPr>
      </w:pPr>
    </w:p>
    <w:p w14:paraId="62D1B753" w14:textId="77777777" w:rsidR="00C406BB" w:rsidRPr="00C406BB" w:rsidRDefault="00C406BB" w:rsidP="00C406BB">
      <w:pPr>
        <w:jc w:val="both"/>
        <w:rPr>
          <w:rFonts w:ascii="Times New Roman" w:hAnsi="Times New Roman" w:cs="Times New Roman"/>
          <w:sz w:val="24"/>
          <w:szCs w:val="24"/>
        </w:rPr>
      </w:pPr>
    </w:p>
    <w:p w14:paraId="737C8F99" w14:textId="77777777" w:rsidR="00C406BB" w:rsidRDefault="00C406BB" w:rsidP="00C406BB">
      <w:pPr>
        <w:spacing w:before="240" w:line="271" w:lineRule="auto"/>
        <w:jc w:val="both"/>
        <w:rPr>
          <w:rFonts w:ascii="Times New Roman" w:hAnsi="Times New Roman" w:cs="Times New Roman"/>
          <w:b/>
          <w:sz w:val="24"/>
          <w:szCs w:val="24"/>
        </w:rPr>
      </w:pPr>
      <w:bookmarkStart w:id="5" w:name="bm_1_transaction_overview_and_str_ee7486"/>
    </w:p>
    <w:p w14:paraId="7140A9E0" w14:textId="29AD2BF8" w:rsidR="00521FEF" w:rsidRPr="00C406BB" w:rsidRDefault="00000000" w:rsidP="00C406BB">
      <w:pPr>
        <w:pStyle w:val="Heading1"/>
      </w:pPr>
      <w:bookmarkStart w:id="6" w:name="_Toc221361470"/>
      <w:r w:rsidRPr="00C406BB">
        <w:lastRenderedPageBreak/>
        <w:t>1. Transaction Overview and Strategic Rationale</w:t>
      </w:r>
      <w:bookmarkEnd w:id="5"/>
      <w:bookmarkEnd w:id="6"/>
    </w:p>
    <w:p w14:paraId="3B50EA68" w14:textId="77777777" w:rsidR="00C406BB" w:rsidRDefault="00C406BB" w:rsidP="00C406BB">
      <w:pPr>
        <w:pStyle w:val="Heading2"/>
      </w:pPr>
      <w:bookmarkStart w:id="7" w:name="bm_1_1_deal_structure_and_terms"/>
    </w:p>
    <w:p w14:paraId="58C1F1C8" w14:textId="670EBC0B" w:rsidR="00521FEF" w:rsidRPr="00C406BB" w:rsidRDefault="00000000" w:rsidP="00C406BB">
      <w:pPr>
        <w:pStyle w:val="Heading2"/>
      </w:pPr>
      <w:bookmarkStart w:id="8" w:name="_Toc221361471"/>
      <w:r w:rsidRPr="00C406BB">
        <w:t>1.1 Deal Structure and Terms</w:t>
      </w:r>
      <w:bookmarkEnd w:id="7"/>
      <w:bookmarkEnd w:id="8"/>
    </w:p>
    <w:p w14:paraId="236565CB" w14:textId="02F022C2"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On January 10, 2000, America Online Inc. and Time Warner Inc. announced a definitive agreement to combine in a stock-for-stock merger valued at approximately $165-183 </w:t>
      </w:r>
      <w:r w:rsidR="00C406BB" w:rsidRPr="00C406BB">
        <w:rPr>
          <w:rFonts w:ascii="Times New Roman" w:hAnsi="Times New Roman" w:cs="Times New Roman"/>
          <w:sz w:val="24"/>
          <w:szCs w:val="24"/>
        </w:rPr>
        <w:t>billion</w:t>
      </w:r>
      <w:r w:rsidR="00C406BB">
        <w:rPr>
          <w:rFonts w:ascii="Times New Roman" w:hAnsi="Times New Roman" w:cs="Times New Roman"/>
          <w:sz w:val="24"/>
          <w:szCs w:val="24"/>
        </w:rPr>
        <w:t xml:space="preserve">. </w:t>
      </w:r>
      <w:r w:rsidRPr="00C406BB">
        <w:rPr>
          <w:rFonts w:ascii="Times New Roman" w:hAnsi="Times New Roman" w:cs="Times New Roman"/>
          <w:sz w:val="24"/>
          <w:szCs w:val="24"/>
        </w:rPr>
        <w:t>The transaction terms established:</w:t>
      </w:r>
    </w:p>
    <w:p w14:paraId="03FED1F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Exchange Ratio:</w:t>
      </w:r>
    </w:p>
    <w:p w14:paraId="61C90967" w14:textId="77777777" w:rsidR="00521FEF" w:rsidRPr="00C406BB" w:rsidRDefault="00000000" w:rsidP="00C406BB">
      <w:pPr>
        <w:numPr>
          <w:ilvl w:val="0"/>
          <w:numId w:val="3"/>
        </w:numPr>
        <w:jc w:val="both"/>
        <w:rPr>
          <w:rFonts w:ascii="Times New Roman" w:hAnsi="Times New Roman" w:cs="Times New Roman"/>
          <w:sz w:val="24"/>
          <w:szCs w:val="24"/>
        </w:rPr>
      </w:pPr>
      <w:r w:rsidRPr="00C406BB">
        <w:rPr>
          <w:rFonts w:ascii="Times New Roman" w:hAnsi="Times New Roman" w:cs="Times New Roman"/>
          <w:sz w:val="24"/>
          <w:szCs w:val="24"/>
        </w:rPr>
        <w:t>AOL shareholders: 1.0 share of AOL Time Warner for each AOL share</w:t>
      </w:r>
    </w:p>
    <w:p w14:paraId="787AA21C" w14:textId="77777777" w:rsidR="00521FEF" w:rsidRPr="00C406BB" w:rsidRDefault="00000000" w:rsidP="00C406BB">
      <w:pPr>
        <w:numPr>
          <w:ilvl w:val="0"/>
          <w:numId w:val="3"/>
        </w:numPr>
        <w:jc w:val="both"/>
        <w:rPr>
          <w:rFonts w:ascii="Times New Roman" w:hAnsi="Times New Roman" w:cs="Times New Roman"/>
          <w:sz w:val="24"/>
          <w:szCs w:val="24"/>
        </w:rPr>
      </w:pPr>
      <w:r w:rsidRPr="00C406BB">
        <w:rPr>
          <w:rFonts w:ascii="Times New Roman" w:hAnsi="Times New Roman" w:cs="Times New Roman"/>
          <w:sz w:val="24"/>
          <w:szCs w:val="24"/>
        </w:rPr>
        <w:t>Time Warner shareholders: 1.5 shares of AOL Time Warner for each Time Warner share</w:t>
      </w:r>
    </w:p>
    <w:p w14:paraId="13AA096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Ownership Structure:</w:t>
      </w:r>
    </w:p>
    <w:p w14:paraId="7D3695CB" w14:textId="77777777" w:rsidR="00521FEF" w:rsidRPr="00C406BB" w:rsidRDefault="00000000" w:rsidP="00C406BB">
      <w:pPr>
        <w:numPr>
          <w:ilvl w:val="0"/>
          <w:numId w:val="4"/>
        </w:numPr>
        <w:jc w:val="both"/>
        <w:rPr>
          <w:rFonts w:ascii="Times New Roman" w:hAnsi="Times New Roman" w:cs="Times New Roman"/>
          <w:sz w:val="24"/>
          <w:szCs w:val="24"/>
        </w:rPr>
      </w:pPr>
      <w:r w:rsidRPr="00C406BB">
        <w:rPr>
          <w:rFonts w:ascii="Times New Roman" w:hAnsi="Times New Roman" w:cs="Times New Roman"/>
          <w:sz w:val="24"/>
          <w:szCs w:val="24"/>
        </w:rPr>
        <w:t>AOL shareholders: 55% of combined entity</w:t>
      </w:r>
    </w:p>
    <w:p w14:paraId="321D787F" w14:textId="77777777" w:rsidR="00521FEF" w:rsidRPr="00C406BB" w:rsidRDefault="00000000" w:rsidP="00C406BB">
      <w:pPr>
        <w:numPr>
          <w:ilvl w:val="0"/>
          <w:numId w:val="4"/>
        </w:numPr>
        <w:jc w:val="both"/>
        <w:rPr>
          <w:rFonts w:ascii="Times New Roman" w:hAnsi="Times New Roman" w:cs="Times New Roman"/>
          <w:sz w:val="24"/>
          <w:szCs w:val="24"/>
        </w:rPr>
      </w:pPr>
      <w:r w:rsidRPr="00C406BB">
        <w:rPr>
          <w:rFonts w:ascii="Times New Roman" w:hAnsi="Times New Roman" w:cs="Times New Roman"/>
          <w:sz w:val="24"/>
          <w:szCs w:val="24"/>
        </w:rPr>
        <w:t>Time Warner shareholders: 45% of combined entity</w:t>
      </w:r>
    </w:p>
    <w:p w14:paraId="2FA45B42" w14:textId="2D1D70A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This ownership split reflected AOL's superior market valuation despite Time Warner's significantly larger revenue base and asset portfolio. At announcement, AOL stock traded at approximately $73 per share, valuing each Time Warner share at approximately $109.50 based on the 1.5x exchange rati</w:t>
      </w:r>
      <w:r w:rsidR="00C406BB">
        <w:rPr>
          <w:rFonts w:ascii="Times New Roman" w:hAnsi="Times New Roman" w:cs="Times New Roman"/>
          <w:sz w:val="24"/>
          <w:szCs w:val="24"/>
        </w:rPr>
        <w:t>o</w:t>
      </w:r>
      <w:r w:rsidRPr="00C406BB">
        <w:rPr>
          <w:rFonts w:ascii="Times New Roman" w:hAnsi="Times New Roman" w:cs="Times New Roman"/>
          <w:sz w:val="24"/>
          <w:szCs w:val="24"/>
        </w:rPr>
        <w:t>.</w:t>
      </w:r>
    </w:p>
    <w:p w14:paraId="0D7BF265" w14:textId="77777777" w:rsidR="00C406BB" w:rsidRDefault="00C406BB" w:rsidP="00C406BB">
      <w:pPr>
        <w:pStyle w:val="Heading2"/>
      </w:pPr>
      <w:bookmarkStart w:id="9" w:name="bm_1_2_company_profiles_at_merger_c9d716"/>
    </w:p>
    <w:p w14:paraId="4F4DB284" w14:textId="224A0A5A" w:rsidR="00521FEF" w:rsidRPr="00C406BB" w:rsidRDefault="00000000" w:rsidP="00C406BB">
      <w:pPr>
        <w:pStyle w:val="Heading2"/>
      </w:pPr>
      <w:bookmarkStart w:id="10" w:name="_Toc221361472"/>
      <w:r w:rsidRPr="00C406BB">
        <w:t>1.2 Company Profiles at Merger Announcement</w:t>
      </w:r>
      <w:bookmarkEnd w:id="9"/>
      <w:bookmarkEnd w:id="10"/>
    </w:p>
    <w:p w14:paraId="72C64CF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America Online (December 1999):</w:t>
      </w:r>
    </w:p>
    <w:tbl>
      <w:tblPr>
        <w:tblStyle w:val="NormalGrid"/>
        <w:tblW w:w="0" w:type="auto"/>
        <w:jc w:val="center"/>
        <w:tblCellSpacing w:w="0" w:type="dxa"/>
        <w:tblLook w:val="04A0" w:firstRow="1" w:lastRow="0" w:firstColumn="1" w:lastColumn="0" w:noHBand="0" w:noVBand="1"/>
      </w:tblPr>
      <w:tblGrid>
        <w:gridCol w:w="3033"/>
        <w:gridCol w:w="1507"/>
      </w:tblGrid>
      <w:tr w:rsidR="00521FEF" w:rsidRPr="00C406BB" w14:paraId="305951C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C847A5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Metric</w:t>
            </w:r>
          </w:p>
        </w:tc>
        <w:tc>
          <w:tcPr>
            <w:tcW w:w="0" w:type="auto"/>
            <w:tcBorders>
              <w:top w:val="single" w:sz="8" w:space="0" w:color="000000"/>
              <w:bottom w:val="single" w:sz="8" w:space="0" w:color="000000"/>
              <w:right w:val="single" w:sz="8" w:space="0" w:color="000000"/>
            </w:tcBorders>
            <w:vAlign w:val="center"/>
          </w:tcPr>
          <w:p w14:paraId="41568C8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5488618A" w14:textId="77777777">
        <w:trPr>
          <w:cantSplit/>
          <w:tblCellSpacing w:w="0" w:type="dxa"/>
          <w:jc w:val="center"/>
        </w:trPr>
        <w:tc>
          <w:tcPr>
            <w:tcW w:w="0" w:type="auto"/>
            <w:tcBorders>
              <w:left w:val="single" w:sz="8" w:space="0" w:color="000000"/>
              <w:right w:val="single" w:sz="8" w:space="0" w:color="000000"/>
            </w:tcBorders>
            <w:vAlign w:val="center"/>
          </w:tcPr>
          <w:p w14:paraId="6DA4525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Market Capitalization</w:t>
            </w:r>
          </w:p>
        </w:tc>
        <w:tc>
          <w:tcPr>
            <w:tcW w:w="0" w:type="auto"/>
            <w:tcBorders>
              <w:right w:val="single" w:sz="8" w:space="0" w:color="000000"/>
            </w:tcBorders>
            <w:vAlign w:val="center"/>
          </w:tcPr>
          <w:p w14:paraId="53F7627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$164 billion</w:t>
            </w:r>
          </w:p>
        </w:tc>
      </w:tr>
      <w:tr w:rsidR="00521FEF" w:rsidRPr="00C406BB" w14:paraId="00A7A668" w14:textId="77777777">
        <w:trPr>
          <w:cantSplit/>
          <w:tblCellSpacing w:w="0" w:type="dxa"/>
          <w:jc w:val="center"/>
        </w:trPr>
        <w:tc>
          <w:tcPr>
            <w:tcW w:w="0" w:type="auto"/>
            <w:tcBorders>
              <w:left w:val="single" w:sz="8" w:space="0" w:color="000000"/>
              <w:right w:val="single" w:sz="8" w:space="0" w:color="000000"/>
            </w:tcBorders>
            <w:vAlign w:val="center"/>
          </w:tcPr>
          <w:p w14:paraId="0F12D8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Annual Revenue (FY 1999)</w:t>
            </w:r>
          </w:p>
        </w:tc>
        <w:tc>
          <w:tcPr>
            <w:tcW w:w="0" w:type="auto"/>
            <w:tcBorders>
              <w:right w:val="single" w:sz="8" w:space="0" w:color="000000"/>
            </w:tcBorders>
            <w:vAlign w:val="center"/>
          </w:tcPr>
          <w:p w14:paraId="611513D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 billion</w:t>
            </w:r>
          </w:p>
        </w:tc>
      </w:tr>
      <w:tr w:rsidR="00521FEF" w:rsidRPr="00C406BB" w14:paraId="267C7932" w14:textId="77777777">
        <w:trPr>
          <w:cantSplit/>
          <w:tblCellSpacing w:w="0" w:type="dxa"/>
          <w:jc w:val="center"/>
        </w:trPr>
        <w:tc>
          <w:tcPr>
            <w:tcW w:w="0" w:type="auto"/>
            <w:tcBorders>
              <w:left w:val="single" w:sz="8" w:space="0" w:color="000000"/>
              <w:right w:val="single" w:sz="8" w:space="0" w:color="000000"/>
            </w:tcBorders>
            <w:vAlign w:val="center"/>
          </w:tcPr>
          <w:p w14:paraId="3AA7A23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Income (FY 1999)</w:t>
            </w:r>
          </w:p>
        </w:tc>
        <w:tc>
          <w:tcPr>
            <w:tcW w:w="0" w:type="auto"/>
            <w:tcBorders>
              <w:right w:val="single" w:sz="8" w:space="0" w:color="000000"/>
            </w:tcBorders>
            <w:vAlign w:val="center"/>
          </w:tcPr>
          <w:p w14:paraId="4C063DC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 billion</w:t>
            </w:r>
          </w:p>
        </w:tc>
      </w:tr>
      <w:tr w:rsidR="00521FEF" w:rsidRPr="00C406BB" w14:paraId="11618C79" w14:textId="77777777">
        <w:trPr>
          <w:cantSplit/>
          <w:tblCellSpacing w:w="0" w:type="dxa"/>
          <w:jc w:val="center"/>
        </w:trPr>
        <w:tc>
          <w:tcPr>
            <w:tcW w:w="0" w:type="auto"/>
            <w:tcBorders>
              <w:left w:val="single" w:sz="8" w:space="0" w:color="000000"/>
              <w:right w:val="single" w:sz="8" w:space="0" w:color="000000"/>
            </w:tcBorders>
            <w:vAlign w:val="center"/>
          </w:tcPr>
          <w:p w14:paraId="104249B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Employees</w:t>
            </w:r>
          </w:p>
        </w:tc>
        <w:tc>
          <w:tcPr>
            <w:tcW w:w="0" w:type="auto"/>
            <w:tcBorders>
              <w:right w:val="single" w:sz="8" w:space="0" w:color="000000"/>
            </w:tcBorders>
            <w:vAlign w:val="center"/>
          </w:tcPr>
          <w:p w14:paraId="5A1276B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12,000</w:t>
            </w:r>
          </w:p>
        </w:tc>
      </w:tr>
      <w:tr w:rsidR="00521FEF" w:rsidRPr="00C406BB" w14:paraId="41647B0C" w14:textId="77777777">
        <w:trPr>
          <w:cantSplit/>
          <w:tblCellSpacing w:w="0" w:type="dxa"/>
          <w:jc w:val="center"/>
        </w:trPr>
        <w:tc>
          <w:tcPr>
            <w:tcW w:w="0" w:type="auto"/>
            <w:tcBorders>
              <w:left w:val="single" w:sz="8" w:space="0" w:color="000000"/>
              <w:right w:val="single" w:sz="8" w:space="0" w:color="000000"/>
            </w:tcBorders>
            <w:vAlign w:val="center"/>
          </w:tcPr>
          <w:p w14:paraId="6656BBB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Subscribers</w:t>
            </w:r>
          </w:p>
        </w:tc>
        <w:tc>
          <w:tcPr>
            <w:tcW w:w="0" w:type="auto"/>
            <w:tcBorders>
              <w:right w:val="single" w:sz="8" w:space="0" w:color="000000"/>
            </w:tcBorders>
            <w:vAlign w:val="center"/>
          </w:tcPr>
          <w:p w14:paraId="286B8F4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24 million</w:t>
            </w:r>
          </w:p>
        </w:tc>
      </w:tr>
      <w:tr w:rsidR="00521FEF" w:rsidRPr="00C406BB" w14:paraId="4D178AF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D1568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Price-to-Earnings Ratio</w:t>
            </w:r>
          </w:p>
        </w:tc>
        <w:tc>
          <w:tcPr>
            <w:tcW w:w="0" w:type="auto"/>
            <w:tcBorders>
              <w:bottom w:val="single" w:sz="8" w:space="0" w:color="000000"/>
              <w:right w:val="single" w:sz="8" w:space="0" w:color="000000"/>
            </w:tcBorders>
            <w:vAlign w:val="center"/>
          </w:tcPr>
          <w:p w14:paraId="67F214DF" w14:textId="77777777" w:rsidR="00521FEF" w:rsidRPr="00C406BB" w:rsidRDefault="00000000" w:rsidP="00C406BB">
            <w:pPr>
              <w:jc w:val="both"/>
              <w:rPr>
                <w:rFonts w:ascii="Times New Roman" w:hAnsi="Times New Roman" w:cs="Times New Roman"/>
                <w:sz w:val="24"/>
                <w:szCs w:val="24"/>
              </w:rPr>
            </w:pPr>
            <w:r w:rsidRPr="00C406BB">
              <w:rPr>
                <w:rFonts w:ascii="Times New Roman" w:eastAsia="Georgia" w:hAnsi="Times New Roman" w:cs="Times New Roman"/>
                <w:sz w:val="24"/>
                <w:szCs w:val="24"/>
              </w:rPr>
              <w:t>~160x</w:t>
            </w:r>
          </w:p>
        </w:tc>
      </w:tr>
    </w:tbl>
    <w:p w14:paraId="1B3A6140" w14:textId="77777777" w:rsidR="00521FEF" w:rsidRPr="00C406BB" w:rsidRDefault="00521FEF" w:rsidP="00C406BB">
      <w:pPr>
        <w:jc w:val="both"/>
        <w:rPr>
          <w:rFonts w:ascii="Times New Roman" w:hAnsi="Times New Roman" w:cs="Times New Roman"/>
          <w:sz w:val="24"/>
          <w:szCs w:val="24"/>
        </w:rPr>
      </w:pPr>
    </w:p>
    <w:p w14:paraId="29B186F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 AOL Financial Profile, 1999</w:t>
      </w:r>
    </w:p>
    <w:p w14:paraId="0278838C" w14:textId="2A3D6DA7" w:rsidR="00C406BB"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AOL dominated internet access with approximately 50% market share of dial-up subscribers. Revenue sources included subscription fees (68%), advertising (20%), and commerce/content (12%). The company exhibited extraordinary revenue growth of 43% year-over-year but operated with thin profit margins characteristic of growth-stage internet companies.</w:t>
      </w:r>
    </w:p>
    <w:p w14:paraId="3A724D02" w14:textId="3100B04F"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lastRenderedPageBreak/>
        <w:t>Time Warner (December 1999):</w:t>
      </w:r>
    </w:p>
    <w:tbl>
      <w:tblPr>
        <w:tblStyle w:val="NormalGrid"/>
        <w:tblW w:w="0" w:type="auto"/>
        <w:jc w:val="center"/>
        <w:tblCellSpacing w:w="0" w:type="dxa"/>
        <w:tblLook w:val="04A0" w:firstRow="1" w:lastRow="0" w:firstColumn="1" w:lastColumn="0" w:noHBand="0" w:noVBand="1"/>
      </w:tblPr>
      <w:tblGrid>
        <w:gridCol w:w="3033"/>
        <w:gridCol w:w="1567"/>
      </w:tblGrid>
      <w:tr w:rsidR="00521FEF" w:rsidRPr="00C406BB" w14:paraId="7CD0972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01103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Metric</w:t>
            </w:r>
          </w:p>
        </w:tc>
        <w:tc>
          <w:tcPr>
            <w:tcW w:w="0" w:type="auto"/>
            <w:tcBorders>
              <w:top w:val="single" w:sz="8" w:space="0" w:color="000000"/>
              <w:bottom w:val="single" w:sz="8" w:space="0" w:color="000000"/>
              <w:right w:val="single" w:sz="8" w:space="0" w:color="000000"/>
            </w:tcBorders>
            <w:vAlign w:val="center"/>
          </w:tcPr>
          <w:p w14:paraId="19D789D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3341F64B" w14:textId="77777777">
        <w:trPr>
          <w:cantSplit/>
          <w:tblCellSpacing w:w="0" w:type="dxa"/>
          <w:jc w:val="center"/>
        </w:trPr>
        <w:tc>
          <w:tcPr>
            <w:tcW w:w="0" w:type="auto"/>
            <w:tcBorders>
              <w:left w:val="single" w:sz="8" w:space="0" w:color="000000"/>
              <w:right w:val="single" w:sz="8" w:space="0" w:color="000000"/>
            </w:tcBorders>
            <w:vAlign w:val="center"/>
          </w:tcPr>
          <w:p w14:paraId="6942E7D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Market Capitalization</w:t>
            </w:r>
          </w:p>
        </w:tc>
        <w:tc>
          <w:tcPr>
            <w:tcW w:w="0" w:type="auto"/>
            <w:tcBorders>
              <w:right w:val="single" w:sz="8" w:space="0" w:color="000000"/>
            </w:tcBorders>
            <w:vAlign w:val="center"/>
          </w:tcPr>
          <w:p w14:paraId="46C5F48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$90 billion</w:t>
            </w:r>
          </w:p>
        </w:tc>
      </w:tr>
      <w:tr w:rsidR="00521FEF" w:rsidRPr="00C406BB" w14:paraId="7C07C96D" w14:textId="77777777">
        <w:trPr>
          <w:cantSplit/>
          <w:tblCellSpacing w:w="0" w:type="dxa"/>
          <w:jc w:val="center"/>
        </w:trPr>
        <w:tc>
          <w:tcPr>
            <w:tcW w:w="0" w:type="auto"/>
            <w:tcBorders>
              <w:left w:val="single" w:sz="8" w:space="0" w:color="000000"/>
              <w:right w:val="single" w:sz="8" w:space="0" w:color="000000"/>
            </w:tcBorders>
            <w:vAlign w:val="center"/>
          </w:tcPr>
          <w:p w14:paraId="049277A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Annual Revenue (FY 1999)</w:t>
            </w:r>
          </w:p>
        </w:tc>
        <w:tc>
          <w:tcPr>
            <w:tcW w:w="0" w:type="auto"/>
            <w:tcBorders>
              <w:right w:val="single" w:sz="8" w:space="0" w:color="000000"/>
            </w:tcBorders>
            <w:vAlign w:val="center"/>
          </w:tcPr>
          <w:p w14:paraId="02045A4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$27.3 billion</w:t>
            </w:r>
          </w:p>
        </w:tc>
      </w:tr>
      <w:tr w:rsidR="00521FEF" w:rsidRPr="00C406BB" w14:paraId="72E6FD9D" w14:textId="77777777">
        <w:trPr>
          <w:cantSplit/>
          <w:tblCellSpacing w:w="0" w:type="dxa"/>
          <w:jc w:val="center"/>
        </w:trPr>
        <w:tc>
          <w:tcPr>
            <w:tcW w:w="0" w:type="auto"/>
            <w:tcBorders>
              <w:left w:val="single" w:sz="8" w:space="0" w:color="000000"/>
              <w:right w:val="single" w:sz="8" w:space="0" w:color="000000"/>
            </w:tcBorders>
            <w:vAlign w:val="center"/>
          </w:tcPr>
          <w:p w14:paraId="51C75BE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EBITDA (FY 1999)</w:t>
            </w:r>
          </w:p>
        </w:tc>
        <w:tc>
          <w:tcPr>
            <w:tcW w:w="0" w:type="auto"/>
            <w:tcBorders>
              <w:right w:val="single" w:sz="8" w:space="0" w:color="000000"/>
            </w:tcBorders>
            <w:vAlign w:val="center"/>
          </w:tcPr>
          <w:p w14:paraId="681E712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$8.5 billion</w:t>
            </w:r>
          </w:p>
        </w:tc>
      </w:tr>
      <w:tr w:rsidR="00521FEF" w:rsidRPr="00C406BB" w14:paraId="6831CB2B" w14:textId="77777777">
        <w:trPr>
          <w:cantSplit/>
          <w:tblCellSpacing w:w="0" w:type="dxa"/>
          <w:jc w:val="center"/>
        </w:trPr>
        <w:tc>
          <w:tcPr>
            <w:tcW w:w="0" w:type="auto"/>
            <w:tcBorders>
              <w:left w:val="single" w:sz="8" w:space="0" w:color="000000"/>
              <w:right w:val="single" w:sz="8" w:space="0" w:color="000000"/>
            </w:tcBorders>
            <w:vAlign w:val="center"/>
          </w:tcPr>
          <w:p w14:paraId="229C6F3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Income (FY 1999)</w:t>
            </w:r>
          </w:p>
        </w:tc>
        <w:tc>
          <w:tcPr>
            <w:tcW w:w="0" w:type="auto"/>
            <w:tcBorders>
              <w:right w:val="single" w:sz="8" w:space="0" w:color="000000"/>
            </w:tcBorders>
            <w:vAlign w:val="center"/>
          </w:tcPr>
          <w:p w14:paraId="666267B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 billion</w:t>
            </w:r>
          </w:p>
        </w:tc>
      </w:tr>
      <w:tr w:rsidR="00521FEF" w:rsidRPr="00C406BB" w14:paraId="221BD829" w14:textId="77777777">
        <w:trPr>
          <w:cantSplit/>
          <w:tblCellSpacing w:w="0" w:type="dxa"/>
          <w:jc w:val="center"/>
        </w:trPr>
        <w:tc>
          <w:tcPr>
            <w:tcW w:w="0" w:type="auto"/>
            <w:tcBorders>
              <w:left w:val="single" w:sz="8" w:space="0" w:color="000000"/>
              <w:right w:val="single" w:sz="8" w:space="0" w:color="000000"/>
            </w:tcBorders>
            <w:vAlign w:val="center"/>
          </w:tcPr>
          <w:p w14:paraId="594C1BD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Employees</w:t>
            </w:r>
          </w:p>
        </w:tc>
        <w:tc>
          <w:tcPr>
            <w:tcW w:w="0" w:type="auto"/>
            <w:tcBorders>
              <w:right w:val="single" w:sz="8" w:space="0" w:color="000000"/>
            </w:tcBorders>
            <w:vAlign w:val="center"/>
          </w:tcPr>
          <w:p w14:paraId="57D5048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70,000</w:t>
            </w:r>
          </w:p>
        </w:tc>
      </w:tr>
      <w:tr w:rsidR="00521FEF" w:rsidRPr="00C406BB" w14:paraId="0F50EE8B" w14:textId="77777777">
        <w:trPr>
          <w:cantSplit/>
          <w:tblCellSpacing w:w="0" w:type="dxa"/>
          <w:jc w:val="center"/>
        </w:trPr>
        <w:tc>
          <w:tcPr>
            <w:tcW w:w="0" w:type="auto"/>
            <w:tcBorders>
              <w:left w:val="single" w:sz="8" w:space="0" w:color="000000"/>
              <w:right w:val="single" w:sz="8" w:space="0" w:color="000000"/>
            </w:tcBorders>
            <w:vAlign w:val="center"/>
          </w:tcPr>
          <w:p w14:paraId="21404EF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Assets</w:t>
            </w:r>
          </w:p>
        </w:tc>
        <w:tc>
          <w:tcPr>
            <w:tcW w:w="0" w:type="auto"/>
            <w:tcBorders>
              <w:right w:val="single" w:sz="8" w:space="0" w:color="000000"/>
            </w:tcBorders>
            <w:vAlign w:val="center"/>
          </w:tcPr>
          <w:p w14:paraId="3B2180A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$51 billion</w:t>
            </w:r>
          </w:p>
        </w:tc>
      </w:tr>
      <w:tr w:rsidR="00521FEF" w:rsidRPr="00C406BB" w14:paraId="40E729B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EDC119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Long-term Debt</w:t>
            </w:r>
          </w:p>
        </w:tc>
        <w:tc>
          <w:tcPr>
            <w:tcW w:w="0" w:type="auto"/>
            <w:tcBorders>
              <w:bottom w:val="single" w:sz="8" w:space="0" w:color="000000"/>
              <w:right w:val="single" w:sz="8" w:space="0" w:color="000000"/>
            </w:tcBorders>
            <w:vAlign w:val="center"/>
          </w:tcPr>
          <w:p w14:paraId="4B9C293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$17 billion</w:t>
            </w:r>
          </w:p>
        </w:tc>
      </w:tr>
    </w:tbl>
    <w:p w14:paraId="7F38CE96" w14:textId="77777777" w:rsidR="00521FEF" w:rsidRPr="00C406BB" w:rsidRDefault="00521FEF" w:rsidP="00C406BB">
      <w:pPr>
        <w:jc w:val="both"/>
        <w:rPr>
          <w:rFonts w:ascii="Times New Roman" w:hAnsi="Times New Roman" w:cs="Times New Roman"/>
          <w:sz w:val="24"/>
          <w:szCs w:val="24"/>
        </w:rPr>
      </w:pPr>
    </w:p>
    <w:p w14:paraId="415A40A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 Time Warner Financial Profile, 1999</w:t>
      </w:r>
    </w:p>
    <w:p w14:paraId="3E6F6A16" w14:textId="21D31D82"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Time Warner represented one of the world's largest media conglomerates with diversified operations across cable television (second-largest operator), filmed entertainment (Warner Bros.), cable networks (HBO, CNN), music (Warner Music), and publishing (Time Inc. magazines).</w:t>
      </w:r>
    </w:p>
    <w:p w14:paraId="0E85BF0B" w14:textId="77777777" w:rsidR="00C406BB" w:rsidRDefault="00C406BB" w:rsidP="00C406BB">
      <w:pPr>
        <w:pStyle w:val="Heading2"/>
      </w:pPr>
      <w:bookmarkStart w:id="11" w:name="bm_1_3_strategic_rationale_and_sy_32ce02"/>
    </w:p>
    <w:p w14:paraId="5345ADE6" w14:textId="1AAA337B" w:rsidR="00521FEF" w:rsidRPr="00C406BB" w:rsidRDefault="00000000" w:rsidP="00C406BB">
      <w:pPr>
        <w:pStyle w:val="Heading2"/>
      </w:pPr>
      <w:bookmarkStart w:id="12" w:name="_Toc221361473"/>
      <w:r w:rsidRPr="00C406BB">
        <w:t>1.3 Strategic Rationale and Synergy Expectations</w:t>
      </w:r>
      <w:bookmarkEnd w:id="11"/>
      <w:bookmarkEnd w:id="12"/>
    </w:p>
    <w:p w14:paraId="332D3D9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Management articulated several strategic objectives supporting the combination:</w:t>
      </w:r>
    </w:p>
    <w:p w14:paraId="35916B24" w14:textId="77777777" w:rsidR="00C406BB" w:rsidRDefault="00000000" w:rsidP="00C406BB">
      <w:pPr>
        <w:spacing w:after="210"/>
        <w:jc w:val="both"/>
        <w:rPr>
          <w:rFonts w:ascii="Times New Roman" w:hAnsi="Times New Roman" w:cs="Times New Roman"/>
          <w:b/>
          <w:sz w:val="24"/>
          <w:szCs w:val="24"/>
        </w:rPr>
      </w:pPr>
      <w:r w:rsidRPr="00C406BB">
        <w:rPr>
          <w:rFonts w:ascii="Times New Roman" w:hAnsi="Times New Roman" w:cs="Times New Roman"/>
          <w:b/>
          <w:sz w:val="24"/>
          <w:szCs w:val="24"/>
        </w:rPr>
        <w:t>Convergence Thesis:</w:t>
      </w:r>
    </w:p>
    <w:p w14:paraId="69A01541" w14:textId="26C80C9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merger aimed to capitalize on anticipated convergence between internet technology and traditional media content. AOL provided digital distribution capabilities and direct consumer relationships, while Time Warner offered premium content, advertising relationships, and broadband infrastructure through cable systems.</w:t>
      </w:r>
    </w:p>
    <w:p w14:paraId="3D5C4B2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Projected Synergies:</w:t>
      </w:r>
    </w:p>
    <w:p w14:paraId="18BD2B7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Management projected combined revenue and cost synergies valued at $1-1.5 billion annually by year three, derived from:</w:t>
      </w:r>
    </w:p>
    <w:p w14:paraId="2C39EC9F" w14:textId="77777777" w:rsidR="00521FEF" w:rsidRPr="00C406BB" w:rsidRDefault="00000000" w:rsidP="00C406BB">
      <w:pPr>
        <w:numPr>
          <w:ilvl w:val="0"/>
          <w:numId w:val="5"/>
        </w:numPr>
        <w:jc w:val="both"/>
        <w:rPr>
          <w:rFonts w:ascii="Times New Roman" w:hAnsi="Times New Roman" w:cs="Times New Roman"/>
          <w:sz w:val="24"/>
          <w:szCs w:val="24"/>
        </w:rPr>
      </w:pPr>
      <w:r w:rsidRPr="00C406BB">
        <w:rPr>
          <w:rFonts w:ascii="Times New Roman" w:hAnsi="Times New Roman" w:cs="Times New Roman"/>
          <w:sz w:val="24"/>
          <w:szCs w:val="24"/>
        </w:rPr>
        <w:t>Cross-promotion of AOL service to Time Warner Cable's 13 million subscribers</w:t>
      </w:r>
    </w:p>
    <w:p w14:paraId="4537488F" w14:textId="77777777" w:rsidR="00521FEF" w:rsidRPr="00C406BB" w:rsidRDefault="00000000" w:rsidP="00C406BB">
      <w:pPr>
        <w:numPr>
          <w:ilvl w:val="0"/>
          <w:numId w:val="5"/>
        </w:numPr>
        <w:jc w:val="both"/>
        <w:rPr>
          <w:rFonts w:ascii="Times New Roman" w:hAnsi="Times New Roman" w:cs="Times New Roman"/>
          <w:sz w:val="24"/>
          <w:szCs w:val="24"/>
        </w:rPr>
      </w:pPr>
      <w:r w:rsidRPr="00C406BB">
        <w:rPr>
          <w:rFonts w:ascii="Times New Roman" w:hAnsi="Times New Roman" w:cs="Times New Roman"/>
          <w:sz w:val="24"/>
          <w:szCs w:val="24"/>
        </w:rPr>
        <w:t>Enhanced advertising sales leveraging combined reach and targeting capabilities</w:t>
      </w:r>
    </w:p>
    <w:p w14:paraId="74E763A6" w14:textId="77777777" w:rsidR="00521FEF" w:rsidRPr="00C406BB" w:rsidRDefault="00000000" w:rsidP="00C406BB">
      <w:pPr>
        <w:numPr>
          <w:ilvl w:val="0"/>
          <w:numId w:val="5"/>
        </w:numPr>
        <w:jc w:val="both"/>
        <w:rPr>
          <w:rFonts w:ascii="Times New Roman" w:hAnsi="Times New Roman" w:cs="Times New Roman"/>
          <w:sz w:val="24"/>
          <w:szCs w:val="24"/>
        </w:rPr>
      </w:pPr>
      <w:r w:rsidRPr="00C406BB">
        <w:rPr>
          <w:rFonts w:ascii="Times New Roman" w:hAnsi="Times New Roman" w:cs="Times New Roman"/>
          <w:sz w:val="24"/>
          <w:szCs w:val="24"/>
        </w:rPr>
        <w:t>Content distribution efficiencies utilizing AOL's digital platform</w:t>
      </w:r>
    </w:p>
    <w:p w14:paraId="6BE6BF01" w14:textId="77777777" w:rsidR="00521FEF" w:rsidRPr="00C406BB" w:rsidRDefault="00000000" w:rsidP="00C406BB">
      <w:pPr>
        <w:numPr>
          <w:ilvl w:val="0"/>
          <w:numId w:val="5"/>
        </w:numPr>
        <w:jc w:val="both"/>
        <w:rPr>
          <w:rFonts w:ascii="Times New Roman" w:hAnsi="Times New Roman" w:cs="Times New Roman"/>
          <w:sz w:val="24"/>
          <w:szCs w:val="24"/>
        </w:rPr>
      </w:pPr>
      <w:r w:rsidRPr="00C406BB">
        <w:rPr>
          <w:rFonts w:ascii="Times New Roman" w:hAnsi="Times New Roman" w:cs="Times New Roman"/>
          <w:sz w:val="24"/>
          <w:szCs w:val="24"/>
        </w:rPr>
        <w:t>Operational cost reductions from consolidated infrastructure</w:t>
      </w:r>
    </w:p>
    <w:p w14:paraId="0E3A7231" w14:textId="77777777" w:rsidR="00521FEF" w:rsidRPr="00C406BB" w:rsidRDefault="00000000" w:rsidP="00C406BB">
      <w:pPr>
        <w:numPr>
          <w:ilvl w:val="0"/>
          <w:numId w:val="5"/>
        </w:numPr>
        <w:jc w:val="both"/>
        <w:rPr>
          <w:rFonts w:ascii="Times New Roman" w:hAnsi="Times New Roman" w:cs="Times New Roman"/>
          <w:sz w:val="24"/>
          <w:szCs w:val="24"/>
        </w:rPr>
      </w:pPr>
      <w:r w:rsidRPr="00C406BB">
        <w:rPr>
          <w:rFonts w:ascii="Times New Roman" w:hAnsi="Times New Roman" w:cs="Times New Roman"/>
          <w:sz w:val="24"/>
          <w:szCs w:val="24"/>
        </w:rPr>
        <w:t>Negotiating leverage with suppliers and distributors</w:t>
      </w:r>
    </w:p>
    <w:p w14:paraId="4536A63E" w14:textId="77777777" w:rsidR="00C406BB" w:rsidRDefault="00C406BB" w:rsidP="00C406BB">
      <w:pPr>
        <w:spacing w:after="210"/>
        <w:jc w:val="both"/>
        <w:rPr>
          <w:rFonts w:ascii="Times New Roman" w:hAnsi="Times New Roman" w:cs="Times New Roman"/>
          <w:b/>
          <w:sz w:val="24"/>
          <w:szCs w:val="24"/>
        </w:rPr>
      </w:pPr>
    </w:p>
    <w:p w14:paraId="450E35CE" w14:textId="77777777" w:rsidR="00C406BB" w:rsidRDefault="00C406BB" w:rsidP="00C406BB">
      <w:pPr>
        <w:spacing w:after="210"/>
        <w:jc w:val="both"/>
        <w:rPr>
          <w:rFonts w:ascii="Times New Roman" w:hAnsi="Times New Roman" w:cs="Times New Roman"/>
          <w:b/>
          <w:sz w:val="24"/>
          <w:szCs w:val="24"/>
        </w:rPr>
      </w:pPr>
    </w:p>
    <w:p w14:paraId="733B79C5" w14:textId="5C946C5E"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Growth Projections:</w:t>
      </w:r>
    </w:p>
    <w:p w14:paraId="4BBB6EB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combined company established aggressive financial targets:</w:t>
      </w:r>
    </w:p>
    <w:p w14:paraId="7092DE0F" w14:textId="77777777" w:rsidR="00521FEF" w:rsidRPr="00C406BB" w:rsidRDefault="00000000" w:rsidP="00C406BB">
      <w:pPr>
        <w:numPr>
          <w:ilvl w:val="0"/>
          <w:numId w:val="6"/>
        </w:numPr>
        <w:jc w:val="both"/>
        <w:rPr>
          <w:rFonts w:ascii="Times New Roman" w:hAnsi="Times New Roman" w:cs="Times New Roman"/>
          <w:sz w:val="24"/>
          <w:szCs w:val="24"/>
        </w:rPr>
      </w:pPr>
      <w:r w:rsidRPr="00C406BB">
        <w:rPr>
          <w:rFonts w:ascii="Times New Roman" w:hAnsi="Times New Roman" w:cs="Times New Roman"/>
          <w:sz w:val="24"/>
          <w:szCs w:val="24"/>
        </w:rPr>
        <w:t>Revenue growth: 12-15% annually</w:t>
      </w:r>
    </w:p>
    <w:p w14:paraId="4D5DCA27" w14:textId="77777777" w:rsidR="00521FEF" w:rsidRPr="00C406BB" w:rsidRDefault="00000000" w:rsidP="00C406BB">
      <w:pPr>
        <w:numPr>
          <w:ilvl w:val="0"/>
          <w:numId w:val="6"/>
        </w:numPr>
        <w:jc w:val="both"/>
        <w:rPr>
          <w:rFonts w:ascii="Times New Roman" w:hAnsi="Times New Roman" w:cs="Times New Roman"/>
          <w:sz w:val="24"/>
          <w:szCs w:val="24"/>
        </w:rPr>
      </w:pPr>
      <w:r w:rsidRPr="00C406BB">
        <w:rPr>
          <w:rFonts w:ascii="Times New Roman" w:hAnsi="Times New Roman" w:cs="Times New Roman"/>
          <w:sz w:val="24"/>
          <w:szCs w:val="24"/>
        </w:rPr>
        <w:t>EBITDA growth: 25% annually</w:t>
      </w:r>
    </w:p>
    <w:p w14:paraId="222118CE" w14:textId="77777777" w:rsidR="00521FEF" w:rsidRPr="00C406BB" w:rsidRDefault="00000000" w:rsidP="00C406BB">
      <w:pPr>
        <w:numPr>
          <w:ilvl w:val="0"/>
          <w:numId w:val="6"/>
        </w:numPr>
        <w:jc w:val="both"/>
        <w:rPr>
          <w:rFonts w:ascii="Times New Roman" w:hAnsi="Times New Roman" w:cs="Times New Roman"/>
          <w:sz w:val="24"/>
          <w:szCs w:val="24"/>
        </w:rPr>
      </w:pPr>
      <w:r w:rsidRPr="00C406BB">
        <w:rPr>
          <w:rFonts w:ascii="Times New Roman" w:hAnsi="Times New Roman" w:cs="Times New Roman"/>
          <w:sz w:val="24"/>
          <w:szCs w:val="24"/>
        </w:rPr>
        <w:t>Free cash flow growth: 50% annually</w:t>
      </w:r>
    </w:p>
    <w:p w14:paraId="6AC15A1F" w14:textId="14151C40"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These projections implied the merged entity would achieve $40 billion in revenue and $11 billion in EBITDA by 2001</w:t>
      </w:r>
      <w:r w:rsidR="00C406BB">
        <w:rPr>
          <w:rFonts w:ascii="Times New Roman" w:hAnsi="Times New Roman" w:cs="Times New Roman"/>
          <w:sz w:val="24"/>
          <w:szCs w:val="24"/>
        </w:rPr>
        <w:t>.</w:t>
      </w:r>
    </w:p>
    <w:p w14:paraId="6ED5FCA4" w14:textId="77777777" w:rsidR="00C406BB" w:rsidRDefault="00C406BB" w:rsidP="00C406BB">
      <w:pPr>
        <w:pStyle w:val="Heading2"/>
      </w:pPr>
      <w:bookmarkStart w:id="13" w:name="bm_1_4_market_reaction_and_valuat_6f1bf9"/>
    </w:p>
    <w:p w14:paraId="16AB3573" w14:textId="63988FEA" w:rsidR="00521FEF" w:rsidRPr="00C406BB" w:rsidRDefault="00000000" w:rsidP="00C406BB">
      <w:pPr>
        <w:pStyle w:val="Heading2"/>
      </w:pPr>
      <w:bookmarkStart w:id="14" w:name="_Toc221361474"/>
      <w:r w:rsidRPr="00C406BB">
        <w:t>1.4 Market Reaction and Valuation Concerns</w:t>
      </w:r>
      <w:bookmarkEnd w:id="13"/>
      <w:bookmarkEnd w:id="14"/>
    </w:p>
    <w:p w14:paraId="412E3C9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Following the January 10 announcement, AOL's stock price experienced significant volatility:</w:t>
      </w:r>
    </w:p>
    <w:tbl>
      <w:tblPr>
        <w:tblStyle w:val="NormalGrid"/>
        <w:tblW w:w="0" w:type="auto"/>
        <w:jc w:val="center"/>
        <w:tblCellSpacing w:w="0" w:type="dxa"/>
        <w:tblLook w:val="04A0" w:firstRow="1" w:lastRow="0" w:firstColumn="1" w:lastColumn="0" w:noHBand="0" w:noVBand="1"/>
      </w:tblPr>
      <w:tblGrid>
        <w:gridCol w:w="3073"/>
        <w:gridCol w:w="1994"/>
        <w:gridCol w:w="2153"/>
      </w:tblGrid>
      <w:tr w:rsidR="00521FEF" w:rsidRPr="00C406BB" w14:paraId="72BEAAB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5D849F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Date</w:t>
            </w:r>
          </w:p>
        </w:tc>
        <w:tc>
          <w:tcPr>
            <w:tcW w:w="0" w:type="auto"/>
            <w:tcBorders>
              <w:top w:val="single" w:sz="8" w:space="0" w:color="000000"/>
              <w:bottom w:val="single" w:sz="8" w:space="0" w:color="000000"/>
              <w:right w:val="single" w:sz="8" w:space="0" w:color="000000"/>
            </w:tcBorders>
            <w:vAlign w:val="center"/>
          </w:tcPr>
          <w:p w14:paraId="7599ACD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Stock Price</w:t>
            </w:r>
          </w:p>
        </w:tc>
        <w:tc>
          <w:tcPr>
            <w:tcW w:w="0" w:type="auto"/>
            <w:tcBorders>
              <w:top w:val="single" w:sz="8" w:space="0" w:color="000000"/>
              <w:bottom w:val="single" w:sz="8" w:space="0" w:color="000000"/>
              <w:right w:val="single" w:sz="8" w:space="0" w:color="000000"/>
            </w:tcBorders>
            <w:vAlign w:val="center"/>
          </w:tcPr>
          <w:p w14:paraId="2389A65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Implied TW Value</w:t>
            </w:r>
          </w:p>
        </w:tc>
      </w:tr>
      <w:tr w:rsidR="00521FEF" w:rsidRPr="00C406BB" w14:paraId="44E7E950" w14:textId="77777777">
        <w:trPr>
          <w:cantSplit/>
          <w:tblCellSpacing w:w="0" w:type="dxa"/>
          <w:jc w:val="center"/>
        </w:trPr>
        <w:tc>
          <w:tcPr>
            <w:tcW w:w="0" w:type="auto"/>
            <w:tcBorders>
              <w:left w:val="single" w:sz="8" w:space="0" w:color="000000"/>
              <w:right w:val="single" w:sz="8" w:space="0" w:color="000000"/>
            </w:tcBorders>
            <w:vAlign w:val="center"/>
          </w:tcPr>
          <w:p w14:paraId="17A85C9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Pre-announcement (Jan 7)</w:t>
            </w:r>
          </w:p>
        </w:tc>
        <w:tc>
          <w:tcPr>
            <w:tcW w:w="0" w:type="auto"/>
            <w:tcBorders>
              <w:right w:val="single" w:sz="8" w:space="0" w:color="000000"/>
            </w:tcBorders>
            <w:vAlign w:val="center"/>
          </w:tcPr>
          <w:p w14:paraId="30F5D1F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$73.00</w:t>
            </w:r>
          </w:p>
        </w:tc>
        <w:tc>
          <w:tcPr>
            <w:tcW w:w="0" w:type="auto"/>
            <w:tcBorders>
              <w:right w:val="single" w:sz="8" w:space="0" w:color="000000"/>
            </w:tcBorders>
            <w:vAlign w:val="center"/>
          </w:tcPr>
          <w:p w14:paraId="6184F64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$109.50</w:t>
            </w:r>
          </w:p>
        </w:tc>
      </w:tr>
      <w:tr w:rsidR="00521FEF" w:rsidRPr="00C406BB" w14:paraId="4C2D14A0" w14:textId="77777777">
        <w:trPr>
          <w:cantSplit/>
          <w:tblCellSpacing w:w="0" w:type="dxa"/>
          <w:jc w:val="center"/>
        </w:trPr>
        <w:tc>
          <w:tcPr>
            <w:tcW w:w="0" w:type="auto"/>
            <w:tcBorders>
              <w:left w:val="single" w:sz="8" w:space="0" w:color="000000"/>
              <w:right w:val="single" w:sz="8" w:space="0" w:color="000000"/>
            </w:tcBorders>
            <w:vAlign w:val="center"/>
          </w:tcPr>
          <w:p w14:paraId="0FEE89C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Announcement day (Jan 10)</w:t>
            </w:r>
          </w:p>
        </w:tc>
        <w:tc>
          <w:tcPr>
            <w:tcW w:w="0" w:type="auto"/>
            <w:tcBorders>
              <w:right w:val="single" w:sz="8" w:space="0" w:color="000000"/>
            </w:tcBorders>
            <w:vAlign w:val="center"/>
          </w:tcPr>
          <w:p w14:paraId="4D27E6A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$71.25</w:t>
            </w:r>
          </w:p>
        </w:tc>
        <w:tc>
          <w:tcPr>
            <w:tcW w:w="0" w:type="auto"/>
            <w:tcBorders>
              <w:right w:val="single" w:sz="8" w:space="0" w:color="000000"/>
            </w:tcBorders>
            <w:vAlign w:val="center"/>
          </w:tcPr>
          <w:p w14:paraId="0EC8E60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$106.88</w:t>
            </w:r>
          </w:p>
        </w:tc>
      </w:tr>
      <w:tr w:rsidR="00521FEF" w:rsidRPr="00C406BB" w14:paraId="71937712" w14:textId="77777777">
        <w:trPr>
          <w:cantSplit/>
          <w:tblCellSpacing w:w="0" w:type="dxa"/>
          <w:jc w:val="center"/>
        </w:trPr>
        <w:tc>
          <w:tcPr>
            <w:tcW w:w="0" w:type="auto"/>
            <w:tcBorders>
              <w:left w:val="single" w:sz="8" w:space="0" w:color="000000"/>
              <w:right w:val="single" w:sz="8" w:space="0" w:color="000000"/>
            </w:tcBorders>
            <w:vAlign w:val="center"/>
          </w:tcPr>
          <w:p w14:paraId="787D0A8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One week post (Jan 17)</w:t>
            </w:r>
          </w:p>
        </w:tc>
        <w:tc>
          <w:tcPr>
            <w:tcW w:w="0" w:type="auto"/>
            <w:tcBorders>
              <w:right w:val="single" w:sz="8" w:space="0" w:color="000000"/>
            </w:tcBorders>
            <w:vAlign w:val="center"/>
          </w:tcPr>
          <w:p w14:paraId="700AA78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$64.50</w:t>
            </w:r>
          </w:p>
        </w:tc>
        <w:tc>
          <w:tcPr>
            <w:tcW w:w="0" w:type="auto"/>
            <w:tcBorders>
              <w:right w:val="single" w:sz="8" w:space="0" w:color="000000"/>
            </w:tcBorders>
            <w:vAlign w:val="center"/>
          </w:tcPr>
          <w:p w14:paraId="63CAAE7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$96.75</w:t>
            </w:r>
          </w:p>
        </w:tc>
      </w:tr>
      <w:tr w:rsidR="00521FEF" w:rsidRPr="00C406BB" w14:paraId="34298EB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4BF31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February 2, 2000</w:t>
            </w:r>
          </w:p>
        </w:tc>
        <w:tc>
          <w:tcPr>
            <w:tcW w:w="0" w:type="auto"/>
            <w:tcBorders>
              <w:bottom w:val="single" w:sz="8" w:space="0" w:color="000000"/>
              <w:right w:val="single" w:sz="8" w:space="0" w:color="000000"/>
            </w:tcBorders>
            <w:vAlign w:val="center"/>
          </w:tcPr>
          <w:p w14:paraId="19B87A8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$57.00</w:t>
            </w:r>
          </w:p>
        </w:tc>
        <w:tc>
          <w:tcPr>
            <w:tcW w:w="0" w:type="auto"/>
            <w:tcBorders>
              <w:bottom w:val="single" w:sz="8" w:space="0" w:color="000000"/>
              <w:right w:val="single" w:sz="8" w:space="0" w:color="000000"/>
            </w:tcBorders>
            <w:vAlign w:val="center"/>
          </w:tcPr>
          <w:p w14:paraId="5540DB4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$85.50</w:t>
            </w:r>
          </w:p>
        </w:tc>
      </w:tr>
    </w:tbl>
    <w:p w14:paraId="39549404" w14:textId="77777777" w:rsidR="00521FEF" w:rsidRPr="00C406BB" w:rsidRDefault="00521FEF" w:rsidP="00C406BB">
      <w:pPr>
        <w:jc w:val="both"/>
        <w:rPr>
          <w:rFonts w:ascii="Times New Roman" w:hAnsi="Times New Roman" w:cs="Times New Roman"/>
          <w:sz w:val="24"/>
          <w:szCs w:val="24"/>
        </w:rPr>
      </w:pPr>
    </w:p>
    <w:p w14:paraId="7CBF244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3: AOL Stock Price Decline Post-Announcement</w:t>
      </w:r>
    </w:p>
    <w:p w14:paraId="4BDEEAC4" w14:textId="7FFE5936"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22% decline in AOL shares within three weeks of announcement reduced the effective premium paid to Time Warner shareholders from 71% to approximately 32%, raising questions about deal sustainability and fair value.</w:t>
      </w:r>
    </w:p>
    <w:p w14:paraId="41E14588" w14:textId="7B7A5A34" w:rsidR="00521FEF" w:rsidRPr="00C406BB" w:rsidRDefault="00521FEF" w:rsidP="00C406BB">
      <w:pPr>
        <w:jc w:val="both"/>
        <w:rPr>
          <w:rFonts w:ascii="Times New Roman" w:hAnsi="Times New Roman" w:cs="Times New Roman"/>
          <w:sz w:val="24"/>
          <w:szCs w:val="24"/>
        </w:rPr>
      </w:pPr>
    </w:p>
    <w:p w14:paraId="26682B9F" w14:textId="77777777" w:rsidR="00C406BB" w:rsidRDefault="00C406BB">
      <w:pPr>
        <w:rPr>
          <w:rFonts w:ascii="Times New Roman" w:hAnsi="Times New Roman" w:cs="Times New Roman"/>
          <w:b/>
          <w:sz w:val="24"/>
          <w:szCs w:val="24"/>
        </w:rPr>
      </w:pPr>
      <w:bookmarkStart w:id="15" w:name="bm_2_purchase_vs_pooling_accounti_b10fe4"/>
      <w:r>
        <w:rPr>
          <w:rFonts w:ascii="Times New Roman" w:hAnsi="Times New Roman" w:cs="Times New Roman"/>
          <w:b/>
          <w:sz w:val="24"/>
          <w:szCs w:val="24"/>
        </w:rPr>
        <w:br w:type="page"/>
      </w:r>
    </w:p>
    <w:p w14:paraId="7A35548F" w14:textId="6E67FD2A" w:rsidR="00521FEF" w:rsidRPr="00C406BB" w:rsidRDefault="00000000" w:rsidP="00C406BB">
      <w:pPr>
        <w:pStyle w:val="Heading1"/>
      </w:pPr>
      <w:bookmarkStart w:id="16" w:name="_Toc221361475"/>
      <w:r w:rsidRPr="00C406BB">
        <w:lastRenderedPageBreak/>
        <w:t>2. Purchase vs. Pooling Accounting Analysis</w:t>
      </w:r>
      <w:bookmarkEnd w:id="15"/>
      <w:bookmarkEnd w:id="16"/>
    </w:p>
    <w:p w14:paraId="614873F3" w14:textId="77777777" w:rsidR="00C406BB" w:rsidRDefault="00C406BB" w:rsidP="00C406BB">
      <w:pPr>
        <w:pStyle w:val="Heading2"/>
      </w:pPr>
      <w:bookmarkStart w:id="17" w:name="bm_2_1_accounting_method_overview"/>
    </w:p>
    <w:p w14:paraId="6AF9F033" w14:textId="156510F6" w:rsidR="00521FEF" w:rsidRPr="00C406BB" w:rsidRDefault="00000000" w:rsidP="00C406BB">
      <w:pPr>
        <w:pStyle w:val="Heading2"/>
      </w:pPr>
      <w:bookmarkStart w:id="18" w:name="_Toc221361476"/>
      <w:r w:rsidRPr="00C406BB">
        <w:t>2.1 Accounting Method Overview</w:t>
      </w:r>
      <w:bookmarkEnd w:id="17"/>
      <w:bookmarkEnd w:id="18"/>
    </w:p>
    <w:p w14:paraId="1180D748" w14:textId="11A4594A"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Under U.S. GAAP effective in 2000, business combinations could be accounted for using either the </w:t>
      </w:r>
      <w:r w:rsidRPr="00C406BB">
        <w:rPr>
          <w:rFonts w:ascii="Times New Roman" w:hAnsi="Times New Roman" w:cs="Times New Roman"/>
          <w:b/>
          <w:sz w:val="24"/>
          <w:szCs w:val="24"/>
        </w:rPr>
        <w:t>purchase method</w:t>
      </w:r>
      <w:r w:rsidRPr="00C406BB">
        <w:rPr>
          <w:rFonts w:ascii="Times New Roman" w:hAnsi="Times New Roman" w:cs="Times New Roman"/>
          <w:sz w:val="24"/>
          <w:szCs w:val="24"/>
        </w:rPr>
        <w:t xml:space="preserve"> or </w:t>
      </w:r>
      <w:r w:rsidRPr="00C406BB">
        <w:rPr>
          <w:rFonts w:ascii="Times New Roman" w:hAnsi="Times New Roman" w:cs="Times New Roman"/>
          <w:b/>
          <w:sz w:val="24"/>
          <w:szCs w:val="24"/>
        </w:rPr>
        <w:t>pooling-of-interests method</w:t>
      </w:r>
      <w:r w:rsidRPr="00C406BB">
        <w:rPr>
          <w:rFonts w:ascii="Times New Roman" w:hAnsi="Times New Roman" w:cs="Times New Roman"/>
          <w:sz w:val="24"/>
          <w:szCs w:val="24"/>
        </w:rPr>
        <w:t>, governed by Accounting Principles Board Opinion No. 16 (APB 16).</w:t>
      </w:r>
    </w:p>
    <w:p w14:paraId="16CF974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Purchase Method Characteristics:</w:t>
      </w:r>
    </w:p>
    <w:p w14:paraId="34EB92DA" w14:textId="77777777" w:rsidR="00521FEF" w:rsidRPr="00C406BB" w:rsidRDefault="00000000" w:rsidP="00C406BB">
      <w:pPr>
        <w:numPr>
          <w:ilvl w:val="0"/>
          <w:numId w:val="7"/>
        </w:numPr>
        <w:jc w:val="both"/>
        <w:rPr>
          <w:rFonts w:ascii="Times New Roman" w:hAnsi="Times New Roman" w:cs="Times New Roman"/>
          <w:sz w:val="24"/>
          <w:szCs w:val="24"/>
        </w:rPr>
      </w:pPr>
      <w:r w:rsidRPr="00C406BB">
        <w:rPr>
          <w:rFonts w:ascii="Times New Roman" w:hAnsi="Times New Roman" w:cs="Times New Roman"/>
          <w:sz w:val="24"/>
          <w:szCs w:val="24"/>
        </w:rPr>
        <w:t>Acquired company's assets and liabilities recorded at fair market value</w:t>
      </w:r>
    </w:p>
    <w:p w14:paraId="4C6D8C09" w14:textId="77777777" w:rsidR="00521FEF" w:rsidRPr="00C406BB" w:rsidRDefault="00000000" w:rsidP="00C406BB">
      <w:pPr>
        <w:numPr>
          <w:ilvl w:val="0"/>
          <w:numId w:val="7"/>
        </w:numPr>
        <w:jc w:val="both"/>
        <w:rPr>
          <w:rFonts w:ascii="Times New Roman" w:hAnsi="Times New Roman" w:cs="Times New Roman"/>
          <w:sz w:val="24"/>
          <w:szCs w:val="24"/>
        </w:rPr>
      </w:pPr>
      <w:r w:rsidRPr="00C406BB">
        <w:rPr>
          <w:rFonts w:ascii="Times New Roman" w:hAnsi="Times New Roman" w:cs="Times New Roman"/>
          <w:sz w:val="24"/>
          <w:szCs w:val="24"/>
        </w:rPr>
        <w:t>Purchase price exceeding fair value of net assets creates goodwill</w:t>
      </w:r>
    </w:p>
    <w:p w14:paraId="21A2231E" w14:textId="77777777" w:rsidR="00521FEF" w:rsidRPr="00C406BB" w:rsidRDefault="00000000" w:rsidP="00C406BB">
      <w:pPr>
        <w:numPr>
          <w:ilvl w:val="0"/>
          <w:numId w:val="7"/>
        </w:numPr>
        <w:jc w:val="both"/>
        <w:rPr>
          <w:rFonts w:ascii="Times New Roman" w:hAnsi="Times New Roman" w:cs="Times New Roman"/>
          <w:sz w:val="24"/>
          <w:szCs w:val="24"/>
        </w:rPr>
      </w:pPr>
      <w:r w:rsidRPr="00C406BB">
        <w:rPr>
          <w:rFonts w:ascii="Times New Roman" w:hAnsi="Times New Roman" w:cs="Times New Roman"/>
          <w:sz w:val="24"/>
          <w:szCs w:val="24"/>
        </w:rPr>
        <w:t>Goodwill amortized over periods not exceeding 40 years (pre-SFAS 142)</w:t>
      </w:r>
    </w:p>
    <w:p w14:paraId="6429F450" w14:textId="77777777" w:rsidR="00521FEF" w:rsidRPr="00C406BB" w:rsidRDefault="00000000" w:rsidP="00C406BB">
      <w:pPr>
        <w:numPr>
          <w:ilvl w:val="0"/>
          <w:numId w:val="7"/>
        </w:numPr>
        <w:jc w:val="both"/>
        <w:rPr>
          <w:rFonts w:ascii="Times New Roman" w:hAnsi="Times New Roman" w:cs="Times New Roman"/>
          <w:sz w:val="24"/>
          <w:szCs w:val="24"/>
        </w:rPr>
      </w:pPr>
      <w:r w:rsidRPr="00C406BB">
        <w:rPr>
          <w:rFonts w:ascii="Times New Roman" w:hAnsi="Times New Roman" w:cs="Times New Roman"/>
          <w:sz w:val="24"/>
          <w:szCs w:val="24"/>
        </w:rPr>
        <w:t>Acquirer's historical basis maintained; target's basis stepped up</w:t>
      </w:r>
    </w:p>
    <w:p w14:paraId="388E86AB" w14:textId="77777777" w:rsidR="00521FEF" w:rsidRPr="00C406BB" w:rsidRDefault="00000000" w:rsidP="00C406BB">
      <w:pPr>
        <w:numPr>
          <w:ilvl w:val="0"/>
          <w:numId w:val="7"/>
        </w:numPr>
        <w:jc w:val="both"/>
        <w:rPr>
          <w:rFonts w:ascii="Times New Roman" w:hAnsi="Times New Roman" w:cs="Times New Roman"/>
          <w:sz w:val="24"/>
          <w:szCs w:val="24"/>
        </w:rPr>
      </w:pPr>
      <w:r w:rsidRPr="00C406BB">
        <w:rPr>
          <w:rFonts w:ascii="Times New Roman" w:hAnsi="Times New Roman" w:cs="Times New Roman"/>
          <w:sz w:val="24"/>
          <w:szCs w:val="24"/>
        </w:rPr>
        <w:t>Post-merger income statement reflects only post-acquisition results of acquired entity</w:t>
      </w:r>
    </w:p>
    <w:p w14:paraId="4ED10D4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Pooling-of-Interests Characteristics:</w:t>
      </w:r>
    </w:p>
    <w:p w14:paraId="44F78814" w14:textId="77777777" w:rsidR="00521FEF" w:rsidRPr="00C406BB" w:rsidRDefault="00000000" w:rsidP="00C406BB">
      <w:pPr>
        <w:numPr>
          <w:ilvl w:val="0"/>
          <w:numId w:val="8"/>
        </w:numPr>
        <w:jc w:val="both"/>
        <w:rPr>
          <w:rFonts w:ascii="Times New Roman" w:hAnsi="Times New Roman" w:cs="Times New Roman"/>
          <w:sz w:val="24"/>
          <w:szCs w:val="24"/>
        </w:rPr>
      </w:pPr>
      <w:r w:rsidRPr="00C406BB">
        <w:rPr>
          <w:rFonts w:ascii="Times New Roman" w:hAnsi="Times New Roman" w:cs="Times New Roman"/>
          <w:sz w:val="24"/>
          <w:szCs w:val="24"/>
        </w:rPr>
        <w:t>Combined firm's assets and liabilities carried at historical book values</w:t>
      </w:r>
    </w:p>
    <w:p w14:paraId="672C49F2" w14:textId="3C1DB39A" w:rsidR="00521FEF" w:rsidRPr="00C406BB" w:rsidRDefault="00000000" w:rsidP="00C406BB">
      <w:pPr>
        <w:numPr>
          <w:ilvl w:val="0"/>
          <w:numId w:val="8"/>
        </w:numPr>
        <w:jc w:val="both"/>
        <w:rPr>
          <w:rFonts w:ascii="Times New Roman" w:hAnsi="Times New Roman" w:cs="Times New Roman"/>
          <w:sz w:val="24"/>
          <w:szCs w:val="24"/>
        </w:rPr>
      </w:pPr>
      <w:r w:rsidRPr="00C406BB">
        <w:rPr>
          <w:rFonts w:ascii="Times New Roman" w:hAnsi="Times New Roman" w:cs="Times New Roman"/>
          <w:sz w:val="24"/>
          <w:szCs w:val="24"/>
        </w:rPr>
        <w:t xml:space="preserve">No goodwill </w:t>
      </w:r>
      <w:r w:rsidR="00C406BB" w:rsidRPr="00C406BB">
        <w:rPr>
          <w:rFonts w:ascii="Times New Roman" w:hAnsi="Times New Roman" w:cs="Times New Roman"/>
          <w:sz w:val="24"/>
          <w:szCs w:val="24"/>
        </w:rPr>
        <w:t>created,</w:t>
      </w:r>
      <w:r w:rsidRPr="00C406BB">
        <w:rPr>
          <w:rFonts w:ascii="Times New Roman" w:hAnsi="Times New Roman" w:cs="Times New Roman"/>
          <w:sz w:val="24"/>
          <w:szCs w:val="24"/>
        </w:rPr>
        <w:t xml:space="preserve"> no fair value adjustments</w:t>
      </w:r>
    </w:p>
    <w:p w14:paraId="291DAB39" w14:textId="77777777" w:rsidR="00521FEF" w:rsidRPr="00C406BB" w:rsidRDefault="00000000" w:rsidP="00C406BB">
      <w:pPr>
        <w:numPr>
          <w:ilvl w:val="0"/>
          <w:numId w:val="8"/>
        </w:numPr>
        <w:jc w:val="both"/>
        <w:rPr>
          <w:rFonts w:ascii="Times New Roman" w:hAnsi="Times New Roman" w:cs="Times New Roman"/>
          <w:sz w:val="24"/>
          <w:szCs w:val="24"/>
        </w:rPr>
      </w:pPr>
      <w:r w:rsidRPr="00C406BB">
        <w:rPr>
          <w:rFonts w:ascii="Times New Roman" w:hAnsi="Times New Roman" w:cs="Times New Roman"/>
          <w:sz w:val="24"/>
          <w:szCs w:val="24"/>
        </w:rPr>
        <w:t>No amortization of goodwill required</w:t>
      </w:r>
    </w:p>
    <w:p w14:paraId="723E692B" w14:textId="77777777" w:rsidR="00521FEF" w:rsidRPr="00C406BB" w:rsidRDefault="00000000" w:rsidP="00C406BB">
      <w:pPr>
        <w:numPr>
          <w:ilvl w:val="0"/>
          <w:numId w:val="8"/>
        </w:numPr>
        <w:jc w:val="both"/>
        <w:rPr>
          <w:rFonts w:ascii="Times New Roman" w:hAnsi="Times New Roman" w:cs="Times New Roman"/>
          <w:sz w:val="24"/>
          <w:szCs w:val="24"/>
        </w:rPr>
      </w:pPr>
      <w:r w:rsidRPr="00C406BB">
        <w:rPr>
          <w:rFonts w:ascii="Times New Roman" w:hAnsi="Times New Roman" w:cs="Times New Roman"/>
          <w:sz w:val="24"/>
          <w:szCs w:val="24"/>
        </w:rPr>
        <w:t>Retroactive restatement of prior periods as if companies always combined</w:t>
      </w:r>
    </w:p>
    <w:p w14:paraId="5F55910D" w14:textId="77777777" w:rsidR="00521FEF" w:rsidRPr="00C406BB" w:rsidRDefault="00000000" w:rsidP="00C406BB">
      <w:pPr>
        <w:numPr>
          <w:ilvl w:val="0"/>
          <w:numId w:val="8"/>
        </w:numPr>
        <w:jc w:val="both"/>
        <w:rPr>
          <w:rFonts w:ascii="Times New Roman" w:hAnsi="Times New Roman" w:cs="Times New Roman"/>
          <w:sz w:val="24"/>
          <w:szCs w:val="24"/>
        </w:rPr>
      </w:pPr>
      <w:r w:rsidRPr="00C406BB">
        <w:rPr>
          <w:rFonts w:ascii="Times New Roman" w:hAnsi="Times New Roman" w:cs="Times New Roman"/>
          <w:sz w:val="24"/>
          <w:szCs w:val="24"/>
        </w:rPr>
        <w:t>Higher reported earnings due to absence of goodwill amortization</w:t>
      </w:r>
    </w:p>
    <w:p w14:paraId="2DEDE656" w14:textId="77777777" w:rsidR="00C406BB" w:rsidRDefault="00C406BB" w:rsidP="00C406BB">
      <w:pPr>
        <w:pStyle w:val="Heading2"/>
      </w:pPr>
      <w:bookmarkStart w:id="19" w:name="bm_2_2_pooling_eligibility_requirements"/>
    </w:p>
    <w:p w14:paraId="78738895" w14:textId="77777777" w:rsidR="00C406BB" w:rsidRDefault="00C406BB" w:rsidP="00C406BB">
      <w:pPr>
        <w:pStyle w:val="Heading2"/>
      </w:pPr>
    </w:p>
    <w:p w14:paraId="70AA9848" w14:textId="33950F2A" w:rsidR="00521FEF" w:rsidRPr="00C406BB" w:rsidRDefault="00000000" w:rsidP="00C406BB">
      <w:pPr>
        <w:pStyle w:val="Heading2"/>
      </w:pPr>
      <w:bookmarkStart w:id="20" w:name="_Toc221361477"/>
      <w:r w:rsidRPr="00C406BB">
        <w:t>2.2 Pooling Eligibility Requirements</w:t>
      </w:r>
      <w:bookmarkEnd w:id="19"/>
      <w:bookmarkEnd w:id="20"/>
    </w:p>
    <w:p w14:paraId="5BA0E5F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APB 16 established twelve specific criteria that must ALL be met for pooling treatment. Key requirements included:</w:t>
      </w:r>
    </w:p>
    <w:p w14:paraId="46A2E61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Ownership and Structure Requirements:</w:t>
      </w:r>
    </w:p>
    <w:p w14:paraId="72628E8B" w14:textId="77777777" w:rsidR="00521FEF" w:rsidRPr="00C406BB" w:rsidRDefault="00000000" w:rsidP="00C406BB">
      <w:pPr>
        <w:numPr>
          <w:ilvl w:val="0"/>
          <w:numId w:val="9"/>
        </w:numPr>
        <w:jc w:val="both"/>
        <w:rPr>
          <w:rFonts w:ascii="Times New Roman" w:hAnsi="Times New Roman" w:cs="Times New Roman"/>
          <w:sz w:val="24"/>
          <w:szCs w:val="24"/>
        </w:rPr>
      </w:pPr>
      <w:r w:rsidRPr="00C406BB">
        <w:rPr>
          <w:rFonts w:ascii="Times New Roman" w:hAnsi="Times New Roman" w:cs="Times New Roman"/>
          <w:sz w:val="24"/>
          <w:szCs w:val="24"/>
        </w:rPr>
        <w:t>Each combining company must be autonomous (not subsidiary of another)</w:t>
      </w:r>
    </w:p>
    <w:p w14:paraId="4A036A8C" w14:textId="77777777" w:rsidR="00521FEF" w:rsidRPr="00C406BB" w:rsidRDefault="00000000" w:rsidP="00C406BB">
      <w:pPr>
        <w:numPr>
          <w:ilvl w:val="0"/>
          <w:numId w:val="9"/>
        </w:numPr>
        <w:jc w:val="both"/>
        <w:rPr>
          <w:rFonts w:ascii="Times New Roman" w:hAnsi="Times New Roman" w:cs="Times New Roman"/>
          <w:sz w:val="24"/>
          <w:szCs w:val="24"/>
        </w:rPr>
      </w:pPr>
      <w:r w:rsidRPr="00C406BB">
        <w:rPr>
          <w:rFonts w:ascii="Times New Roman" w:hAnsi="Times New Roman" w:cs="Times New Roman"/>
          <w:sz w:val="24"/>
          <w:szCs w:val="24"/>
        </w:rPr>
        <w:t>Each must be independent of other combining companies for two years pre-merger</w:t>
      </w:r>
    </w:p>
    <w:p w14:paraId="001B6709" w14:textId="77777777" w:rsidR="00521FEF" w:rsidRPr="00C406BB" w:rsidRDefault="00000000" w:rsidP="00C406BB">
      <w:pPr>
        <w:numPr>
          <w:ilvl w:val="0"/>
          <w:numId w:val="9"/>
        </w:numPr>
        <w:jc w:val="both"/>
        <w:rPr>
          <w:rFonts w:ascii="Times New Roman" w:hAnsi="Times New Roman" w:cs="Times New Roman"/>
          <w:sz w:val="24"/>
          <w:szCs w:val="24"/>
        </w:rPr>
      </w:pPr>
      <w:r w:rsidRPr="00C406BB">
        <w:rPr>
          <w:rFonts w:ascii="Times New Roman" w:hAnsi="Times New Roman" w:cs="Times New Roman"/>
          <w:sz w:val="24"/>
          <w:szCs w:val="24"/>
        </w:rPr>
        <w:t>Combination effected in single transaction or within one year per plan</w:t>
      </w:r>
    </w:p>
    <w:p w14:paraId="364C8682" w14:textId="77777777" w:rsidR="00521FEF" w:rsidRPr="00C406BB" w:rsidRDefault="00000000" w:rsidP="00C406BB">
      <w:pPr>
        <w:numPr>
          <w:ilvl w:val="0"/>
          <w:numId w:val="9"/>
        </w:numPr>
        <w:jc w:val="both"/>
        <w:rPr>
          <w:rFonts w:ascii="Times New Roman" w:hAnsi="Times New Roman" w:cs="Times New Roman"/>
          <w:sz w:val="24"/>
          <w:szCs w:val="24"/>
        </w:rPr>
      </w:pPr>
      <w:r w:rsidRPr="00C406BB">
        <w:rPr>
          <w:rFonts w:ascii="Times New Roman" w:hAnsi="Times New Roman" w:cs="Times New Roman"/>
          <w:sz w:val="24"/>
          <w:szCs w:val="24"/>
        </w:rPr>
        <w:t>Acquirer issues only common stock in exchange for substantially all (90%+) of target's voting common stock</w:t>
      </w:r>
    </w:p>
    <w:p w14:paraId="746F1826" w14:textId="77777777" w:rsidR="00C406BB" w:rsidRDefault="00C406BB" w:rsidP="00C406BB">
      <w:pPr>
        <w:spacing w:after="210"/>
        <w:jc w:val="both"/>
        <w:rPr>
          <w:rFonts w:ascii="Times New Roman" w:hAnsi="Times New Roman" w:cs="Times New Roman"/>
          <w:b/>
          <w:sz w:val="24"/>
          <w:szCs w:val="24"/>
        </w:rPr>
      </w:pPr>
    </w:p>
    <w:p w14:paraId="0E07CDFB" w14:textId="77777777" w:rsidR="00C406BB" w:rsidRDefault="00C406BB" w:rsidP="00C406BB">
      <w:pPr>
        <w:spacing w:after="210"/>
        <w:jc w:val="both"/>
        <w:rPr>
          <w:rFonts w:ascii="Times New Roman" w:hAnsi="Times New Roman" w:cs="Times New Roman"/>
          <w:b/>
          <w:sz w:val="24"/>
          <w:szCs w:val="24"/>
        </w:rPr>
      </w:pPr>
    </w:p>
    <w:p w14:paraId="2F4FF85A" w14:textId="77777777" w:rsidR="00C406BB" w:rsidRDefault="00C406BB" w:rsidP="00C406BB">
      <w:pPr>
        <w:spacing w:after="210"/>
        <w:jc w:val="both"/>
        <w:rPr>
          <w:rFonts w:ascii="Times New Roman" w:hAnsi="Times New Roman" w:cs="Times New Roman"/>
          <w:b/>
          <w:sz w:val="24"/>
          <w:szCs w:val="24"/>
        </w:rPr>
      </w:pPr>
    </w:p>
    <w:p w14:paraId="30D0F296" w14:textId="5C75D3E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lastRenderedPageBreak/>
        <w:t>Absence of Planned Transactions:</w:t>
      </w:r>
    </w:p>
    <w:p w14:paraId="5AF71FAF" w14:textId="77777777" w:rsidR="00521FEF" w:rsidRPr="00C406BB" w:rsidRDefault="00000000" w:rsidP="00C406BB">
      <w:pPr>
        <w:numPr>
          <w:ilvl w:val="0"/>
          <w:numId w:val="10"/>
        </w:numPr>
        <w:jc w:val="both"/>
        <w:rPr>
          <w:rFonts w:ascii="Times New Roman" w:hAnsi="Times New Roman" w:cs="Times New Roman"/>
          <w:sz w:val="24"/>
          <w:szCs w:val="24"/>
        </w:rPr>
      </w:pPr>
      <w:r w:rsidRPr="00C406BB">
        <w:rPr>
          <w:rFonts w:ascii="Times New Roman" w:hAnsi="Times New Roman" w:cs="Times New Roman"/>
          <w:sz w:val="24"/>
          <w:szCs w:val="24"/>
        </w:rPr>
        <w:t>No treasury stock reacquisitions in contemplation of merger</w:t>
      </w:r>
    </w:p>
    <w:p w14:paraId="55876972" w14:textId="77777777" w:rsidR="00521FEF" w:rsidRPr="00C406BB" w:rsidRDefault="00000000" w:rsidP="00C406BB">
      <w:pPr>
        <w:numPr>
          <w:ilvl w:val="0"/>
          <w:numId w:val="10"/>
        </w:numPr>
        <w:jc w:val="both"/>
        <w:rPr>
          <w:rFonts w:ascii="Times New Roman" w:hAnsi="Times New Roman" w:cs="Times New Roman"/>
          <w:sz w:val="24"/>
          <w:szCs w:val="24"/>
        </w:rPr>
      </w:pPr>
      <w:r w:rsidRPr="00C406BB">
        <w:rPr>
          <w:rFonts w:ascii="Times New Roman" w:hAnsi="Times New Roman" w:cs="Times New Roman"/>
          <w:sz w:val="24"/>
          <w:szCs w:val="24"/>
        </w:rPr>
        <w:t>No special financial arrangements benefiting former shareholders</w:t>
      </w:r>
    </w:p>
    <w:p w14:paraId="46E51155" w14:textId="77777777" w:rsidR="00521FEF" w:rsidRPr="00C406BB" w:rsidRDefault="00000000" w:rsidP="00C406BB">
      <w:pPr>
        <w:numPr>
          <w:ilvl w:val="0"/>
          <w:numId w:val="10"/>
        </w:numPr>
        <w:jc w:val="both"/>
        <w:rPr>
          <w:rFonts w:ascii="Times New Roman" w:hAnsi="Times New Roman" w:cs="Times New Roman"/>
          <w:sz w:val="24"/>
          <w:szCs w:val="24"/>
        </w:rPr>
      </w:pPr>
      <w:r w:rsidRPr="00C406BB">
        <w:rPr>
          <w:rFonts w:ascii="Times New Roman" w:hAnsi="Times New Roman" w:cs="Times New Roman"/>
          <w:sz w:val="24"/>
          <w:szCs w:val="24"/>
        </w:rPr>
        <w:t>No planned disposition of significant assets within two years post-merger</w:t>
      </w:r>
    </w:p>
    <w:p w14:paraId="0C98CE37" w14:textId="77777777" w:rsidR="00C406BB" w:rsidRDefault="00C406BB" w:rsidP="00C406BB">
      <w:pPr>
        <w:spacing w:before="240" w:line="271" w:lineRule="auto"/>
        <w:jc w:val="both"/>
        <w:rPr>
          <w:rFonts w:ascii="Times New Roman" w:hAnsi="Times New Roman" w:cs="Times New Roman"/>
          <w:b/>
          <w:sz w:val="24"/>
          <w:szCs w:val="24"/>
        </w:rPr>
      </w:pPr>
      <w:bookmarkStart w:id="21" w:name="bm_2_3_why_aol_time_warner_could_cb7268"/>
    </w:p>
    <w:p w14:paraId="279B3A50" w14:textId="0918E9A8" w:rsidR="00C406BB" w:rsidRPr="00C406BB" w:rsidRDefault="00000000" w:rsidP="00C406BB">
      <w:pPr>
        <w:pStyle w:val="Heading2"/>
      </w:pPr>
      <w:bookmarkStart w:id="22" w:name="_Toc221361478"/>
      <w:r w:rsidRPr="00C406BB">
        <w:t>2.3 Why AOL Time Warner Could Not Use Pooling</w:t>
      </w:r>
      <w:bookmarkEnd w:id="21"/>
      <w:bookmarkEnd w:id="22"/>
    </w:p>
    <w:p w14:paraId="346A4F2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Despite the all-stock structure, the AOL-Time Warner merger failed to qualify for pooling treatment due to several critical violations:</w:t>
      </w:r>
    </w:p>
    <w:p w14:paraId="6D6C30F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Violation #1: Time Warner's Complex Capital Structure</w:t>
      </w:r>
    </w:p>
    <w:p w14:paraId="6A9F2F5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Time Warner maintained multiple classes of securities and subsidiary partnerships that violated pooling's requirement for a simple common-stock-for-common-stock exchange. Specifically:</w:t>
      </w:r>
    </w:p>
    <w:p w14:paraId="77E93FD3" w14:textId="77777777" w:rsidR="00521FEF" w:rsidRPr="00C406BB" w:rsidRDefault="00000000" w:rsidP="00C406BB">
      <w:pPr>
        <w:numPr>
          <w:ilvl w:val="0"/>
          <w:numId w:val="11"/>
        </w:numPr>
        <w:jc w:val="both"/>
        <w:rPr>
          <w:rFonts w:ascii="Times New Roman" w:hAnsi="Times New Roman" w:cs="Times New Roman"/>
          <w:sz w:val="24"/>
          <w:szCs w:val="24"/>
        </w:rPr>
      </w:pPr>
      <w:r w:rsidRPr="00C406BB">
        <w:rPr>
          <w:rFonts w:ascii="Times New Roman" w:hAnsi="Times New Roman" w:cs="Times New Roman"/>
          <w:sz w:val="24"/>
          <w:szCs w:val="24"/>
        </w:rPr>
        <w:t>Time Warner Entertainment-Advance/Newhouse partnership interests</w:t>
      </w:r>
    </w:p>
    <w:p w14:paraId="4A428C92" w14:textId="77777777" w:rsidR="00521FEF" w:rsidRPr="00C406BB" w:rsidRDefault="00000000" w:rsidP="00C406BB">
      <w:pPr>
        <w:numPr>
          <w:ilvl w:val="0"/>
          <w:numId w:val="11"/>
        </w:numPr>
        <w:jc w:val="both"/>
        <w:rPr>
          <w:rFonts w:ascii="Times New Roman" w:hAnsi="Times New Roman" w:cs="Times New Roman"/>
          <w:sz w:val="24"/>
          <w:szCs w:val="24"/>
        </w:rPr>
      </w:pPr>
      <w:r w:rsidRPr="00C406BB">
        <w:rPr>
          <w:rFonts w:ascii="Times New Roman" w:hAnsi="Times New Roman" w:cs="Times New Roman"/>
          <w:sz w:val="24"/>
          <w:szCs w:val="24"/>
        </w:rPr>
        <w:t>Convertible preferred securities outstanding</w:t>
      </w:r>
    </w:p>
    <w:p w14:paraId="76178DBC" w14:textId="77777777" w:rsidR="00521FEF" w:rsidRPr="00C406BB" w:rsidRDefault="00000000" w:rsidP="00C406BB">
      <w:pPr>
        <w:numPr>
          <w:ilvl w:val="0"/>
          <w:numId w:val="11"/>
        </w:numPr>
        <w:jc w:val="both"/>
        <w:rPr>
          <w:rFonts w:ascii="Times New Roman" w:hAnsi="Times New Roman" w:cs="Times New Roman"/>
          <w:sz w:val="24"/>
          <w:szCs w:val="24"/>
        </w:rPr>
      </w:pPr>
      <w:r w:rsidRPr="00C406BB">
        <w:rPr>
          <w:rFonts w:ascii="Times New Roman" w:hAnsi="Times New Roman" w:cs="Times New Roman"/>
          <w:sz w:val="24"/>
          <w:szCs w:val="24"/>
        </w:rPr>
        <w:t>Complex subsidiary structures at TW Entertainment, TW Cable</w:t>
      </w:r>
    </w:p>
    <w:p w14:paraId="00A55731" w14:textId="77777777" w:rsidR="00521FEF" w:rsidRPr="00C406BB" w:rsidRDefault="00000000" w:rsidP="00C406BB">
      <w:pPr>
        <w:numPr>
          <w:ilvl w:val="0"/>
          <w:numId w:val="11"/>
        </w:numPr>
        <w:jc w:val="both"/>
        <w:rPr>
          <w:rFonts w:ascii="Times New Roman" w:hAnsi="Times New Roman" w:cs="Times New Roman"/>
          <w:sz w:val="24"/>
          <w:szCs w:val="24"/>
        </w:rPr>
      </w:pPr>
      <w:r w:rsidRPr="00C406BB">
        <w:rPr>
          <w:rFonts w:ascii="Times New Roman" w:hAnsi="Times New Roman" w:cs="Times New Roman"/>
          <w:sz w:val="24"/>
          <w:szCs w:val="24"/>
        </w:rPr>
        <w:t>Stock option plans requiring cash settlement provisions</w:t>
      </w:r>
    </w:p>
    <w:p w14:paraId="620EA9D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Violation #2: Planned Asset Dispositions</w:t>
      </w:r>
    </w:p>
    <w:p w14:paraId="6797BD42" w14:textId="7816310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At announcement, management indicated intentions to divest certain non-strategic assets to reduce debt and fund integration activities. These contemplated dispositions within the two-year restricted period violated pooling criteria.</w:t>
      </w:r>
    </w:p>
    <w:p w14:paraId="43446BD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Violation #3: Treasury Stock Activities</w:t>
      </w:r>
    </w:p>
    <w:p w14:paraId="32E9C8E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Both AOL and Time Warner had engaged in stock repurchase programs within the two-year pre-merger period, creating technical violations of pooling's prohibition on treasury stock transactions in contemplation of combination.</w:t>
      </w:r>
    </w:p>
    <w:p w14:paraId="4DCE4AA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Violation #4: Financial Arrangements</w:t>
      </w:r>
    </w:p>
    <w:p w14:paraId="7E12834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complexity of combining two large public companies with extensive employee stock option plans, deferred compensation arrangements, and executive retention agreements created "financial arrangements" that technically violated pooling's requirement for clean, straightforward exchanges.</w:t>
      </w:r>
    </w:p>
    <w:p w14:paraId="10281FAF" w14:textId="77777777" w:rsidR="00C406BB" w:rsidRDefault="00C406BB">
      <w:pPr>
        <w:rPr>
          <w:rFonts w:ascii="Times New Roman" w:hAnsi="Times New Roman" w:cs="Times New Roman"/>
          <w:b/>
          <w:sz w:val="24"/>
          <w:szCs w:val="24"/>
        </w:rPr>
      </w:pPr>
      <w:bookmarkStart w:id="23" w:name="bm_2_4_comparative_analysis_other_a1ee92"/>
      <w:r>
        <w:rPr>
          <w:rFonts w:ascii="Times New Roman" w:hAnsi="Times New Roman" w:cs="Times New Roman"/>
          <w:b/>
          <w:sz w:val="24"/>
          <w:szCs w:val="24"/>
        </w:rPr>
        <w:br w:type="page"/>
      </w:r>
    </w:p>
    <w:p w14:paraId="2742B40D" w14:textId="29F75296" w:rsidR="00521FEF" w:rsidRDefault="00000000" w:rsidP="00C406BB">
      <w:pPr>
        <w:pStyle w:val="Heading2"/>
      </w:pPr>
      <w:bookmarkStart w:id="24" w:name="_Toc221361479"/>
      <w:r w:rsidRPr="00C406BB">
        <w:lastRenderedPageBreak/>
        <w:t>2.4 Comparative Analysis: Other Contemporary Mergers</w:t>
      </w:r>
      <w:bookmarkEnd w:id="23"/>
      <w:bookmarkEnd w:id="24"/>
    </w:p>
    <w:p w14:paraId="4502233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failure to qualify for pooling distinguished AOL Time Warner from several other large stock mergers completed in the late 1990s:</w:t>
      </w:r>
    </w:p>
    <w:p w14:paraId="7E0E2D0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Mergers Using Pooling (1998-1999):</w:t>
      </w:r>
    </w:p>
    <w:tbl>
      <w:tblPr>
        <w:tblStyle w:val="NormalGrid"/>
        <w:tblW w:w="0" w:type="auto"/>
        <w:jc w:val="center"/>
        <w:tblCellSpacing w:w="0" w:type="dxa"/>
        <w:tblLook w:val="04A0" w:firstRow="1" w:lastRow="0" w:firstColumn="1" w:lastColumn="0" w:noHBand="0" w:noVBand="1"/>
      </w:tblPr>
      <w:tblGrid>
        <w:gridCol w:w="3026"/>
        <w:gridCol w:w="820"/>
        <w:gridCol w:w="1427"/>
      </w:tblGrid>
      <w:tr w:rsidR="00521FEF" w:rsidRPr="00C406BB" w14:paraId="05189A5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0E15D6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Transaction</w:t>
            </w:r>
          </w:p>
        </w:tc>
        <w:tc>
          <w:tcPr>
            <w:tcW w:w="0" w:type="auto"/>
            <w:tcBorders>
              <w:top w:val="single" w:sz="8" w:space="0" w:color="000000"/>
              <w:bottom w:val="single" w:sz="8" w:space="0" w:color="000000"/>
              <w:right w:val="single" w:sz="8" w:space="0" w:color="000000"/>
            </w:tcBorders>
            <w:vAlign w:val="center"/>
          </w:tcPr>
          <w:p w14:paraId="60C8EA6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16D5047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Deal Value</w:t>
            </w:r>
          </w:p>
        </w:tc>
      </w:tr>
      <w:tr w:rsidR="00521FEF" w:rsidRPr="00C406BB" w14:paraId="4196D5FA" w14:textId="77777777">
        <w:trPr>
          <w:cantSplit/>
          <w:tblCellSpacing w:w="0" w:type="dxa"/>
          <w:jc w:val="center"/>
        </w:trPr>
        <w:tc>
          <w:tcPr>
            <w:tcW w:w="0" w:type="auto"/>
            <w:tcBorders>
              <w:left w:val="single" w:sz="8" w:space="0" w:color="000000"/>
              <w:right w:val="single" w:sz="8" w:space="0" w:color="000000"/>
            </w:tcBorders>
            <w:vAlign w:val="center"/>
          </w:tcPr>
          <w:p w14:paraId="1BE5473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Travelers-Citicorp</w:t>
            </w:r>
          </w:p>
        </w:tc>
        <w:tc>
          <w:tcPr>
            <w:tcW w:w="0" w:type="auto"/>
            <w:tcBorders>
              <w:right w:val="single" w:sz="8" w:space="0" w:color="000000"/>
            </w:tcBorders>
            <w:vAlign w:val="center"/>
          </w:tcPr>
          <w:p w14:paraId="45EA7D8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1998</w:t>
            </w:r>
          </w:p>
        </w:tc>
        <w:tc>
          <w:tcPr>
            <w:tcW w:w="0" w:type="auto"/>
            <w:tcBorders>
              <w:right w:val="single" w:sz="8" w:space="0" w:color="000000"/>
            </w:tcBorders>
            <w:vAlign w:val="center"/>
          </w:tcPr>
          <w:p w14:paraId="4FDF38E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$72 billion</w:t>
            </w:r>
          </w:p>
        </w:tc>
      </w:tr>
      <w:tr w:rsidR="00521FEF" w:rsidRPr="00C406BB" w14:paraId="0970CDB6" w14:textId="77777777">
        <w:trPr>
          <w:cantSplit/>
          <w:tblCellSpacing w:w="0" w:type="dxa"/>
          <w:jc w:val="center"/>
        </w:trPr>
        <w:tc>
          <w:tcPr>
            <w:tcW w:w="0" w:type="auto"/>
            <w:tcBorders>
              <w:left w:val="single" w:sz="8" w:space="0" w:color="000000"/>
              <w:right w:val="single" w:sz="8" w:space="0" w:color="000000"/>
            </w:tcBorders>
            <w:vAlign w:val="center"/>
          </w:tcPr>
          <w:p w14:paraId="529BAC6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NationsBank-BankAmerica</w:t>
            </w:r>
          </w:p>
        </w:tc>
        <w:tc>
          <w:tcPr>
            <w:tcW w:w="0" w:type="auto"/>
            <w:tcBorders>
              <w:right w:val="single" w:sz="8" w:space="0" w:color="000000"/>
            </w:tcBorders>
            <w:vAlign w:val="center"/>
          </w:tcPr>
          <w:p w14:paraId="39323B1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1998</w:t>
            </w:r>
          </w:p>
        </w:tc>
        <w:tc>
          <w:tcPr>
            <w:tcW w:w="0" w:type="auto"/>
            <w:tcBorders>
              <w:right w:val="single" w:sz="8" w:space="0" w:color="000000"/>
            </w:tcBorders>
            <w:vAlign w:val="center"/>
          </w:tcPr>
          <w:p w14:paraId="5712DB3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$62 billion</w:t>
            </w:r>
          </w:p>
        </w:tc>
      </w:tr>
      <w:tr w:rsidR="00521FEF" w:rsidRPr="00C406BB" w14:paraId="0BBF9EA8" w14:textId="77777777">
        <w:trPr>
          <w:cantSplit/>
          <w:tblCellSpacing w:w="0" w:type="dxa"/>
          <w:jc w:val="center"/>
        </w:trPr>
        <w:tc>
          <w:tcPr>
            <w:tcW w:w="0" w:type="auto"/>
            <w:tcBorders>
              <w:left w:val="single" w:sz="8" w:space="0" w:color="000000"/>
              <w:right w:val="single" w:sz="8" w:space="0" w:color="000000"/>
            </w:tcBorders>
            <w:vAlign w:val="center"/>
          </w:tcPr>
          <w:p w14:paraId="479074D7" w14:textId="63AA7B68" w:rsidR="00521FEF" w:rsidRPr="00C406BB" w:rsidRDefault="00C406BB" w:rsidP="00C406BB">
            <w:pPr>
              <w:jc w:val="both"/>
              <w:rPr>
                <w:rFonts w:ascii="Times New Roman" w:hAnsi="Times New Roman" w:cs="Times New Roman"/>
                <w:sz w:val="24"/>
                <w:szCs w:val="24"/>
              </w:rPr>
            </w:pPr>
            <w:proofErr w:type="spellStart"/>
            <w:r w:rsidRPr="00C406BB">
              <w:rPr>
                <w:rFonts w:ascii="Times New Roman" w:hAnsi="Times New Roman" w:cs="Times New Roman"/>
                <w:sz w:val="24"/>
                <w:szCs w:val="24"/>
              </w:rPr>
              <w:t>Exxonmobil</w:t>
            </w:r>
            <w:proofErr w:type="spellEnd"/>
          </w:p>
        </w:tc>
        <w:tc>
          <w:tcPr>
            <w:tcW w:w="0" w:type="auto"/>
            <w:tcBorders>
              <w:right w:val="single" w:sz="8" w:space="0" w:color="000000"/>
            </w:tcBorders>
            <w:vAlign w:val="center"/>
          </w:tcPr>
          <w:p w14:paraId="0BDF3F0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1999</w:t>
            </w:r>
          </w:p>
        </w:tc>
        <w:tc>
          <w:tcPr>
            <w:tcW w:w="0" w:type="auto"/>
            <w:tcBorders>
              <w:right w:val="single" w:sz="8" w:space="0" w:color="000000"/>
            </w:tcBorders>
            <w:vAlign w:val="center"/>
          </w:tcPr>
          <w:p w14:paraId="0E8126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$81 billion</w:t>
            </w:r>
          </w:p>
        </w:tc>
      </w:tr>
      <w:tr w:rsidR="00521FEF" w:rsidRPr="00C406BB" w14:paraId="3BFCBF9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3641D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SBC-Ameritech</w:t>
            </w:r>
          </w:p>
        </w:tc>
        <w:tc>
          <w:tcPr>
            <w:tcW w:w="0" w:type="auto"/>
            <w:tcBorders>
              <w:bottom w:val="single" w:sz="8" w:space="0" w:color="000000"/>
              <w:right w:val="single" w:sz="8" w:space="0" w:color="000000"/>
            </w:tcBorders>
            <w:vAlign w:val="center"/>
          </w:tcPr>
          <w:p w14:paraId="298982E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1999</w:t>
            </w:r>
          </w:p>
        </w:tc>
        <w:tc>
          <w:tcPr>
            <w:tcW w:w="0" w:type="auto"/>
            <w:tcBorders>
              <w:bottom w:val="single" w:sz="8" w:space="0" w:color="000000"/>
              <w:right w:val="single" w:sz="8" w:space="0" w:color="000000"/>
            </w:tcBorders>
            <w:vAlign w:val="center"/>
          </w:tcPr>
          <w:p w14:paraId="1B703DB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$63 billion</w:t>
            </w:r>
          </w:p>
        </w:tc>
      </w:tr>
    </w:tbl>
    <w:p w14:paraId="6A4E03F3" w14:textId="77777777" w:rsidR="00521FEF" w:rsidRPr="00C406BB" w:rsidRDefault="00521FEF" w:rsidP="00C406BB">
      <w:pPr>
        <w:jc w:val="both"/>
        <w:rPr>
          <w:rFonts w:ascii="Times New Roman" w:hAnsi="Times New Roman" w:cs="Times New Roman"/>
          <w:sz w:val="24"/>
          <w:szCs w:val="24"/>
        </w:rPr>
      </w:pPr>
    </w:p>
    <w:p w14:paraId="4DFA7F2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4: Major Mergers Using Pooling Accounting</w:t>
      </w:r>
    </w:p>
    <w:p w14:paraId="1DED015E" w14:textId="438DFCCA"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These transactions qualified for pooling because they involved companies with simpler capital structures, met the 90% common stock exchange threshold, and avoided the technical violations that disqualified AOL Time Warner.</w:t>
      </w:r>
    </w:p>
    <w:p w14:paraId="12E105CE" w14:textId="77777777" w:rsidR="00C406BB" w:rsidRDefault="00C406BB" w:rsidP="00C406BB">
      <w:pPr>
        <w:spacing w:before="240" w:line="271" w:lineRule="auto"/>
        <w:jc w:val="both"/>
        <w:rPr>
          <w:rFonts w:ascii="Times New Roman" w:hAnsi="Times New Roman" w:cs="Times New Roman"/>
          <w:b/>
          <w:sz w:val="24"/>
          <w:szCs w:val="24"/>
        </w:rPr>
      </w:pPr>
      <w:bookmarkStart w:id="25" w:name="bm_2_5_financial_statement_impact_ad8c51"/>
    </w:p>
    <w:p w14:paraId="285A32D7" w14:textId="1E4D346D" w:rsidR="00521FEF" w:rsidRPr="00C406BB" w:rsidRDefault="00000000" w:rsidP="00C406BB">
      <w:pPr>
        <w:pStyle w:val="Heading2"/>
      </w:pPr>
      <w:bookmarkStart w:id="26" w:name="_Toc221361480"/>
      <w:r w:rsidRPr="00C406BB">
        <w:t>2.5 Financial Statement Impact: Purchase vs. Pooling</w:t>
      </w:r>
      <w:bookmarkEnd w:id="25"/>
      <w:bookmarkEnd w:id="26"/>
    </w:p>
    <w:p w14:paraId="275D24B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accounting method choice created dramatically different financial statement presentations:</w:t>
      </w:r>
    </w:p>
    <w:p w14:paraId="3B566CA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Balance Sheet Impact:</w:t>
      </w:r>
    </w:p>
    <w:p w14:paraId="7D940DC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Under </w:t>
      </w:r>
      <w:r w:rsidRPr="00C406BB">
        <w:rPr>
          <w:rFonts w:ascii="Times New Roman" w:hAnsi="Times New Roman" w:cs="Times New Roman"/>
          <w:b/>
          <w:sz w:val="24"/>
          <w:szCs w:val="24"/>
        </w:rPr>
        <w:t>purchase accounting</w:t>
      </w:r>
      <w:r w:rsidRPr="00C406BB">
        <w:rPr>
          <w:rFonts w:ascii="Times New Roman" w:hAnsi="Times New Roman" w:cs="Times New Roman"/>
          <w:sz w:val="24"/>
          <w:szCs w:val="24"/>
        </w:rPr>
        <w:t>, the AOL Time Warner balance sheet reflected:</w:t>
      </w:r>
    </w:p>
    <w:p w14:paraId="33E15878" w14:textId="77777777" w:rsidR="00521FEF" w:rsidRPr="00C406BB" w:rsidRDefault="00000000" w:rsidP="00C406BB">
      <w:pPr>
        <w:numPr>
          <w:ilvl w:val="0"/>
          <w:numId w:val="12"/>
        </w:numPr>
        <w:jc w:val="both"/>
        <w:rPr>
          <w:rFonts w:ascii="Times New Roman" w:hAnsi="Times New Roman" w:cs="Times New Roman"/>
          <w:sz w:val="24"/>
          <w:szCs w:val="24"/>
        </w:rPr>
      </w:pPr>
      <w:r w:rsidRPr="00C406BB">
        <w:rPr>
          <w:rFonts w:ascii="Times New Roman" w:eastAsia="Georgia" w:hAnsi="Times New Roman" w:cs="Times New Roman"/>
          <w:sz w:val="24"/>
          <w:szCs w:val="24"/>
        </w:rPr>
        <w:t>Time Warner assets marked to fair market value (step-up of ~$25-30 billion)</w:t>
      </w:r>
    </w:p>
    <w:p w14:paraId="670BD0E1" w14:textId="77777777" w:rsidR="00521FEF" w:rsidRPr="00C406BB" w:rsidRDefault="00000000" w:rsidP="00C406BB">
      <w:pPr>
        <w:numPr>
          <w:ilvl w:val="0"/>
          <w:numId w:val="12"/>
        </w:numPr>
        <w:jc w:val="both"/>
        <w:rPr>
          <w:rFonts w:ascii="Times New Roman" w:hAnsi="Times New Roman" w:cs="Times New Roman"/>
          <w:sz w:val="24"/>
          <w:szCs w:val="24"/>
        </w:rPr>
      </w:pPr>
      <w:r w:rsidRPr="00C406BB">
        <w:rPr>
          <w:rFonts w:ascii="Times New Roman" w:hAnsi="Times New Roman" w:cs="Times New Roman"/>
          <w:sz w:val="24"/>
          <w:szCs w:val="24"/>
        </w:rPr>
        <w:t>Goodwill of approximately $127-128 billion created</w:t>
      </w:r>
    </w:p>
    <w:p w14:paraId="4B59270C" w14:textId="77777777" w:rsidR="00521FEF" w:rsidRPr="00C406BB" w:rsidRDefault="00000000" w:rsidP="00C406BB">
      <w:pPr>
        <w:numPr>
          <w:ilvl w:val="0"/>
          <w:numId w:val="12"/>
        </w:numPr>
        <w:jc w:val="both"/>
        <w:rPr>
          <w:rFonts w:ascii="Times New Roman" w:hAnsi="Times New Roman" w:cs="Times New Roman"/>
          <w:sz w:val="24"/>
          <w:szCs w:val="24"/>
        </w:rPr>
      </w:pPr>
      <w:r w:rsidRPr="00C406BB">
        <w:rPr>
          <w:rFonts w:ascii="Times New Roman" w:eastAsia="Georgia" w:hAnsi="Times New Roman" w:cs="Times New Roman"/>
          <w:sz w:val="24"/>
          <w:szCs w:val="24"/>
        </w:rPr>
        <w:t>Total assets of combined entity: ~$165 billion</w:t>
      </w:r>
    </w:p>
    <w:p w14:paraId="363BD2F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Under hypothetical </w:t>
      </w:r>
      <w:r w:rsidRPr="00C406BB">
        <w:rPr>
          <w:rFonts w:ascii="Times New Roman" w:hAnsi="Times New Roman" w:cs="Times New Roman"/>
          <w:b/>
          <w:sz w:val="24"/>
          <w:szCs w:val="24"/>
        </w:rPr>
        <w:t>pooling accounting</w:t>
      </w:r>
      <w:r w:rsidRPr="00C406BB">
        <w:rPr>
          <w:rFonts w:ascii="Times New Roman" w:hAnsi="Times New Roman" w:cs="Times New Roman"/>
          <w:sz w:val="24"/>
          <w:szCs w:val="24"/>
        </w:rPr>
        <w:t>, the balance sheet would show:</w:t>
      </w:r>
    </w:p>
    <w:p w14:paraId="301A6019" w14:textId="77777777" w:rsidR="00521FEF" w:rsidRPr="00C406BB" w:rsidRDefault="00000000" w:rsidP="00C406BB">
      <w:pPr>
        <w:numPr>
          <w:ilvl w:val="0"/>
          <w:numId w:val="13"/>
        </w:numPr>
        <w:jc w:val="both"/>
        <w:rPr>
          <w:rFonts w:ascii="Times New Roman" w:hAnsi="Times New Roman" w:cs="Times New Roman"/>
          <w:sz w:val="24"/>
          <w:szCs w:val="24"/>
        </w:rPr>
      </w:pPr>
      <w:r w:rsidRPr="00C406BB">
        <w:rPr>
          <w:rFonts w:ascii="Times New Roman" w:eastAsia="Georgia" w:hAnsi="Times New Roman" w:cs="Times New Roman"/>
          <w:sz w:val="24"/>
          <w:szCs w:val="24"/>
        </w:rPr>
        <w:t>Assets at historical book values (~$55 billion combined historical basis)</w:t>
      </w:r>
    </w:p>
    <w:p w14:paraId="7EE5624A" w14:textId="77777777" w:rsidR="00521FEF" w:rsidRPr="00C406BB" w:rsidRDefault="00000000" w:rsidP="00C406BB">
      <w:pPr>
        <w:numPr>
          <w:ilvl w:val="0"/>
          <w:numId w:val="13"/>
        </w:numPr>
        <w:jc w:val="both"/>
        <w:rPr>
          <w:rFonts w:ascii="Times New Roman" w:hAnsi="Times New Roman" w:cs="Times New Roman"/>
          <w:sz w:val="24"/>
          <w:szCs w:val="24"/>
        </w:rPr>
      </w:pPr>
      <w:r w:rsidRPr="00C406BB">
        <w:rPr>
          <w:rFonts w:ascii="Times New Roman" w:hAnsi="Times New Roman" w:cs="Times New Roman"/>
          <w:sz w:val="24"/>
          <w:szCs w:val="24"/>
        </w:rPr>
        <w:t>No goodwill creation</w:t>
      </w:r>
    </w:p>
    <w:p w14:paraId="40F8AE77" w14:textId="77777777" w:rsidR="00521FEF" w:rsidRPr="00C406BB" w:rsidRDefault="00000000" w:rsidP="00C406BB">
      <w:pPr>
        <w:numPr>
          <w:ilvl w:val="0"/>
          <w:numId w:val="13"/>
        </w:numPr>
        <w:jc w:val="both"/>
        <w:rPr>
          <w:rFonts w:ascii="Times New Roman" w:hAnsi="Times New Roman" w:cs="Times New Roman"/>
          <w:sz w:val="24"/>
          <w:szCs w:val="24"/>
        </w:rPr>
      </w:pPr>
      <w:r w:rsidRPr="00C406BB">
        <w:rPr>
          <w:rFonts w:ascii="Times New Roman" w:eastAsia="Georgia" w:hAnsi="Times New Roman" w:cs="Times New Roman"/>
          <w:sz w:val="24"/>
          <w:szCs w:val="24"/>
        </w:rPr>
        <w:t>Total assets significantly lower (~$55 billion)</w:t>
      </w:r>
    </w:p>
    <w:p w14:paraId="3EFB3EBD" w14:textId="77777777" w:rsidR="00C406BB" w:rsidRDefault="00C406BB">
      <w:pPr>
        <w:rPr>
          <w:rFonts w:ascii="Times New Roman" w:hAnsi="Times New Roman" w:cs="Times New Roman"/>
          <w:b/>
          <w:sz w:val="24"/>
          <w:szCs w:val="24"/>
        </w:rPr>
      </w:pPr>
      <w:r>
        <w:rPr>
          <w:rFonts w:ascii="Times New Roman" w:hAnsi="Times New Roman" w:cs="Times New Roman"/>
          <w:b/>
          <w:sz w:val="24"/>
          <w:szCs w:val="24"/>
        </w:rPr>
        <w:br w:type="page"/>
      </w:r>
    </w:p>
    <w:p w14:paraId="1F49CF31" w14:textId="6235A4A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lastRenderedPageBreak/>
        <w:t>Income Statement Impact:</w:t>
      </w:r>
    </w:p>
    <w:p w14:paraId="6D9E5AF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critical difference emerged in ongoing earnings:</w:t>
      </w:r>
    </w:p>
    <w:tbl>
      <w:tblPr>
        <w:tblStyle w:val="NormalGrid"/>
        <w:tblW w:w="0" w:type="auto"/>
        <w:jc w:val="center"/>
        <w:tblCellSpacing w:w="0" w:type="dxa"/>
        <w:tblLook w:val="04A0" w:firstRow="1" w:lastRow="0" w:firstColumn="1" w:lastColumn="0" w:noHBand="0" w:noVBand="1"/>
      </w:tblPr>
      <w:tblGrid>
        <w:gridCol w:w="3373"/>
        <w:gridCol w:w="2014"/>
        <w:gridCol w:w="1894"/>
      </w:tblGrid>
      <w:tr w:rsidR="00521FEF" w:rsidRPr="00C406BB" w14:paraId="36DF37C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F14E9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Impact</w:t>
            </w:r>
          </w:p>
        </w:tc>
        <w:tc>
          <w:tcPr>
            <w:tcW w:w="0" w:type="auto"/>
            <w:tcBorders>
              <w:top w:val="single" w:sz="8" w:space="0" w:color="000000"/>
              <w:bottom w:val="single" w:sz="8" w:space="0" w:color="000000"/>
              <w:right w:val="single" w:sz="8" w:space="0" w:color="000000"/>
            </w:tcBorders>
            <w:vAlign w:val="center"/>
          </w:tcPr>
          <w:p w14:paraId="105F49D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Purchase Method</w:t>
            </w:r>
          </w:p>
        </w:tc>
        <w:tc>
          <w:tcPr>
            <w:tcW w:w="0" w:type="auto"/>
            <w:tcBorders>
              <w:top w:val="single" w:sz="8" w:space="0" w:color="000000"/>
              <w:bottom w:val="single" w:sz="8" w:space="0" w:color="000000"/>
              <w:right w:val="single" w:sz="8" w:space="0" w:color="000000"/>
            </w:tcBorders>
            <w:vAlign w:val="center"/>
          </w:tcPr>
          <w:p w14:paraId="329FC89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Pooling Method</w:t>
            </w:r>
          </w:p>
        </w:tc>
      </w:tr>
      <w:tr w:rsidR="00521FEF" w:rsidRPr="00C406BB" w14:paraId="5941A6B4" w14:textId="77777777">
        <w:trPr>
          <w:cantSplit/>
          <w:tblCellSpacing w:w="0" w:type="dxa"/>
          <w:jc w:val="center"/>
        </w:trPr>
        <w:tc>
          <w:tcPr>
            <w:tcW w:w="0" w:type="auto"/>
            <w:tcBorders>
              <w:left w:val="single" w:sz="8" w:space="0" w:color="000000"/>
              <w:right w:val="single" w:sz="8" w:space="0" w:color="000000"/>
            </w:tcBorders>
            <w:vAlign w:val="center"/>
          </w:tcPr>
          <w:p w14:paraId="2C6A93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Annual Goodwill Amortization</w:t>
            </w:r>
          </w:p>
        </w:tc>
        <w:tc>
          <w:tcPr>
            <w:tcW w:w="0" w:type="auto"/>
            <w:tcBorders>
              <w:right w:val="single" w:sz="8" w:space="0" w:color="000000"/>
            </w:tcBorders>
            <w:vAlign w:val="center"/>
          </w:tcPr>
          <w:p w14:paraId="0FBC6FE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$3.2-4.5 billion</w:t>
            </w:r>
          </w:p>
        </w:tc>
        <w:tc>
          <w:tcPr>
            <w:tcW w:w="0" w:type="auto"/>
            <w:tcBorders>
              <w:right w:val="single" w:sz="8" w:space="0" w:color="000000"/>
            </w:tcBorders>
            <w:vAlign w:val="center"/>
          </w:tcPr>
          <w:p w14:paraId="4B1E020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r>
      <w:tr w:rsidR="00521FEF" w:rsidRPr="00C406BB" w14:paraId="11800390" w14:textId="77777777">
        <w:trPr>
          <w:cantSplit/>
          <w:tblCellSpacing w:w="0" w:type="dxa"/>
          <w:jc w:val="center"/>
        </w:trPr>
        <w:tc>
          <w:tcPr>
            <w:tcW w:w="0" w:type="auto"/>
            <w:tcBorders>
              <w:left w:val="single" w:sz="8" w:space="0" w:color="000000"/>
              <w:right w:val="single" w:sz="8" w:space="0" w:color="000000"/>
            </w:tcBorders>
            <w:vAlign w:val="center"/>
          </w:tcPr>
          <w:p w14:paraId="46A53C8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Asset Step-up Depreciation</w:t>
            </w:r>
          </w:p>
        </w:tc>
        <w:tc>
          <w:tcPr>
            <w:tcW w:w="0" w:type="auto"/>
            <w:tcBorders>
              <w:right w:val="single" w:sz="8" w:space="0" w:color="000000"/>
            </w:tcBorders>
            <w:vAlign w:val="center"/>
          </w:tcPr>
          <w:p w14:paraId="4C0EF70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$400-600 million</w:t>
            </w:r>
          </w:p>
        </w:tc>
        <w:tc>
          <w:tcPr>
            <w:tcW w:w="0" w:type="auto"/>
            <w:tcBorders>
              <w:right w:val="single" w:sz="8" w:space="0" w:color="000000"/>
            </w:tcBorders>
            <w:vAlign w:val="center"/>
          </w:tcPr>
          <w:p w14:paraId="7527C36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r>
      <w:tr w:rsidR="00521FEF" w:rsidRPr="00C406BB" w14:paraId="6586FC4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15672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Annual Earnings Impact</w:t>
            </w:r>
          </w:p>
        </w:tc>
        <w:tc>
          <w:tcPr>
            <w:tcW w:w="0" w:type="auto"/>
            <w:tcBorders>
              <w:bottom w:val="single" w:sz="8" w:space="0" w:color="000000"/>
              <w:right w:val="single" w:sz="8" w:space="0" w:color="000000"/>
            </w:tcBorders>
            <w:vAlign w:val="center"/>
          </w:tcPr>
          <w:p w14:paraId="0B242E9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$3.6-5.1 billion</w:t>
            </w:r>
          </w:p>
        </w:tc>
        <w:tc>
          <w:tcPr>
            <w:tcW w:w="0" w:type="auto"/>
            <w:tcBorders>
              <w:bottom w:val="single" w:sz="8" w:space="0" w:color="000000"/>
              <w:right w:val="single" w:sz="8" w:space="0" w:color="000000"/>
            </w:tcBorders>
            <w:vAlign w:val="center"/>
          </w:tcPr>
          <w:p w14:paraId="061B6F3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r>
    </w:tbl>
    <w:p w14:paraId="068830F1" w14:textId="77777777" w:rsidR="00521FEF" w:rsidRPr="00C406BB" w:rsidRDefault="00521FEF" w:rsidP="00C406BB">
      <w:pPr>
        <w:jc w:val="both"/>
        <w:rPr>
          <w:rFonts w:ascii="Times New Roman" w:hAnsi="Times New Roman" w:cs="Times New Roman"/>
          <w:sz w:val="24"/>
          <w:szCs w:val="24"/>
        </w:rPr>
      </w:pPr>
    </w:p>
    <w:p w14:paraId="31CA538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5: Annual Income Statement Impact by Accounting Method</w:t>
      </w:r>
    </w:p>
    <w:p w14:paraId="39F37B46" w14:textId="7169DCA3"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Assuming 40-year goodwill amortization (maximum allowed), annual charges would reduce reported net income by approximately $3.2 billion. Using a more conservative 30-year period would increase annual amortization to $4.3 billion.</w:t>
      </w:r>
    </w:p>
    <w:p w14:paraId="4CCCF15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Earnings Per Share Impact:</w:t>
      </w:r>
    </w:p>
    <w:p w14:paraId="6D545AD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With approximately 4.5 billion shares outstanding post-merger, annual goodwill amortization alone would reduce EPS by:</w:t>
      </w:r>
    </w:p>
    <w:p w14:paraId="582D028E" w14:textId="77777777" w:rsidR="00521FEF" w:rsidRPr="00C406BB" w:rsidRDefault="00000000" w:rsidP="00C406BB">
      <w:pPr>
        <w:numPr>
          <w:ilvl w:val="0"/>
          <w:numId w:val="14"/>
        </w:numPr>
        <w:jc w:val="both"/>
        <w:rPr>
          <w:rFonts w:ascii="Times New Roman" w:hAnsi="Times New Roman" w:cs="Times New Roman"/>
          <w:sz w:val="24"/>
          <w:szCs w:val="24"/>
        </w:rPr>
      </w:pPr>
      <w:r w:rsidRPr="00C406BB">
        <w:rPr>
          <w:rFonts w:ascii="Times New Roman" w:hAnsi="Times New Roman" w:cs="Times New Roman"/>
          <w:sz w:val="24"/>
          <w:szCs w:val="24"/>
        </w:rPr>
        <w:t>40-year amortization: $0.71 per share annually</w:t>
      </w:r>
    </w:p>
    <w:p w14:paraId="51C7DA60" w14:textId="77777777" w:rsidR="00521FEF" w:rsidRPr="00C406BB" w:rsidRDefault="00000000" w:rsidP="00C406BB">
      <w:pPr>
        <w:numPr>
          <w:ilvl w:val="0"/>
          <w:numId w:val="14"/>
        </w:numPr>
        <w:jc w:val="both"/>
        <w:rPr>
          <w:rFonts w:ascii="Times New Roman" w:hAnsi="Times New Roman" w:cs="Times New Roman"/>
          <w:sz w:val="24"/>
          <w:szCs w:val="24"/>
        </w:rPr>
      </w:pPr>
      <w:r w:rsidRPr="00C406BB">
        <w:rPr>
          <w:rFonts w:ascii="Times New Roman" w:hAnsi="Times New Roman" w:cs="Times New Roman"/>
          <w:sz w:val="24"/>
          <w:szCs w:val="24"/>
        </w:rPr>
        <w:t>30-year amortization: $0.96 per share annually</w:t>
      </w:r>
    </w:p>
    <w:p w14:paraId="7B11781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This represented a substantial portion of projected combined earnings power, which analysts estimated at $2.50-3.00 per share based on operational performance.</w:t>
      </w:r>
    </w:p>
    <w:p w14:paraId="683883FC" w14:textId="47A2B3D9" w:rsidR="00521FEF" w:rsidRPr="00C406BB" w:rsidRDefault="00521FEF" w:rsidP="00C406BB">
      <w:pPr>
        <w:jc w:val="both"/>
        <w:rPr>
          <w:rFonts w:ascii="Times New Roman" w:hAnsi="Times New Roman" w:cs="Times New Roman"/>
          <w:sz w:val="24"/>
          <w:szCs w:val="24"/>
        </w:rPr>
      </w:pPr>
    </w:p>
    <w:p w14:paraId="5B2C49F7" w14:textId="0EA01C95" w:rsidR="00521FEF" w:rsidRDefault="00C406BB" w:rsidP="00C406BB">
      <w:pPr>
        <w:pStyle w:val="Heading1"/>
      </w:pPr>
      <w:bookmarkStart w:id="27" w:name="bm_3_purchase_price_allocation_an_60e360"/>
      <w:bookmarkStart w:id="28" w:name="_Toc221361481"/>
      <w:r w:rsidRPr="00C406BB">
        <w:rPr>
          <w:b w:val="0"/>
        </w:rPr>
        <w:t>3.</w:t>
      </w:r>
      <w:r>
        <w:t xml:space="preserve"> </w:t>
      </w:r>
      <w:r w:rsidR="00000000" w:rsidRPr="00C406BB">
        <w:t>Purchase Price Allocation and Goodwill Calculation</w:t>
      </w:r>
      <w:bookmarkEnd w:id="27"/>
      <w:bookmarkEnd w:id="28"/>
    </w:p>
    <w:p w14:paraId="57090E8D" w14:textId="77777777" w:rsidR="00C406BB" w:rsidRPr="00C406BB" w:rsidRDefault="00C406BB" w:rsidP="00C406BB"/>
    <w:p w14:paraId="4D1E6664" w14:textId="77777777" w:rsidR="00521FEF" w:rsidRPr="00C406BB" w:rsidRDefault="00000000" w:rsidP="00C406BB">
      <w:pPr>
        <w:pStyle w:val="Heading2"/>
      </w:pPr>
      <w:bookmarkStart w:id="29" w:name="bm_3_1_total_purchase_price_deter_81a9c3"/>
      <w:bookmarkStart w:id="30" w:name="_Toc221361482"/>
      <w:r w:rsidRPr="00C406BB">
        <w:t>3.1 Total Purchase Price Determination</w:t>
      </w:r>
      <w:bookmarkEnd w:id="29"/>
      <w:bookmarkEnd w:id="30"/>
    </w:p>
    <w:p w14:paraId="224AE61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purchase price calculation reflected the fair value of consideration issued by AOL to acquire Time Warner:</w:t>
      </w:r>
    </w:p>
    <w:p w14:paraId="2E6AD3E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Stock Consideration Valuation:</w:t>
      </w:r>
    </w:p>
    <w:p w14:paraId="535132C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Time Warner shareholders received 1.5 shares of AOL Time Warner for each TW share owned. With approximately 1.47 billion Time Warner shares outstanding, total shares issued: 2.205 billion shares.</w:t>
      </w:r>
    </w:p>
    <w:p w14:paraId="6D166DB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eastAsia="Georgia" w:hAnsi="Times New Roman" w:cs="Times New Roman"/>
          <w:sz w:val="24"/>
          <w:szCs w:val="24"/>
        </w:rPr>
        <w:t>At AOL's stock price immediately pre-closing (~$73 per share at announcement), the stock consideration valued:</w:t>
      </w:r>
    </w:p>
    <w:p w14:paraId="107BC267"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Stock Consideration</m:t>
          </m:r>
          <m:r>
            <m:rPr>
              <m:sty m:val="p"/>
            </m:rPr>
            <w:rPr>
              <w:rFonts w:ascii="Cambria Math" w:hAnsi="Cambria Math" w:cs="Times New Roman"/>
              <w:sz w:val="24"/>
              <w:szCs w:val="24"/>
            </w:rPr>
            <m:t>=2.205</m:t>
          </m:r>
          <m:r>
            <m:rPr>
              <m:nor/>
            </m:rPr>
            <w:rPr>
              <w:rFonts w:ascii="Times New Roman" w:hAnsi="Times New Roman" w:cs="Times New Roman"/>
              <w:sz w:val="24"/>
              <w:szCs w:val="24"/>
            </w:rPr>
            <m:t> billion shares</m:t>
          </m:r>
          <m:r>
            <m:rPr>
              <m:sty m:val="p"/>
            </m:rPr>
            <w:rPr>
              <w:rFonts w:ascii="Cambria Math" w:hAnsi="Cambria Math" w:cs="Times New Roman"/>
              <w:sz w:val="24"/>
              <w:szCs w:val="24"/>
            </w:rPr>
            <m:t>×$73=$161</m:t>
          </m:r>
          <m:r>
            <m:rPr>
              <m:nor/>
            </m:rPr>
            <w:rPr>
              <w:rFonts w:ascii="Times New Roman" w:hAnsi="Times New Roman" w:cs="Times New Roman"/>
              <w:sz w:val="24"/>
              <w:szCs w:val="24"/>
            </w:rPr>
            <m:t> billion</m:t>
          </m:r>
        </m:oMath>
      </m:oMathPara>
    </w:p>
    <w:p w14:paraId="0077F298" w14:textId="77777777" w:rsidR="00C406BB" w:rsidRDefault="00C406BB" w:rsidP="00C406BB">
      <w:pPr>
        <w:spacing w:after="210"/>
        <w:jc w:val="both"/>
        <w:rPr>
          <w:rFonts w:ascii="Times New Roman" w:hAnsi="Times New Roman" w:cs="Times New Roman"/>
          <w:b/>
          <w:sz w:val="24"/>
          <w:szCs w:val="24"/>
        </w:rPr>
      </w:pPr>
    </w:p>
    <w:p w14:paraId="76DD9074" w14:textId="70E79CD1"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lastRenderedPageBreak/>
        <w:t>Additional Consideration Elements:</w:t>
      </w:r>
    </w:p>
    <w:tbl>
      <w:tblPr>
        <w:tblStyle w:val="NormalGrid"/>
        <w:tblW w:w="0" w:type="auto"/>
        <w:jc w:val="center"/>
        <w:tblCellSpacing w:w="0" w:type="dxa"/>
        <w:tblLook w:val="04A0" w:firstRow="1" w:lastRow="0" w:firstColumn="1" w:lastColumn="0" w:noHBand="0" w:noVBand="1"/>
      </w:tblPr>
      <w:tblGrid>
        <w:gridCol w:w="3819"/>
        <w:gridCol w:w="2247"/>
      </w:tblGrid>
      <w:tr w:rsidR="00521FEF" w:rsidRPr="00C406BB" w14:paraId="3457326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FBA45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Component</w:t>
            </w:r>
          </w:p>
        </w:tc>
        <w:tc>
          <w:tcPr>
            <w:tcW w:w="0" w:type="auto"/>
            <w:tcBorders>
              <w:top w:val="single" w:sz="8" w:space="0" w:color="000000"/>
              <w:bottom w:val="single" w:sz="8" w:space="0" w:color="000000"/>
              <w:right w:val="single" w:sz="8" w:space="0" w:color="000000"/>
            </w:tcBorders>
            <w:vAlign w:val="center"/>
          </w:tcPr>
          <w:p w14:paraId="4CDC23D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Amount ($ billions)</w:t>
            </w:r>
          </w:p>
        </w:tc>
      </w:tr>
      <w:tr w:rsidR="00521FEF" w:rsidRPr="00C406BB" w14:paraId="0675D0F9" w14:textId="77777777">
        <w:trPr>
          <w:cantSplit/>
          <w:tblCellSpacing w:w="0" w:type="dxa"/>
          <w:jc w:val="center"/>
        </w:trPr>
        <w:tc>
          <w:tcPr>
            <w:tcW w:w="0" w:type="auto"/>
            <w:tcBorders>
              <w:left w:val="single" w:sz="8" w:space="0" w:color="000000"/>
              <w:right w:val="single" w:sz="8" w:space="0" w:color="000000"/>
            </w:tcBorders>
            <w:vAlign w:val="center"/>
          </w:tcPr>
          <w:p w14:paraId="1035E16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Stock consideration</w:t>
            </w:r>
          </w:p>
        </w:tc>
        <w:tc>
          <w:tcPr>
            <w:tcW w:w="0" w:type="auto"/>
            <w:tcBorders>
              <w:right w:val="single" w:sz="8" w:space="0" w:color="000000"/>
            </w:tcBorders>
            <w:vAlign w:val="center"/>
          </w:tcPr>
          <w:p w14:paraId="7E14FE8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$161.0</w:t>
            </w:r>
          </w:p>
        </w:tc>
      </w:tr>
      <w:tr w:rsidR="00521FEF" w:rsidRPr="00C406BB" w14:paraId="61D2BB77" w14:textId="77777777">
        <w:trPr>
          <w:cantSplit/>
          <w:tblCellSpacing w:w="0" w:type="dxa"/>
          <w:jc w:val="center"/>
        </w:trPr>
        <w:tc>
          <w:tcPr>
            <w:tcW w:w="0" w:type="auto"/>
            <w:tcBorders>
              <w:left w:val="single" w:sz="8" w:space="0" w:color="000000"/>
              <w:right w:val="single" w:sz="8" w:space="0" w:color="000000"/>
            </w:tcBorders>
            <w:vAlign w:val="center"/>
          </w:tcPr>
          <w:p w14:paraId="70DE960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Time Warner options/equity awards</w:t>
            </w:r>
          </w:p>
        </w:tc>
        <w:tc>
          <w:tcPr>
            <w:tcW w:w="0" w:type="auto"/>
            <w:tcBorders>
              <w:right w:val="single" w:sz="8" w:space="0" w:color="000000"/>
            </w:tcBorders>
            <w:vAlign w:val="center"/>
          </w:tcPr>
          <w:p w14:paraId="262E85E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w:t>
            </w:r>
          </w:p>
        </w:tc>
      </w:tr>
      <w:tr w:rsidR="00521FEF" w:rsidRPr="00C406BB" w14:paraId="76AFBEB8" w14:textId="77777777">
        <w:trPr>
          <w:cantSplit/>
          <w:tblCellSpacing w:w="0" w:type="dxa"/>
          <w:jc w:val="center"/>
        </w:trPr>
        <w:tc>
          <w:tcPr>
            <w:tcW w:w="0" w:type="auto"/>
            <w:tcBorders>
              <w:left w:val="single" w:sz="8" w:space="0" w:color="000000"/>
              <w:right w:val="single" w:sz="8" w:space="0" w:color="000000"/>
            </w:tcBorders>
            <w:vAlign w:val="center"/>
          </w:tcPr>
          <w:p w14:paraId="6C6E9C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Transaction costs</w:t>
            </w:r>
          </w:p>
        </w:tc>
        <w:tc>
          <w:tcPr>
            <w:tcW w:w="0" w:type="auto"/>
            <w:tcBorders>
              <w:right w:val="single" w:sz="8" w:space="0" w:color="000000"/>
            </w:tcBorders>
            <w:vAlign w:val="center"/>
          </w:tcPr>
          <w:p w14:paraId="6A87CC2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w:t>
            </w:r>
          </w:p>
        </w:tc>
      </w:tr>
      <w:tr w:rsidR="00521FEF" w:rsidRPr="00C406BB" w14:paraId="4363E84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348EC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Assumed Time Warner debt</w:t>
            </w:r>
          </w:p>
        </w:tc>
        <w:tc>
          <w:tcPr>
            <w:tcW w:w="0" w:type="auto"/>
            <w:tcBorders>
              <w:bottom w:val="single" w:sz="8" w:space="0" w:color="000000"/>
              <w:right w:val="single" w:sz="8" w:space="0" w:color="000000"/>
            </w:tcBorders>
            <w:vAlign w:val="center"/>
          </w:tcPr>
          <w:p w14:paraId="2E5664C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$17.2</w:t>
            </w:r>
          </w:p>
        </w:tc>
      </w:tr>
      <w:tr w:rsidR="00521FEF" w:rsidRPr="00C406BB" w14:paraId="24E0A6E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D2AD0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Enterprise Value</w:t>
            </w:r>
          </w:p>
        </w:tc>
        <w:tc>
          <w:tcPr>
            <w:tcW w:w="0" w:type="auto"/>
            <w:tcBorders>
              <w:bottom w:val="single" w:sz="8" w:space="0" w:color="000000"/>
              <w:right w:val="single" w:sz="8" w:space="0" w:color="000000"/>
            </w:tcBorders>
            <w:vAlign w:val="center"/>
          </w:tcPr>
          <w:p w14:paraId="2F45D3F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$183.2</w:t>
            </w:r>
          </w:p>
        </w:tc>
      </w:tr>
    </w:tbl>
    <w:p w14:paraId="5970E541" w14:textId="77777777" w:rsidR="00521FEF" w:rsidRPr="00C406BB" w:rsidRDefault="00521FEF" w:rsidP="00C406BB">
      <w:pPr>
        <w:jc w:val="both"/>
        <w:rPr>
          <w:rFonts w:ascii="Times New Roman" w:hAnsi="Times New Roman" w:cs="Times New Roman"/>
          <w:sz w:val="24"/>
          <w:szCs w:val="24"/>
        </w:rPr>
      </w:pPr>
    </w:p>
    <w:p w14:paraId="5B17E4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6: Total Purchase Price Components</w:t>
      </w:r>
    </w:p>
    <w:p w14:paraId="3EB62AAB" w14:textId="1E9DC216"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For purchase accounting purposes, the equity purchase price (excluding assumed debt) totaled approximately $166 billion.</w:t>
      </w:r>
    </w:p>
    <w:p w14:paraId="33EF9E7F" w14:textId="77777777" w:rsidR="00C406BB" w:rsidRDefault="00C406BB" w:rsidP="00C406BB">
      <w:pPr>
        <w:spacing w:before="240" w:line="271" w:lineRule="auto"/>
        <w:jc w:val="both"/>
        <w:rPr>
          <w:rFonts w:ascii="Times New Roman" w:hAnsi="Times New Roman" w:cs="Times New Roman"/>
          <w:b/>
          <w:sz w:val="24"/>
          <w:szCs w:val="24"/>
        </w:rPr>
      </w:pPr>
      <w:bookmarkStart w:id="31" w:name="bm_3_2_fair_value_of_time_warner_2a5f29"/>
    </w:p>
    <w:p w14:paraId="6D8FC267" w14:textId="14A25DA7" w:rsidR="00521FEF" w:rsidRPr="00C406BB" w:rsidRDefault="00000000" w:rsidP="00C406BB">
      <w:pPr>
        <w:pStyle w:val="Heading2"/>
      </w:pPr>
      <w:bookmarkStart w:id="32" w:name="_Toc221361483"/>
      <w:r w:rsidRPr="00C406BB">
        <w:t>3.2 Fair Value of Time Warner Net Assets</w:t>
      </w:r>
      <w:bookmarkEnd w:id="31"/>
      <w:bookmarkEnd w:id="32"/>
    </w:p>
    <w:p w14:paraId="3F21D2E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Purchase accounting required valuing Time Warner's identifiable assets and liabilities at fair market value as of the acquisition date:</w:t>
      </w:r>
    </w:p>
    <w:p w14:paraId="0FA5519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Asset Valuation:</w:t>
      </w:r>
    </w:p>
    <w:tbl>
      <w:tblPr>
        <w:tblStyle w:val="NormalGrid"/>
        <w:tblW w:w="0" w:type="auto"/>
        <w:jc w:val="center"/>
        <w:tblCellSpacing w:w="0" w:type="dxa"/>
        <w:tblLook w:val="04A0" w:firstRow="1" w:lastRow="0" w:firstColumn="1" w:lastColumn="0" w:noHBand="0" w:noVBand="1"/>
      </w:tblPr>
      <w:tblGrid>
        <w:gridCol w:w="3107"/>
        <w:gridCol w:w="1494"/>
        <w:gridCol w:w="1360"/>
        <w:gridCol w:w="1087"/>
      </w:tblGrid>
      <w:tr w:rsidR="00521FEF" w:rsidRPr="00C406BB" w14:paraId="49FF99F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3908D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Asset Category</w:t>
            </w:r>
          </w:p>
        </w:tc>
        <w:tc>
          <w:tcPr>
            <w:tcW w:w="0" w:type="auto"/>
            <w:tcBorders>
              <w:top w:val="single" w:sz="8" w:space="0" w:color="000000"/>
              <w:bottom w:val="single" w:sz="8" w:space="0" w:color="000000"/>
              <w:right w:val="single" w:sz="8" w:space="0" w:color="000000"/>
            </w:tcBorders>
            <w:vAlign w:val="center"/>
          </w:tcPr>
          <w:p w14:paraId="2B15164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Book Value</w:t>
            </w:r>
          </w:p>
        </w:tc>
        <w:tc>
          <w:tcPr>
            <w:tcW w:w="0" w:type="auto"/>
            <w:tcBorders>
              <w:top w:val="single" w:sz="8" w:space="0" w:color="000000"/>
              <w:bottom w:val="single" w:sz="8" w:space="0" w:color="000000"/>
              <w:right w:val="single" w:sz="8" w:space="0" w:color="000000"/>
            </w:tcBorders>
            <w:vAlign w:val="center"/>
          </w:tcPr>
          <w:p w14:paraId="630419B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Fair Value</w:t>
            </w:r>
          </w:p>
        </w:tc>
        <w:tc>
          <w:tcPr>
            <w:tcW w:w="0" w:type="auto"/>
            <w:tcBorders>
              <w:top w:val="single" w:sz="8" w:space="0" w:color="000000"/>
              <w:bottom w:val="single" w:sz="8" w:space="0" w:color="000000"/>
              <w:right w:val="single" w:sz="8" w:space="0" w:color="000000"/>
            </w:tcBorders>
            <w:vAlign w:val="center"/>
          </w:tcPr>
          <w:p w14:paraId="2F5AD08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Step-up</w:t>
            </w:r>
          </w:p>
        </w:tc>
      </w:tr>
      <w:tr w:rsidR="00521FEF" w:rsidRPr="00C406BB" w14:paraId="656D7532" w14:textId="77777777">
        <w:trPr>
          <w:cantSplit/>
          <w:tblCellSpacing w:w="0" w:type="dxa"/>
          <w:jc w:val="center"/>
        </w:trPr>
        <w:tc>
          <w:tcPr>
            <w:tcW w:w="0" w:type="auto"/>
            <w:tcBorders>
              <w:left w:val="single" w:sz="8" w:space="0" w:color="000000"/>
              <w:right w:val="single" w:sz="8" w:space="0" w:color="000000"/>
            </w:tcBorders>
            <w:vAlign w:val="center"/>
          </w:tcPr>
          <w:p w14:paraId="6DC2BCB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Current assets</w:t>
            </w:r>
          </w:p>
        </w:tc>
        <w:tc>
          <w:tcPr>
            <w:tcW w:w="0" w:type="auto"/>
            <w:tcBorders>
              <w:right w:val="single" w:sz="8" w:space="0" w:color="000000"/>
            </w:tcBorders>
            <w:vAlign w:val="center"/>
          </w:tcPr>
          <w:p w14:paraId="62CFDCA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$8.2</w:t>
            </w:r>
          </w:p>
        </w:tc>
        <w:tc>
          <w:tcPr>
            <w:tcW w:w="0" w:type="auto"/>
            <w:tcBorders>
              <w:right w:val="single" w:sz="8" w:space="0" w:color="000000"/>
            </w:tcBorders>
            <w:vAlign w:val="center"/>
          </w:tcPr>
          <w:p w14:paraId="5B51CB4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$8.2</w:t>
            </w:r>
          </w:p>
        </w:tc>
        <w:tc>
          <w:tcPr>
            <w:tcW w:w="0" w:type="auto"/>
            <w:tcBorders>
              <w:right w:val="single" w:sz="8" w:space="0" w:color="000000"/>
            </w:tcBorders>
            <w:vAlign w:val="center"/>
          </w:tcPr>
          <w:p w14:paraId="6BEFB13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$0.0</w:t>
            </w:r>
          </w:p>
        </w:tc>
      </w:tr>
      <w:tr w:rsidR="00521FEF" w:rsidRPr="00C406BB" w14:paraId="487E8BFD" w14:textId="77777777">
        <w:trPr>
          <w:cantSplit/>
          <w:tblCellSpacing w:w="0" w:type="dxa"/>
          <w:jc w:val="center"/>
        </w:trPr>
        <w:tc>
          <w:tcPr>
            <w:tcW w:w="0" w:type="auto"/>
            <w:tcBorders>
              <w:left w:val="single" w:sz="8" w:space="0" w:color="000000"/>
              <w:right w:val="single" w:sz="8" w:space="0" w:color="000000"/>
            </w:tcBorders>
            <w:vAlign w:val="center"/>
          </w:tcPr>
          <w:p w14:paraId="3335FB9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Property, plant &amp; equipment</w:t>
            </w:r>
          </w:p>
        </w:tc>
        <w:tc>
          <w:tcPr>
            <w:tcW w:w="0" w:type="auto"/>
            <w:tcBorders>
              <w:right w:val="single" w:sz="8" w:space="0" w:color="000000"/>
            </w:tcBorders>
            <w:vAlign w:val="center"/>
          </w:tcPr>
          <w:p w14:paraId="3902D14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$12.4</w:t>
            </w:r>
          </w:p>
        </w:tc>
        <w:tc>
          <w:tcPr>
            <w:tcW w:w="0" w:type="auto"/>
            <w:tcBorders>
              <w:right w:val="single" w:sz="8" w:space="0" w:color="000000"/>
            </w:tcBorders>
            <w:vAlign w:val="center"/>
          </w:tcPr>
          <w:p w14:paraId="3C23C52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$15.8</w:t>
            </w:r>
          </w:p>
        </w:tc>
        <w:tc>
          <w:tcPr>
            <w:tcW w:w="0" w:type="auto"/>
            <w:tcBorders>
              <w:right w:val="single" w:sz="8" w:space="0" w:color="000000"/>
            </w:tcBorders>
            <w:vAlign w:val="center"/>
          </w:tcPr>
          <w:p w14:paraId="434EFE4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$3.4</w:t>
            </w:r>
          </w:p>
        </w:tc>
      </w:tr>
      <w:tr w:rsidR="00521FEF" w:rsidRPr="00C406BB" w14:paraId="2BB7E5CE" w14:textId="77777777">
        <w:trPr>
          <w:cantSplit/>
          <w:tblCellSpacing w:w="0" w:type="dxa"/>
          <w:jc w:val="center"/>
        </w:trPr>
        <w:tc>
          <w:tcPr>
            <w:tcW w:w="0" w:type="auto"/>
            <w:tcBorders>
              <w:left w:val="single" w:sz="8" w:space="0" w:color="000000"/>
              <w:right w:val="single" w:sz="8" w:space="0" w:color="000000"/>
            </w:tcBorders>
            <w:vAlign w:val="center"/>
          </w:tcPr>
          <w:p w14:paraId="39CD55B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Film libraries</w:t>
            </w:r>
          </w:p>
        </w:tc>
        <w:tc>
          <w:tcPr>
            <w:tcW w:w="0" w:type="auto"/>
            <w:tcBorders>
              <w:right w:val="single" w:sz="8" w:space="0" w:color="000000"/>
            </w:tcBorders>
            <w:vAlign w:val="center"/>
          </w:tcPr>
          <w:p w14:paraId="155DD0B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$4.8</w:t>
            </w:r>
          </w:p>
        </w:tc>
        <w:tc>
          <w:tcPr>
            <w:tcW w:w="0" w:type="auto"/>
            <w:tcBorders>
              <w:right w:val="single" w:sz="8" w:space="0" w:color="000000"/>
            </w:tcBorders>
            <w:vAlign w:val="center"/>
          </w:tcPr>
          <w:p w14:paraId="4B1C5BF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$12.5</w:t>
            </w:r>
          </w:p>
        </w:tc>
        <w:tc>
          <w:tcPr>
            <w:tcW w:w="0" w:type="auto"/>
            <w:tcBorders>
              <w:right w:val="single" w:sz="8" w:space="0" w:color="000000"/>
            </w:tcBorders>
            <w:vAlign w:val="center"/>
          </w:tcPr>
          <w:p w14:paraId="1A00CCA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$7.7</w:t>
            </w:r>
          </w:p>
        </w:tc>
      </w:tr>
      <w:tr w:rsidR="00521FEF" w:rsidRPr="00C406BB" w14:paraId="657300B4" w14:textId="77777777">
        <w:trPr>
          <w:cantSplit/>
          <w:tblCellSpacing w:w="0" w:type="dxa"/>
          <w:jc w:val="center"/>
        </w:trPr>
        <w:tc>
          <w:tcPr>
            <w:tcW w:w="0" w:type="auto"/>
            <w:tcBorders>
              <w:left w:val="single" w:sz="8" w:space="0" w:color="000000"/>
              <w:right w:val="single" w:sz="8" w:space="0" w:color="000000"/>
            </w:tcBorders>
            <w:vAlign w:val="center"/>
          </w:tcPr>
          <w:p w14:paraId="48F7E01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Cable franchises</w:t>
            </w:r>
          </w:p>
        </w:tc>
        <w:tc>
          <w:tcPr>
            <w:tcW w:w="0" w:type="auto"/>
            <w:tcBorders>
              <w:right w:val="single" w:sz="8" w:space="0" w:color="000000"/>
            </w:tcBorders>
            <w:vAlign w:val="center"/>
          </w:tcPr>
          <w:p w14:paraId="685C741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$8.5</w:t>
            </w:r>
          </w:p>
        </w:tc>
        <w:tc>
          <w:tcPr>
            <w:tcW w:w="0" w:type="auto"/>
            <w:tcBorders>
              <w:right w:val="single" w:sz="8" w:space="0" w:color="000000"/>
            </w:tcBorders>
            <w:vAlign w:val="center"/>
          </w:tcPr>
          <w:p w14:paraId="3DDDCCB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$22.0</w:t>
            </w:r>
          </w:p>
        </w:tc>
        <w:tc>
          <w:tcPr>
            <w:tcW w:w="0" w:type="auto"/>
            <w:tcBorders>
              <w:right w:val="single" w:sz="8" w:space="0" w:color="000000"/>
            </w:tcBorders>
            <w:vAlign w:val="center"/>
          </w:tcPr>
          <w:p w14:paraId="0102DA0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$13.5</w:t>
            </w:r>
          </w:p>
        </w:tc>
      </w:tr>
      <w:tr w:rsidR="00521FEF" w:rsidRPr="00C406BB" w14:paraId="5DD1B830" w14:textId="77777777">
        <w:trPr>
          <w:cantSplit/>
          <w:tblCellSpacing w:w="0" w:type="dxa"/>
          <w:jc w:val="center"/>
        </w:trPr>
        <w:tc>
          <w:tcPr>
            <w:tcW w:w="0" w:type="auto"/>
            <w:tcBorders>
              <w:left w:val="single" w:sz="8" w:space="0" w:color="000000"/>
              <w:right w:val="single" w:sz="8" w:space="0" w:color="000000"/>
            </w:tcBorders>
            <w:vAlign w:val="center"/>
          </w:tcPr>
          <w:p w14:paraId="07EEE22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Brand names/trademarks</w:t>
            </w:r>
          </w:p>
        </w:tc>
        <w:tc>
          <w:tcPr>
            <w:tcW w:w="0" w:type="auto"/>
            <w:tcBorders>
              <w:right w:val="single" w:sz="8" w:space="0" w:color="000000"/>
            </w:tcBorders>
            <w:vAlign w:val="center"/>
          </w:tcPr>
          <w:p w14:paraId="726661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$0.3</w:t>
            </w:r>
          </w:p>
        </w:tc>
        <w:tc>
          <w:tcPr>
            <w:tcW w:w="0" w:type="auto"/>
            <w:tcBorders>
              <w:right w:val="single" w:sz="8" w:space="0" w:color="000000"/>
            </w:tcBorders>
            <w:vAlign w:val="center"/>
          </w:tcPr>
          <w:p w14:paraId="5CC411A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$6.2</w:t>
            </w:r>
          </w:p>
        </w:tc>
        <w:tc>
          <w:tcPr>
            <w:tcW w:w="0" w:type="auto"/>
            <w:tcBorders>
              <w:right w:val="single" w:sz="8" w:space="0" w:color="000000"/>
            </w:tcBorders>
            <w:vAlign w:val="center"/>
          </w:tcPr>
          <w:p w14:paraId="68E6157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$5.9</w:t>
            </w:r>
          </w:p>
        </w:tc>
      </w:tr>
      <w:tr w:rsidR="00521FEF" w:rsidRPr="00C406BB" w14:paraId="68658A50" w14:textId="77777777">
        <w:trPr>
          <w:cantSplit/>
          <w:tblCellSpacing w:w="0" w:type="dxa"/>
          <w:jc w:val="center"/>
        </w:trPr>
        <w:tc>
          <w:tcPr>
            <w:tcW w:w="0" w:type="auto"/>
            <w:tcBorders>
              <w:left w:val="single" w:sz="8" w:space="0" w:color="000000"/>
              <w:right w:val="single" w:sz="8" w:space="0" w:color="000000"/>
            </w:tcBorders>
            <w:vAlign w:val="center"/>
          </w:tcPr>
          <w:p w14:paraId="5193FA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intangibles</w:t>
            </w:r>
          </w:p>
        </w:tc>
        <w:tc>
          <w:tcPr>
            <w:tcW w:w="0" w:type="auto"/>
            <w:tcBorders>
              <w:right w:val="single" w:sz="8" w:space="0" w:color="000000"/>
            </w:tcBorders>
            <w:vAlign w:val="center"/>
          </w:tcPr>
          <w:p w14:paraId="34F844A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w:t>
            </w:r>
          </w:p>
        </w:tc>
        <w:tc>
          <w:tcPr>
            <w:tcW w:w="0" w:type="auto"/>
            <w:tcBorders>
              <w:right w:val="single" w:sz="8" w:space="0" w:color="000000"/>
            </w:tcBorders>
            <w:vAlign w:val="center"/>
          </w:tcPr>
          <w:p w14:paraId="336DD0F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$4.8</w:t>
            </w:r>
          </w:p>
        </w:tc>
        <w:tc>
          <w:tcPr>
            <w:tcW w:w="0" w:type="auto"/>
            <w:tcBorders>
              <w:right w:val="single" w:sz="8" w:space="0" w:color="000000"/>
            </w:tcBorders>
            <w:vAlign w:val="center"/>
          </w:tcPr>
          <w:p w14:paraId="16F5A27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$3.6</w:t>
            </w:r>
          </w:p>
        </w:tc>
      </w:tr>
      <w:tr w:rsidR="00521FEF" w:rsidRPr="00C406BB" w14:paraId="7F0578D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7800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assets</w:t>
            </w:r>
          </w:p>
        </w:tc>
        <w:tc>
          <w:tcPr>
            <w:tcW w:w="0" w:type="auto"/>
            <w:tcBorders>
              <w:bottom w:val="single" w:sz="8" w:space="0" w:color="000000"/>
              <w:right w:val="single" w:sz="8" w:space="0" w:color="000000"/>
            </w:tcBorders>
            <w:vAlign w:val="center"/>
          </w:tcPr>
          <w:p w14:paraId="08C819C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w:t>
            </w:r>
          </w:p>
        </w:tc>
        <w:tc>
          <w:tcPr>
            <w:tcW w:w="0" w:type="auto"/>
            <w:tcBorders>
              <w:bottom w:val="single" w:sz="8" w:space="0" w:color="000000"/>
              <w:right w:val="single" w:sz="8" w:space="0" w:color="000000"/>
            </w:tcBorders>
            <w:vAlign w:val="center"/>
          </w:tcPr>
          <w:p w14:paraId="7F90C78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w:t>
            </w:r>
          </w:p>
        </w:tc>
        <w:tc>
          <w:tcPr>
            <w:tcW w:w="0" w:type="auto"/>
            <w:tcBorders>
              <w:bottom w:val="single" w:sz="8" w:space="0" w:color="000000"/>
              <w:right w:val="single" w:sz="8" w:space="0" w:color="000000"/>
            </w:tcBorders>
            <w:vAlign w:val="center"/>
          </w:tcPr>
          <w:p w14:paraId="704415C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$0.0</w:t>
            </w:r>
          </w:p>
        </w:tc>
      </w:tr>
      <w:tr w:rsidR="00521FEF" w:rsidRPr="00C406BB" w14:paraId="73DAE6D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F9DD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Assets</w:t>
            </w:r>
          </w:p>
        </w:tc>
        <w:tc>
          <w:tcPr>
            <w:tcW w:w="0" w:type="auto"/>
            <w:tcBorders>
              <w:bottom w:val="single" w:sz="8" w:space="0" w:color="000000"/>
              <w:right w:val="single" w:sz="8" w:space="0" w:color="000000"/>
            </w:tcBorders>
            <w:vAlign w:val="center"/>
          </w:tcPr>
          <w:p w14:paraId="7FBEA12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$38.2</w:t>
            </w:r>
          </w:p>
        </w:tc>
        <w:tc>
          <w:tcPr>
            <w:tcW w:w="0" w:type="auto"/>
            <w:tcBorders>
              <w:bottom w:val="single" w:sz="8" w:space="0" w:color="000000"/>
              <w:right w:val="single" w:sz="8" w:space="0" w:color="000000"/>
            </w:tcBorders>
            <w:vAlign w:val="center"/>
          </w:tcPr>
          <w:p w14:paraId="4F39C21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$72.3</w:t>
            </w:r>
          </w:p>
        </w:tc>
        <w:tc>
          <w:tcPr>
            <w:tcW w:w="0" w:type="auto"/>
            <w:tcBorders>
              <w:bottom w:val="single" w:sz="8" w:space="0" w:color="000000"/>
              <w:right w:val="single" w:sz="8" w:space="0" w:color="000000"/>
            </w:tcBorders>
            <w:vAlign w:val="center"/>
          </w:tcPr>
          <w:p w14:paraId="75D7D38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$34.1</w:t>
            </w:r>
          </w:p>
        </w:tc>
      </w:tr>
    </w:tbl>
    <w:p w14:paraId="2FD5B4AC" w14:textId="77777777" w:rsidR="00521FEF" w:rsidRPr="00C406BB" w:rsidRDefault="00521FEF" w:rsidP="00C406BB">
      <w:pPr>
        <w:jc w:val="both"/>
        <w:rPr>
          <w:rFonts w:ascii="Times New Roman" w:hAnsi="Times New Roman" w:cs="Times New Roman"/>
          <w:sz w:val="24"/>
          <w:szCs w:val="24"/>
        </w:rPr>
      </w:pPr>
    </w:p>
    <w:p w14:paraId="3480EEB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7: Time Warner Asset Fair Value Allocation ($ billions)</w:t>
      </w:r>
    </w:p>
    <w:p w14:paraId="5153DB1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Liability Valuation:</w:t>
      </w:r>
    </w:p>
    <w:p w14:paraId="1908188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Time Warner's liabilities remained largely at book value with minor fair value adjustments:</w:t>
      </w:r>
    </w:p>
    <w:tbl>
      <w:tblPr>
        <w:tblStyle w:val="NormalGrid"/>
        <w:tblW w:w="0" w:type="auto"/>
        <w:jc w:val="center"/>
        <w:tblCellSpacing w:w="0" w:type="dxa"/>
        <w:tblLook w:val="04A0" w:firstRow="1" w:lastRow="0" w:firstColumn="1" w:lastColumn="0" w:noHBand="0" w:noVBand="1"/>
      </w:tblPr>
      <w:tblGrid>
        <w:gridCol w:w="2867"/>
        <w:gridCol w:w="2480"/>
      </w:tblGrid>
      <w:tr w:rsidR="00521FEF" w:rsidRPr="00C406BB" w14:paraId="4858A4C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6A1EED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lastRenderedPageBreak/>
              <w:t>Liability Category</w:t>
            </w:r>
          </w:p>
        </w:tc>
        <w:tc>
          <w:tcPr>
            <w:tcW w:w="0" w:type="auto"/>
            <w:tcBorders>
              <w:top w:val="single" w:sz="8" w:space="0" w:color="000000"/>
              <w:bottom w:val="single" w:sz="8" w:space="0" w:color="000000"/>
              <w:right w:val="single" w:sz="8" w:space="0" w:color="000000"/>
            </w:tcBorders>
            <w:vAlign w:val="center"/>
          </w:tcPr>
          <w:p w14:paraId="6D53F13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Fair Value ($ billions)</w:t>
            </w:r>
          </w:p>
        </w:tc>
      </w:tr>
      <w:tr w:rsidR="00521FEF" w:rsidRPr="00C406BB" w14:paraId="742CFED9" w14:textId="77777777">
        <w:trPr>
          <w:cantSplit/>
          <w:tblCellSpacing w:w="0" w:type="dxa"/>
          <w:jc w:val="center"/>
        </w:trPr>
        <w:tc>
          <w:tcPr>
            <w:tcW w:w="0" w:type="auto"/>
            <w:tcBorders>
              <w:left w:val="single" w:sz="8" w:space="0" w:color="000000"/>
              <w:right w:val="single" w:sz="8" w:space="0" w:color="000000"/>
            </w:tcBorders>
            <w:vAlign w:val="center"/>
          </w:tcPr>
          <w:p w14:paraId="0BB6B7D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Current liabilities</w:t>
            </w:r>
          </w:p>
        </w:tc>
        <w:tc>
          <w:tcPr>
            <w:tcW w:w="0" w:type="auto"/>
            <w:tcBorders>
              <w:right w:val="single" w:sz="8" w:space="0" w:color="000000"/>
            </w:tcBorders>
            <w:vAlign w:val="center"/>
          </w:tcPr>
          <w:p w14:paraId="7BB89B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$8.4</w:t>
            </w:r>
          </w:p>
        </w:tc>
      </w:tr>
      <w:tr w:rsidR="00521FEF" w:rsidRPr="00C406BB" w14:paraId="21E93AD0" w14:textId="77777777">
        <w:trPr>
          <w:cantSplit/>
          <w:tblCellSpacing w:w="0" w:type="dxa"/>
          <w:jc w:val="center"/>
        </w:trPr>
        <w:tc>
          <w:tcPr>
            <w:tcW w:w="0" w:type="auto"/>
            <w:tcBorders>
              <w:left w:val="single" w:sz="8" w:space="0" w:color="000000"/>
              <w:right w:val="single" w:sz="8" w:space="0" w:color="000000"/>
            </w:tcBorders>
            <w:vAlign w:val="center"/>
          </w:tcPr>
          <w:p w14:paraId="7D39B0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Long-term debt</w:t>
            </w:r>
          </w:p>
        </w:tc>
        <w:tc>
          <w:tcPr>
            <w:tcW w:w="0" w:type="auto"/>
            <w:tcBorders>
              <w:right w:val="single" w:sz="8" w:space="0" w:color="000000"/>
            </w:tcBorders>
            <w:vAlign w:val="center"/>
          </w:tcPr>
          <w:p w14:paraId="292F980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$17.2</w:t>
            </w:r>
          </w:p>
        </w:tc>
      </w:tr>
      <w:tr w:rsidR="00521FEF" w:rsidRPr="00C406BB" w14:paraId="61CDA537" w14:textId="77777777">
        <w:trPr>
          <w:cantSplit/>
          <w:tblCellSpacing w:w="0" w:type="dxa"/>
          <w:jc w:val="center"/>
        </w:trPr>
        <w:tc>
          <w:tcPr>
            <w:tcW w:w="0" w:type="auto"/>
            <w:tcBorders>
              <w:left w:val="single" w:sz="8" w:space="0" w:color="000000"/>
              <w:right w:val="single" w:sz="8" w:space="0" w:color="000000"/>
            </w:tcBorders>
            <w:vAlign w:val="center"/>
          </w:tcPr>
          <w:p w14:paraId="0B81FC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Deferred taxes (new)</w:t>
            </w:r>
          </w:p>
        </w:tc>
        <w:tc>
          <w:tcPr>
            <w:tcW w:w="0" w:type="auto"/>
            <w:tcBorders>
              <w:right w:val="single" w:sz="8" w:space="0" w:color="000000"/>
            </w:tcBorders>
            <w:vAlign w:val="center"/>
          </w:tcPr>
          <w:p w14:paraId="14BAEAC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$9.8</w:t>
            </w:r>
          </w:p>
        </w:tc>
      </w:tr>
      <w:tr w:rsidR="00521FEF" w:rsidRPr="00C406BB" w14:paraId="04C8EA2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480F6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long-term liabilities</w:t>
            </w:r>
          </w:p>
        </w:tc>
        <w:tc>
          <w:tcPr>
            <w:tcW w:w="0" w:type="auto"/>
            <w:tcBorders>
              <w:bottom w:val="single" w:sz="8" w:space="0" w:color="000000"/>
              <w:right w:val="single" w:sz="8" w:space="0" w:color="000000"/>
            </w:tcBorders>
            <w:vAlign w:val="center"/>
          </w:tcPr>
          <w:p w14:paraId="4C84269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r>
      <w:tr w:rsidR="00521FEF" w:rsidRPr="00C406BB" w14:paraId="2F69573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CB098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Liabilities</w:t>
            </w:r>
          </w:p>
        </w:tc>
        <w:tc>
          <w:tcPr>
            <w:tcW w:w="0" w:type="auto"/>
            <w:tcBorders>
              <w:bottom w:val="single" w:sz="8" w:space="0" w:color="000000"/>
              <w:right w:val="single" w:sz="8" w:space="0" w:color="000000"/>
            </w:tcBorders>
            <w:vAlign w:val="center"/>
          </w:tcPr>
          <w:p w14:paraId="4A3A089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$38.6</w:t>
            </w:r>
          </w:p>
        </w:tc>
      </w:tr>
    </w:tbl>
    <w:p w14:paraId="77429258" w14:textId="77777777" w:rsidR="00521FEF" w:rsidRPr="00C406BB" w:rsidRDefault="00521FEF" w:rsidP="00C406BB">
      <w:pPr>
        <w:jc w:val="both"/>
        <w:rPr>
          <w:rFonts w:ascii="Times New Roman" w:hAnsi="Times New Roman" w:cs="Times New Roman"/>
          <w:sz w:val="24"/>
          <w:szCs w:val="24"/>
        </w:rPr>
      </w:pPr>
    </w:p>
    <w:p w14:paraId="4FF525D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8: Time Warner Liability Fair Values</w:t>
      </w:r>
    </w:p>
    <w:p w14:paraId="0ABA7EB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eastAsia="Georgia" w:hAnsi="Times New Roman" w:cs="Times New Roman"/>
          <w:sz w:val="24"/>
          <w:szCs w:val="24"/>
        </w:rPr>
        <w:t>The deferred tax liability of $9.8 billion arose from the $34.1 billion fair value step-up on assets, reflecting future tax consequences of the higher depreciation and amortization basis (assuming 35% corporate tax rate: $34.1B × 35% = $11.9B, net of certain adjustments).</w:t>
      </w:r>
    </w:p>
    <w:p w14:paraId="2F9B9D0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Net Assets at Fair Value:</w:t>
      </w:r>
    </w:p>
    <w:p w14:paraId="7FE4D782"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Fair Value of Net Assets</m:t>
          </m:r>
          <m:r>
            <m:rPr>
              <m:sty m:val="p"/>
            </m:rPr>
            <w:rPr>
              <w:rFonts w:ascii="Cambria Math" w:hAnsi="Cambria Math" w:cs="Times New Roman"/>
              <w:sz w:val="24"/>
              <w:szCs w:val="24"/>
            </w:rPr>
            <m:t>=$72.3</m:t>
          </m:r>
          <m:r>
            <w:rPr>
              <w:rFonts w:ascii="Cambria Math" w:hAnsi="Cambria Math" w:cs="Times New Roman"/>
              <w:sz w:val="24"/>
              <w:szCs w:val="24"/>
            </w:rPr>
            <m:t>B</m:t>
          </m:r>
          <m:r>
            <m:rPr>
              <m:sty m:val="p"/>
            </m:rPr>
            <w:rPr>
              <w:rFonts w:ascii="Cambria Math" w:hAnsi="Cambria Math" w:cs="Times New Roman"/>
              <w:sz w:val="24"/>
              <w:szCs w:val="24"/>
            </w:rPr>
            <m:t>-$38.6</m:t>
          </m:r>
          <m:r>
            <w:rPr>
              <w:rFonts w:ascii="Cambria Math" w:hAnsi="Cambria Math" w:cs="Times New Roman"/>
              <w:sz w:val="24"/>
              <w:szCs w:val="24"/>
            </w:rPr>
            <m:t>B</m:t>
          </m:r>
          <m:r>
            <m:rPr>
              <m:sty m:val="p"/>
            </m:rPr>
            <w:rPr>
              <w:rFonts w:ascii="Cambria Math" w:hAnsi="Cambria Math" w:cs="Times New Roman"/>
              <w:sz w:val="24"/>
              <w:szCs w:val="24"/>
            </w:rPr>
            <m:t>=$33.7</m:t>
          </m:r>
          <m:r>
            <w:rPr>
              <w:rFonts w:ascii="Cambria Math" w:hAnsi="Cambria Math" w:cs="Times New Roman"/>
              <w:sz w:val="24"/>
              <w:szCs w:val="24"/>
            </w:rPr>
            <m:t>B</m:t>
          </m:r>
        </m:oMath>
      </m:oMathPara>
    </w:p>
    <w:p w14:paraId="176F85AD" w14:textId="77777777" w:rsidR="00C406BB" w:rsidRDefault="00C406BB" w:rsidP="00C406BB">
      <w:pPr>
        <w:spacing w:before="240" w:line="271" w:lineRule="auto"/>
        <w:jc w:val="both"/>
        <w:rPr>
          <w:rFonts w:ascii="Times New Roman" w:hAnsi="Times New Roman" w:cs="Times New Roman"/>
          <w:b/>
          <w:sz w:val="24"/>
          <w:szCs w:val="24"/>
        </w:rPr>
      </w:pPr>
      <w:bookmarkStart w:id="33" w:name="bm_3_3_goodwill_calculation"/>
    </w:p>
    <w:p w14:paraId="092C83A0" w14:textId="18768F98" w:rsidR="00521FEF" w:rsidRPr="00C406BB" w:rsidRDefault="00000000" w:rsidP="00C406BB">
      <w:pPr>
        <w:pStyle w:val="Heading2"/>
      </w:pPr>
      <w:bookmarkStart w:id="34" w:name="_Toc221361484"/>
      <w:r w:rsidRPr="00C406BB">
        <w:t>3.3 Goodwill Calculation</w:t>
      </w:r>
      <w:bookmarkEnd w:id="33"/>
      <w:bookmarkEnd w:id="34"/>
    </w:p>
    <w:p w14:paraId="0BC24C1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Goodwill represented the excess of purchase price over fair value of identifiable net assets:</w:t>
      </w:r>
    </w:p>
    <w:p w14:paraId="37EE0CAF"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Goodwill</m:t>
          </m:r>
          <m:r>
            <m:rPr>
              <m:sty m:val="p"/>
            </m:rPr>
            <w:rPr>
              <w:rFonts w:ascii="Cambria Math" w:hAnsi="Cambria Math" w:cs="Times New Roman"/>
              <w:sz w:val="24"/>
              <w:szCs w:val="24"/>
            </w:rPr>
            <m:t>=</m:t>
          </m:r>
          <m:r>
            <m:rPr>
              <m:nor/>
            </m:rPr>
            <w:rPr>
              <w:rFonts w:ascii="Times New Roman" w:hAnsi="Times New Roman" w:cs="Times New Roman"/>
              <w:sz w:val="24"/>
              <w:szCs w:val="24"/>
            </w:rPr>
            <m:t>Purchase Price</m:t>
          </m:r>
          <m:r>
            <m:rPr>
              <m:sty m:val="p"/>
            </m:rPr>
            <w:rPr>
              <w:rFonts w:ascii="Cambria Math" w:hAnsi="Cambria Math" w:cs="Times New Roman"/>
              <w:sz w:val="24"/>
              <w:szCs w:val="24"/>
            </w:rPr>
            <m:t>-</m:t>
          </m:r>
          <m:r>
            <m:rPr>
              <m:nor/>
            </m:rPr>
            <w:rPr>
              <w:rFonts w:ascii="Times New Roman" w:hAnsi="Times New Roman" w:cs="Times New Roman"/>
              <w:sz w:val="24"/>
              <w:szCs w:val="24"/>
            </w:rPr>
            <m:t>FV of Net Assets</m:t>
          </m:r>
        </m:oMath>
      </m:oMathPara>
    </w:p>
    <w:p w14:paraId="426978DB"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Goodwill</m:t>
          </m:r>
          <m:r>
            <m:rPr>
              <m:sty m:val="p"/>
            </m:rPr>
            <w:rPr>
              <w:rFonts w:ascii="Cambria Math" w:hAnsi="Cambria Math" w:cs="Times New Roman"/>
              <w:sz w:val="24"/>
              <w:szCs w:val="24"/>
            </w:rPr>
            <m:t>=$166.0</m:t>
          </m:r>
          <m:r>
            <w:rPr>
              <w:rFonts w:ascii="Cambria Math" w:hAnsi="Cambria Math" w:cs="Times New Roman"/>
              <w:sz w:val="24"/>
              <w:szCs w:val="24"/>
            </w:rPr>
            <m:t>B</m:t>
          </m:r>
          <m:r>
            <m:rPr>
              <m:sty m:val="p"/>
            </m:rPr>
            <w:rPr>
              <w:rFonts w:ascii="Cambria Math" w:hAnsi="Cambria Math" w:cs="Times New Roman"/>
              <w:sz w:val="24"/>
              <w:szCs w:val="24"/>
            </w:rPr>
            <m:t>-$33.7</m:t>
          </m:r>
          <m:r>
            <w:rPr>
              <w:rFonts w:ascii="Cambria Math" w:hAnsi="Cambria Math" w:cs="Times New Roman"/>
              <w:sz w:val="24"/>
              <w:szCs w:val="24"/>
            </w:rPr>
            <m:t>B</m:t>
          </m:r>
          <m:r>
            <m:rPr>
              <m:sty m:val="p"/>
            </m:rPr>
            <w:rPr>
              <w:rFonts w:ascii="Cambria Math" w:hAnsi="Cambria Math" w:cs="Times New Roman"/>
              <w:sz w:val="24"/>
              <w:szCs w:val="24"/>
            </w:rPr>
            <m:t>=$132.3</m:t>
          </m:r>
          <m:r>
            <w:rPr>
              <w:rFonts w:ascii="Cambria Math" w:hAnsi="Cambria Math" w:cs="Times New Roman"/>
              <w:sz w:val="24"/>
              <w:szCs w:val="24"/>
            </w:rPr>
            <m:t>B</m:t>
          </m:r>
        </m:oMath>
      </m:oMathPara>
    </w:p>
    <w:p w14:paraId="634E36E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Alternative calculations using different stock price assumptions at closing:</w:t>
      </w:r>
    </w:p>
    <w:tbl>
      <w:tblPr>
        <w:tblStyle w:val="NormalGrid"/>
        <w:tblW w:w="0" w:type="auto"/>
        <w:jc w:val="center"/>
        <w:tblCellSpacing w:w="0" w:type="dxa"/>
        <w:tblLook w:val="04A0" w:firstRow="1" w:lastRow="0" w:firstColumn="1" w:lastColumn="0" w:noHBand="0" w:noVBand="1"/>
      </w:tblPr>
      <w:tblGrid>
        <w:gridCol w:w="2340"/>
        <w:gridCol w:w="1760"/>
        <w:gridCol w:w="1741"/>
        <w:gridCol w:w="1247"/>
      </w:tblGrid>
      <w:tr w:rsidR="00521FEF" w:rsidRPr="00C406BB" w14:paraId="40F07CE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A9C675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Stock Price</w:t>
            </w:r>
          </w:p>
        </w:tc>
        <w:tc>
          <w:tcPr>
            <w:tcW w:w="0" w:type="auto"/>
            <w:tcBorders>
              <w:top w:val="single" w:sz="8" w:space="0" w:color="000000"/>
              <w:bottom w:val="single" w:sz="8" w:space="0" w:color="000000"/>
              <w:right w:val="single" w:sz="8" w:space="0" w:color="000000"/>
            </w:tcBorders>
            <w:vAlign w:val="center"/>
          </w:tcPr>
          <w:p w14:paraId="6D34B23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Purchase Price</w:t>
            </w:r>
          </w:p>
        </w:tc>
        <w:tc>
          <w:tcPr>
            <w:tcW w:w="0" w:type="auto"/>
            <w:tcBorders>
              <w:top w:val="single" w:sz="8" w:space="0" w:color="000000"/>
              <w:bottom w:val="single" w:sz="8" w:space="0" w:color="000000"/>
              <w:right w:val="single" w:sz="8" w:space="0" w:color="000000"/>
            </w:tcBorders>
            <w:vAlign w:val="center"/>
          </w:tcPr>
          <w:p w14:paraId="19A5EAB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Assets FV</w:t>
            </w:r>
          </w:p>
        </w:tc>
        <w:tc>
          <w:tcPr>
            <w:tcW w:w="0" w:type="auto"/>
            <w:tcBorders>
              <w:top w:val="single" w:sz="8" w:space="0" w:color="000000"/>
              <w:bottom w:val="single" w:sz="8" w:space="0" w:color="000000"/>
              <w:right w:val="single" w:sz="8" w:space="0" w:color="000000"/>
            </w:tcBorders>
            <w:vAlign w:val="center"/>
          </w:tcPr>
          <w:p w14:paraId="0D2AE06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Goodwill</w:t>
            </w:r>
          </w:p>
        </w:tc>
      </w:tr>
      <w:tr w:rsidR="00521FEF" w:rsidRPr="00C406BB" w14:paraId="38DC71CD" w14:textId="77777777">
        <w:trPr>
          <w:cantSplit/>
          <w:tblCellSpacing w:w="0" w:type="dxa"/>
          <w:jc w:val="center"/>
        </w:trPr>
        <w:tc>
          <w:tcPr>
            <w:tcW w:w="0" w:type="auto"/>
            <w:tcBorders>
              <w:left w:val="single" w:sz="8" w:space="0" w:color="000000"/>
              <w:right w:val="single" w:sz="8" w:space="0" w:color="000000"/>
            </w:tcBorders>
            <w:vAlign w:val="center"/>
          </w:tcPr>
          <w:p w14:paraId="64F58D4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$73 (announcement)</w:t>
            </w:r>
          </w:p>
        </w:tc>
        <w:tc>
          <w:tcPr>
            <w:tcW w:w="0" w:type="auto"/>
            <w:tcBorders>
              <w:right w:val="single" w:sz="8" w:space="0" w:color="000000"/>
            </w:tcBorders>
            <w:vAlign w:val="center"/>
          </w:tcPr>
          <w:p w14:paraId="3B3AB0D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$166.0B</w:t>
            </w:r>
          </w:p>
        </w:tc>
        <w:tc>
          <w:tcPr>
            <w:tcW w:w="0" w:type="auto"/>
            <w:tcBorders>
              <w:right w:val="single" w:sz="8" w:space="0" w:color="000000"/>
            </w:tcBorders>
            <w:vAlign w:val="center"/>
          </w:tcPr>
          <w:p w14:paraId="559E26B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$33.7B</w:t>
            </w:r>
          </w:p>
        </w:tc>
        <w:tc>
          <w:tcPr>
            <w:tcW w:w="0" w:type="auto"/>
            <w:tcBorders>
              <w:right w:val="single" w:sz="8" w:space="0" w:color="000000"/>
            </w:tcBorders>
            <w:vAlign w:val="center"/>
          </w:tcPr>
          <w:p w14:paraId="2F3FAC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$132.3B</w:t>
            </w:r>
          </w:p>
        </w:tc>
      </w:tr>
      <w:tr w:rsidR="00521FEF" w:rsidRPr="00C406BB" w14:paraId="2DB0F926" w14:textId="77777777">
        <w:trPr>
          <w:cantSplit/>
          <w:tblCellSpacing w:w="0" w:type="dxa"/>
          <w:jc w:val="center"/>
        </w:trPr>
        <w:tc>
          <w:tcPr>
            <w:tcW w:w="0" w:type="auto"/>
            <w:tcBorders>
              <w:left w:val="single" w:sz="8" w:space="0" w:color="000000"/>
              <w:right w:val="single" w:sz="8" w:space="0" w:color="000000"/>
            </w:tcBorders>
            <w:vAlign w:val="center"/>
          </w:tcPr>
          <w:p w14:paraId="7C06A40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$65 (one week later)</w:t>
            </w:r>
          </w:p>
        </w:tc>
        <w:tc>
          <w:tcPr>
            <w:tcW w:w="0" w:type="auto"/>
            <w:tcBorders>
              <w:right w:val="single" w:sz="8" w:space="0" w:color="000000"/>
            </w:tcBorders>
            <w:vAlign w:val="center"/>
          </w:tcPr>
          <w:p w14:paraId="25CFA99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$148.0B</w:t>
            </w:r>
          </w:p>
        </w:tc>
        <w:tc>
          <w:tcPr>
            <w:tcW w:w="0" w:type="auto"/>
            <w:tcBorders>
              <w:right w:val="single" w:sz="8" w:space="0" w:color="000000"/>
            </w:tcBorders>
            <w:vAlign w:val="center"/>
          </w:tcPr>
          <w:p w14:paraId="2AA9C1E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$33.7B</w:t>
            </w:r>
          </w:p>
        </w:tc>
        <w:tc>
          <w:tcPr>
            <w:tcW w:w="0" w:type="auto"/>
            <w:tcBorders>
              <w:right w:val="single" w:sz="8" w:space="0" w:color="000000"/>
            </w:tcBorders>
            <w:vAlign w:val="center"/>
          </w:tcPr>
          <w:p w14:paraId="4D7F74C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$114.3B</w:t>
            </w:r>
          </w:p>
        </w:tc>
      </w:tr>
      <w:tr w:rsidR="00521FEF" w:rsidRPr="00C406BB" w14:paraId="5CD1E75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52F95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$55 (actual closing)</w:t>
            </w:r>
          </w:p>
        </w:tc>
        <w:tc>
          <w:tcPr>
            <w:tcW w:w="0" w:type="auto"/>
            <w:tcBorders>
              <w:bottom w:val="single" w:sz="8" w:space="0" w:color="000000"/>
              <w:right w:val="single" w:sz="8" w:space="0" w:color="000000"/>
            </w:tcBorders>
            <w:vAlign w:val="center"/>
          </w:tcPr>
          <w:p w14:paraId="7F35B82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$125.0B</w:t>
            </w:r>
          </w:p>
        </w:tc>
        <w:tc>
          <w:tcPr>
            <w:tcW w:w="0" w:type="auto"/>
            <w:tcBorders>
              <w:bottom w:val="single" w:sz="8" w:space="0" w:color="000000"/>
              <w:right w:val="single" w:sz="8" w:space="0" w:color="000000"/>
            </w:tcBorders>
            <w:vAlign w:val="center"/>
          </w:tcPr>
          <w:p w14:paraId="4AE6C01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$33.7B</w:t>
            </w:r>
          </w:p>
        </w:tc>
        <w:tc>
          <w:tcPr>
            <w:tcW w:w="0" w:type="auto"/>
            <w:tcBorders>
              <w:bottom w:val="single" w:sz="8" w:space="0" w:color="000000"/>
              <w:right w:val="single" w:sz="8" w:space="0" w:color="000000"/>
            </w:tcBorders>
            <w:vAlign w:val="center"/>
          </w:tcPr>
          <w:p w14:paraId="1164A31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$91.3B</w:t>
            </w:r>
          </w:p>
        </w:tc>
      </w:tr>
    </w:tbl>
    <w:p w14:paraId="7BA619ED" w14:textId="77777777" w:rsidR="00521FEF" w:rsidRPr="00C406BB" w:rsidRDefault="00521FEF" w:rsidP="00C406BB">
      <w:pPr>
        <w:jc w:val="both"/>
        <w:rPr>
          <w:rFonts w:ascii="Times New Roman" w:hAnsi="Times New Roman" w:cs="Times New Roman"/>
          <w:sz w:val="24"/>
          <w:szCs w:val="24"/>
        </w:rPr>
      </w:pPr>
    </w:p>
    <w:p w14:paraId="2E3D80F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9: Goodwill Sensitivity to Stock Price</w:t>
      </w:r>
    </w:p>
    <w:p w14:paraId="0888BAAE" w14:textId="331A713A"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For this analysis, we use approximately </w:t>
      </w:r>
      <w:r w:rsidRPr="00C406BB">
        <w:rPr>
          <w:rFonts w:ascii="Times New Roman" w:hAnsi="Times New Roman" w:cs="Times New Roman"/>
          <w:b/>
          <w:sz w:val="24"/>
          <w:szCs w:val="24"/>
        </w:rPr>
        <w:t>$127-128 billion</w:t>
      </w:r>
      <w:r w:rsidRPr="00C406BB">
        <w:rPr>
          <w:rFonts w:ascii="Times New Roman" w:hAnsi="Times New Roman" w:cs="Times New Roman"/>
          <w:sz w:val="24"/>
          <w:szCs w:val="24"/>
        </w:rPr>
        <w:t xml:space="preserve"> as the goodwill amount, reflecting stock prices during the regulatory approval period.</w:t>
      </w:r>
    </w:p>
    <w:p w14:paraId="3A5D1BCB" w14:textId="77777777" w:rsidR="00C406BB" w:rsidRDefault="00C406BB" w:rsidP="00C406BB">
      <w:pPr>
        <w:spacing w:before="240" w:line="271" w:lineRule="auto"/>
        <w:jc w:val="both"/>
        <w:rPr>
          <w:rFonts w:ascii="Times New Roman" w:hAnsi="Times New Roman" w:cs="Times New Roman"/>
          <w:b/>
          <w:sz w:val="24"/>
          <w:szCs w:val="24"/>
        </w:rPr>
      </w:pPr>
      <w:bookmarkStart w:id="35" w:name="bm_3_4_goodwill_amortization_schedule"/>
    </w:p>
    <w:p w14:paraId="1A117C74" w14:textId="77777777" w:rsidR="00C406BB" w:rsidRDefault="00C406BB" w:rsidP="00C406BB">
      <w:pPr>
        <w:spacing w:before="240" w:line="271" w:lineRule="auto"/>
        <w:jc w:val="both"/>
        <w:rPr>
          <w:rFonts w:ascii="Times New Roman" w:hAnsi="Times New Roman" w:cs="Times New Roman"/>
          <w:b/>
          <w:sz w:val="24"/>
          <w:szCs w:val="24"/>
        </w:rPr>
      </w:pPr>
    </w:p>
    <w:p w14:paraId="51930F44" w14:textId="77777777" w:rsidR="00C406BB" w:rsidRDefault="00C406BB" w:rsidP="00C406BB">
      <w:pPr>
        <w:spacing w:before="240" w:line="271" w:lineRule="auto"/>
        <w:jc w:val="both"/>
        <w:rPr>
          <w:rFonts w:ascii="Times New Roman" w:hAnsi="Times New Roman" w:cs="Times New Roman"/>
          <w:b/>
          <w:sz w:val="24"/>
          <w:szCs w:val="24"/>
        </w:rPr>
      </w:pPr>
    </w:p>
    <w:p w14:paraId="006E54DF" w14:textId="2BE02909" w:rsidR="00521FEF" w:rsidRPr="00C406BB" w:rsidRDefault="00000000" w:rsidP="00C406BB">
      <w:pPr>
        <w:pStyle w:val="Heading2"/>
      </w:pPr>
      <w:bookmarkStart w:id="36" w:name="_Toc221361485"/>
      <w:r w:rsidRPr="00C406BB">
        <w:lastRenderedPageBreak/>
        <w:t>3.4 Goodwill Amortization Schedule</w:t>
      </w:r>
      <w:bookmarkEnd w:id="35"/>
      <w:bookmarkEnd w:id="36"/>
    </w:p>
    <w:p w14:paraId="23BA903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Under pre-SFAS 142 rules, goodwill must be amortized on a straight-line basis over a period not to exceed 40 years. AOL Time Warner elected a </w:t>
      </w:r>
      <w:r w:rsidRPr="00C406BB">
        <w:rPr>
          <w:rFonts w:ascii="Times New Roman" w:hAnsi="Times New Roman" w:cs="Times New Roman"/>
          <w:b/>
          <w:sz w:val="24"/>
          <w:szCs w:val="24"/>
        </w:rPr>
        <w:t>30-year amortization period</w:t>
      </w:r>
      <w:r w:rsidRPr="00C406BB">
        <w:rPr>
          <w:rFonts w:ascii="Times New Roman" w:hAnsi="Times New Roman" w:cs="Times New Roman"/>
          <w:sz w:val="24"/>
          <w:szCs w:val="24"/>
        </w:rPr>
        <w:t>, resulting in:</w:t>
      </w:r>
    </w:p>
    <w:p w14:paraId="473B06A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Annual Amortization:</w:t>
      </w:r>
    </w:p>
    <w:p w14:paraId="3E7A8833"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Annual Amortization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$127</m:t>
              </m:r>
              <m:r>
                <w:rPr>
                  <w:rFonts w:ascii="Cambria Math" w:hAnsi="Cambria Math" w:cs="Times New Roman"/>
                  <w:sz w:val="24"/>
                  <w:szCs w:val="24"/>
                </w:rPr>
                <m:t>B</m:t>
              </m:r>
            </m:num>
            <m:den>
              <m:r>
                <m:rPr>
                  <m:sty m:val="p"/>
                </m:rPr>
                <w:rPr>
                  <w:rFonts w:ascii="Cambria Math" w:hAnsi="Cambria Math" w:cs="Times New Roman"/>
                  <w:sz w:val="24"/>
                  <w:szCs w:val="24"/>
                </w:rPr>
                <m:t>30</m:t>
              </m:r>
              <m:r>
                <m:rPr>
                  <m:nor/>
                </m:rPr>
                <w:rPr>
                  <w:rFonts w:ascii="Times New Roman" w:hAnsi="Times New Roman" w:cs="Times New Roman"/>
                  <w:sz w:val="24"/>
                  <w:szCs w:val="24"/>
                </w:rPr>
                <m:t> years</m:t>
              </m:r>
            </m:den>
          </m:f>
          <m:r>
            <m:rPr>
              <m:sty m:val="p"/>
            </m:rPr>
            <w:rPr>
              <w:rFonts w:ascii="Cambria Math" w:hAnsi="Cambria Math" w:cs="Times New Roman"/>
              <w:sz w:val="24"/>
              <w:szCs w:val="24"/>
            </w:rPr>
            <m:t>=$4.23</m:t>
          </m:r>
          <m:r>
            <m:rPr>
              <m:nor/>
            </m:rPr>
            <w:rPr>
              <w:rFonts w:ascii="Times New Roman" w:hAnsi="Times New Roman" w:cs="Times New Roman"/>
              <w:sz w:val="24"/>
              <w:szCs w:val="24"/>
            </w:rPr>
            <m:t> billion/year</m:t>
          </m:r>
        </m:oMath>
      </m:oMathPara>
    </w:p>
    <w:p w14:paraId="7DC7DAC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Quarterly Amortization:</w:t>
      </w:r>
    </w:p>
    <w:p w14:paraId="771FE9DD"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Quarterly Amortization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$4.23</m:t>
              </m:r>
              <m:r>
                <w:rPr>
                  <w:rFonts w:ascii="Cambria Math" w:hAnsi="Cambria Math" w:cs="Times New Roman"/>
                  <w:sz w:val="24"/>
                  <w:szCs w:val="24"/>
                </w:rPr>
                <m:t>B</m:t>
              </m:r>
            </m:num>
            <m:den>
              <m:r>
                <m:rPr>
                  <m:sty m:val="p"/>
                </m:rPr>
                <w:rPr>
                  <w:rFonts w:ascii="Cambria Math" w:hAnsi="Cambria Math" w:cs="Times New Roman"/>
                  <w:sz w:val="24"/>
                  <w:szCs w:val="24"/>
                </w:rPr>
                <m:t>4</m:t>
              </m:r>
            </m:den>
          </m:f>
          <m:r>
            <m:rPr>
              <m:sty m:val="p"/>
            </m:rPr>
            <w:rPr>
              <w:rFonts w:ascii="Cambria Math" w:hAnsi="Cambria Math" w:cs="Times New Roman"/>
              <w:sz w:val="24"/>
              <w:szCs w:val="24"/>
            </w:rPr>
            <m:t>=$1.06</m:t>
          </m:r>
          <m:r>
            <m:rPr>
              <m:nor/>
            </m:rPr>
            <w:rPr>
              <w:rFonts w:ascii="Times New Roman" w:hAnsi="Times New Roman" w:cs="Times New Roman"/>
              <w:sz w:val="24"/>
              <w:szCs w:val="24"/>
            </w:rPr>
            <m:t> billion/quarter</m:t>
          </m:r>
        </m:oMath>
      </m:oMathPara>
    </w:p>
    <w:p w14:paraId="1E5BB5B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Allocation by Business Segment:</w:t>
      </w:r>
    </w:p>
    <w:p w14:paraId="3F567BF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goodwill was allocated to Time Warner's operating segments based on the fair value of businesses acquired:</w:t>
      </w:r>
    </w:p>
    <w:tbl>
      <w:tblPr>
        <w:tblStyle w:val="NormalGrid"/>
        <w:tblW w:w="0" w:type="auto"/>
        <w:jc w:val="center"/>
        <w:tblCellSpacing w:w="0" w:type="dxa"/>
        <w:tblLook w:val="04A0" w:firstRow="1" w:lastRow="0" w:firstColumn="1" w:lastColumn="0" w:noHBand="0" w:noVBand="1"/>
      </w:tblPr>
      <w:tblGrid>
        <w:gridCol w:w="2594"/>
        <w:gridCol w:w="1247"/>
        <w:gridCol w:w="2387"/>
      </w:tblGrid>
      <w:tr w:rsidR="00521FEF" w:rsidRPr="00C406BB" w14:paraId="74F95C2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3DE170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Segment</w:t>
            </w:r>
          </w:p>
        </w:tc>
        <w:tc>
          <w:tcPr>
            <w:tcW w:w="0" w:type="auto"/>
            <w:tcBorders>
              <w:top w:val="single" w:sz="8" w:space="0" w:color="000000"/>
              <w:bottom w:val="single" w:sz="8" w:space="0" w:color="000000"/>
              <w:right w:val="single" w:sz="8" w:space="0" w:color="000000"/>
            </w:tcBorders>
            <w:vAlign w:val="center"/>
          </w:tcPr>
          <w:p w14:paraId="2A2579A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Goodwill</w:t>
            </w:r>
          </w:p>
        </w:tc>
        <w:tc>
          <w:tcPr>
            <w:tcW w:w="0" w:type="auto"/>
            <w:tcBorders>
              <w:top w:val="single" w:sz="8" w:space="0" w:color="000000"/>
              <w:bottom w:val="single" w:sz="8" w:space="0" w:color="000000"/>
              <w:right w:val="single" w:sz="8" w:space="0" w:color="000000"/>
            </w:tcBorders>
            <w:vAlign w:val="center"/>
          </w:tcPr>
          <w:p w14:paraId="7AB7B72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Annual Amortization</w:t>
            </w:r>
          </w:p>
        </w:tc>
      </w:tr>
      <w:tr w:rsidR="00521FEF" w:rsidRPr="00C406BB" w14:paraId="5F2C9BD4" w14:textId="77777777">
        <w:trPr>
          <w:cantSplit/>
          <w:tblCellSpacing w:w="0" w:type="dxa"/>
          <w:jc w:val="center"/>
        </w:trPr>
        <w:tc>
          <w:tcPr>
            <w:tcW w:w="0" w:type="auto"/>
            <w:tcBorders>
              <w:left w:val="single" w:sz="8" w:space="0" w:color="000000"/>
              <w:right w:val="single" w:sz="8" w:space="0" w:color="000000"/>
            </w:tcBorders>
            <w:vAlign w:val="center"/>
          </w:tcPr>
          <w:p w14:paraId="1D523F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Cable</w:t>
            </w:r>
          </w:p>
        </w:tc>
        <w:tc>
          <w:tcPr>
            <w:tcW w:w="0" w:type="auto"/>
            <w:tcBorders>
              <w:right w:val="single" w:sz="8" w:space="0" w:color="000000"/>
            </w:tcBorders>
            <w:vAlign w:val="center"/>
          </w:tcPr>
          <w:p w14:paraId="7767903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$52.8B</w:t>
            </w:r>
          </w:p>
        </w:tc>
        <w:tc>
          <w:tcPr>
            <w:tcW w:w="0" w:type="auto"/>
            <w:tcBorders>
              <w:right w:val="single" w:sz="8" w:space="0" w:color="000000"/>
            </w:tcBorders>
            <w:vAlign w:val="center"/>
          </w:tcPr>
          <w:p w14:paraId="5B15676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$1.76B</w:t>
            </w:r>
          </w:p>
        </w:tc>
      </w:tr>
      <w:tr w:rsidR="00521FEF" w:rsidRPr="00C406BB" w14:paraId="38C7C44A" w14:textId="77777777">
        <w:trPr>
          <w:cantSplit/>
          <w:tblCellSpacing w:w="0" w:type="dxa"/>
          <w:jc w:val="center"/>
        </w:trPr>
        <w:tc>
          <w:tcPr>
            <w:tcW w:w="0" w:type="auto"/>
            <w:tcBorders>
              <w:left w:val="single" w:sz="8" w:space="0" w:color="000000"/>
              <w:right w:val="single" w:sz="8" w:space="0" w:color="000000"/>
            </w:tcBorders>
            <w:vAlign w:val="center"/>
          </w:tcPr>
          <w:p w14:paraId="4D6303C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Filmed Entertainment</w:t>
            </w:r>
          </w:p>
        </w:tc>
        <w:tc>
          <w:tcPr>
            <w:tcW w:w="0" w:type="auto"/>
            <w:tcBorders>
              <w:right w:val="single" w:sz="8" w:space="0" w:color="000000"/>
            </w:tcBorders>
            <w:vAlign w:val="center"/>
          </w:tcPr>
          <w:p w14:paraId="6A95F65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$19.1B</w:t>
            </w:r>
          </w:p>
        </w:tc>
        <w:tc>
          <w:tcPr>
            <w:tcW w:w="0" w:type="auto"/>
            <w:tcBorders>
              <w:right w:val="single" w:sz="8" w:space="0" w:color="000000"/>
            </w:tcBorders>
            <w:vAlign w:val="center"/>
          </w:tcPr>
          <w:p w14:paraId="16182EC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$0.64B</w:t>
            </w:r>
          </w:p>
        </w:tc>
      </w:tr>
      <w:tr w:rsidR="00521FEF" w:rsidRPr="00C406BB" w14:paraId="23E52FD8" w14:textId="77777777">
        <w:trPr>
          <w:cantSplit/>
          <w:tblCellSpacing w:w="0" w:type="dxa"/>
          <w:jc w:val="center"/>
        </w:trPr>
        <w:tc>
          <w:tcPr>
            <w:tcW w:w="0" w:type="auto"/>
            <w:tcBorders>
              <w:left w:val="single" w:sz="8" w:space="0" w:color="000000"/>
              <w:right w:val="single" w:sz="8" w:space="0" w:color="000000"/>
            </w:tcBorders>
            <w:vAlign w:val="center"/>
          </w:tcPr>
          <w:p w14:paraId="62C21A9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Networks (HBO/CNN)</w:t>
            </w:r>
          </w:p>
        </w:tc>
        <w:tc>
          <w:tcPr>
            <w:tcW w:w="0" w:type="auto"/>
            <w:tcBorders>
              <w:right w:val="single" w:sz="8" w:space="0" w:color="000000"/>
            </w:tcBorders>
            <w:vAlign w:val="center"/>
          </w:tcPr>
          <w:p w14:paraId="4B83905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$31.8B</w:t>
            </w:r>
          </w:p>
        </w:tc>
        <w:tc>
          <w:tcPr>
            <w:tcW w:w="0" w:type="auto"/>
            <w:tcBorders>
              <w:right w:val="single" w:sz="8" w:space="0" w:color="000000"/>
            </w:tcBorders>
            <w:vAlign w:val="center"/>
          </w:tcPr>
          <w:p w14:paraId="11451FE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$1.06B</w:t>
            </w:r>
          </w:p>
        </w:tc>
      </w:tr>
      <w:tr w:rsidR="00521FEF" w:rsidRPr="00C406BB" w14:paraId="456E16F6" w14:textId="77777777">
        <w:trPr>
          <w:cantSplit/>
          <w:tblCellSpacing w:w="0" w:type="dxa"/>
          <w:jc w:val="center"/>
        </w:trPr>
        <w:tc>
          <w:tcPr>
            <w:tcW w:w="0" w:type="auto"/>
            <w:tcBorders>
              <w:left w:val="single" w:sz="8" w:space="0" w:color="000000"/>
              <w:right w:val="single" w:sz="8" w:space="0" w:color="000000"/>
            </w:tcBorders>
            <w:vAlign w:val="center"/>
          </w:tcPr>
          <w:p w14:paraId="2A6925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Music</w:t>
            </w:r>
          </w:p>
        </w:tc>
        <w:tc>
          <w:tcPr>
            <w:tcW w:w="0" w:type="auto"/>
            <w:tcBorders>
              <w:right w:val="single" w:sz="8" w:space="0" w:color="000000"/>
            </w:tcBorders>
            <w:vAlign w:val="center"/>
          </w:tcPr>
          <w:p w14:paraId="1EE087E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$12.7B</w:t>
            </w:r>
          </w:p>
        </w:tc>
        <w:tc>
          <w:tcPr>
            <w:tcW w:w="0" w:type="auto"/>
            <w:tcBorders>
              <w:right w:val="single" w:sz="8" w:space="0" w:color="000000"/>
            </w:tcBorders>
            <w:vAlign w:val="center"/>
          </w:tcPr>
          <w:p w14:paraId="26CA997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$0.42B</w:t>
            </w:r>
          </w:p>
        </w:tc>
      </w:tr>
      <w:tr w:rsidR="00521FEF" w:rsidRPr="00C406BB" w14:paraId="51C2AB4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73C61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Publishing</w:t>
            </w:r>
          </w:p>
        </w:tc>
        <w:tc>
          <w:tcPr>
            <w:tcW w:w="0" w:type="auto"/>
            <w:tcBorders>
              <w:bottom w:val="single" w:sz="8" w:space="0" w:color="000000"/>
              <w:right w:val="single" w:sz="8" w:space="0" w:color="000000"/>
            </w:tcBorders>
            <w:vAlign w:val="center"/>
          </w:tcPr>
          <w:p w14:paraId="138246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$10.6B</w:t>
            </w:r>
          </w:p>
        </w:tc>
        <w:tc>
          <w:tcPr>
            <w:tcW w:w="0" w:type="auto"/>
            <w:tcBorders>
              <w:bottom w:val="single" w:sz="8" w:space="0" w:color="000000"/>
              <w:right w:val="single" w:sz="8" w:space="0" w:color="000000"/>
            </w:tcBorders>
            <w:vAlign w:val="center"/>
          </w:tcPr>
          <w:p w14:paraId="07E405E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$0.35B</w:t>
            </w:r>
          </w:p>
        </w:tc>
      </w:tr>
      <w:tr w:rsidR="00521FEF" w:rsidRPr="00C406BB" w14:paraId="2FA0617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30DB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w:t>
            </w:r>
          </w:p>
        </w:tc>
        <w:tc>
          <w:tcPr>
            <w:tcW w:w="0" w:type="auto"/>
            <w:tcBorders>
              <w:bottom w:val="single" w:sz="8" w:space="0" w:color="000000"/>
              <w:right w:val="single" w:sz="8" w:space="0" w:color="000000"/>
            </w:tcBorders>
            <w:vAlign w:val="center"/>
          </w:tcPr>
          <w:p w14:paraId="5174710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$127.0B</w:t>
            </w:r>
          </w:p>
        </w:tc>
        <w:tc>
          <w:tcPr>
            <w:tcW w:w="0" w:type="auto"/>
            <w:tcBorders>
              <w:bottom w:val="single" w:sz="8" w:space="0" w:color="000000"/>
              <w:right w:val="single" w:sz="8" w:space="0" w:color="000000"/>
            </w:tcBorders>
            <w:vAlign w:val="center"/>
          </w:tcPr>
          <w:p w14:paraId="7B20AD2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$4.23B</w:t>
            </w:r>
          </w:p>
        </w:tc>
      </w:tr>
    </w:tbl>
    <w:p w14:paraId="36C76B58" w14:textId="77777777" w:rsidR="00521FEF" w:rsidRPr="00C406BB" w:rsidRDefault="00521FEF" w:rsidP="00C406BB">
      <w:pPr>
        <w:jc w:val="both"/>
        <w:rPr>
          <w:rFonts w:ascii="Times New Roman" w:hAnsi="Times New Roman" w:cs="Times New Roman"/>
          <w:sz w:val="24"/>
          <w:szCs w:val="24"/>
        </w:rPr>
      </w:pPr>
    </w:p>
    <w:p w14:paraId="1B6DDE6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10: Goodwill Allocation by Segment</w:t>
      </w:r>
    </w:p>
    <w:p w14:paraId="60F990D8" w14:textId="20D6611D"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This allocation became critical for subsequent impairment testing under SFAS 142, implemented in 2002.</w:t>
      </w:r>
    </w:p>
    <w:p w14:paraId="0A3D6383" w14:textId="7881AE61" w:rsidR="00521FEF" w:rsidRPr="00C406BB" w:rsidRDefault="00C406BB" w:rsidP="00C406BB">
      <w:pPr>
        <w:rPr>
          <w:rFonts w:ascii="Times New Roman" w:hAnsi="Times New Roman" w:cs="Times New Roman"/>
          <w:sz w:val="24"/>
          <w:szCs w:val="24"/>
        </w:rPr>
      </w:pPr>
      <w:r>
        <w:rPr>
          <w:rFonts w:ascii="Times New Roman" w:hAnsi="Times New Roman" w:cs="Times New Roman"/>
          <w:sz w:val="24"/>
          <w:szCs w:val="24"/>
        </w:rPr>
        <w:br w:type="page"/>
      </w:r>
    </w:p>
    <w:p w14:paraId="0961F376" w14:textId="77777777" w:rsidR="00521FEF" w:rsidRPr="00C406BB" w:rsidRDefault="00000000" w:rsidP="00C406BB">
      <w:pPr>
        <w:pStyle w:val="Heading1"/>
      </w:pPr>
      <w:bookmarkStart w:id="37" w:name="bm_4_pro_forma_financial_statemen_b20528"/>
      <w:bookmarkStart w:id="38" w:name="_Toc221361486"/>
      <w:r w:rsidRPr="00C406BB">
        <w:lastRenderedPageBreak/>
        <w:t>4. Pro Forma Financial Statement Analysis</w:t>
      </w:r>
      <w:bookmarkEnd w:id="37"/>
      <w:bookmarkEnd w:id="38"/>
    </w:p>
    <w:p w14:paraId="694877F8" w14:textId="77777777" w:rsidR="00C406BB" w:rsidRDefault="00C406BB" w:rsidP="00C406BB">
      <w:pPr>
        <w:spacing w:before="240" w:line="271" w:lineRule="auto"/>
        <w:jc w:val="both"/>
        <w:rPr>
          <w:rFonts w:ascii="Times New Roman" w:hAnsi="Times New Roman" w:cs="Times New Roman"/>
          <w:b/>
          <w:sz w:val="24"/>
          <w:szCs w:val="24"/>
        </w:rPr>
      </w:pPr>
      <w:bookmarkStart w:id="39" w:name="bm_4_1_pro_forma_income_statement_2000"/>
    </w:p>
    <w:p w14:paraId="0DC5B868" w14:textId="5B5865DB" w:rsidR="00521FEF" w:rsidRPr="00C406BB" w:rsidRDefault="00000000" w:rsidP="00C406BB">
      <w:pPr>
        <w:pStyle w:val="Heading2"/>
      </w:pPr>
      <w:bookmarkStart w:id="40" w:name="_Toc221361487"/>
      <w:r w:rsidRPr="00C406BB">
        <w:t>4.1 Pro Forma Income Statement (2000)</w:t>
      </w:r>
      <w:bookmarkEnd w:id="39"/>
      <w:bookmarkEnd w:id="40"/>
    </w:p>
    <w:p w14:paraId="75402CA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Combining AOL's 2000 results (pre-merger) with Time Warner's 2000 results, adjusted for purchase accounting impacts:</w:t>
      </w:r>
    </w:p>
    <w:tbl>
      <w:tblPr>
        <w:tblStyle w:val="NormalGrid"/>
        <w:tblW w:w="0" w:type="auto"/>
        <w:jc w:val="center"/>
        <w:tblCellSpacing w:w="0" w:type="dxa"/>
        <w:tblLook w:val="04A0" w:firstRow="1" w:lastRow="0" w:firstColumn="1" w:lastColumn="0" w:noHBand="0" w:noVBand="1"/>
      </w:tblPr>
      <w:tblGrid>
        <w:gridCol w:w="2853"/>
        <w:gridCol w:w="1374"/>
        <w:gridCol w:w="1254"/>
        <w:gridCol w:w="1554"/>
        <w:gridCol w:w="1360"/>
      </w:tblGrid>
      <w:tr w:rsidR="00521FEF" w:rsidRPr="00C406BB" w14:paraId="2DB7FF2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9FD9E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Line Item ($ millions)</w:t>
            </w:r>
          </w:p>
        </w:tc>
        <w:tc>
          <w:tcPr>
            <w:tcW w:w="0" w:type="auto"/>
            <w:tcBorders>
              <w:top w:val="single" w:sz="8" w:space="0" w:color="000000"/>
              <w:bottom w:val="single" w:sz="8" w:space="0" w:color="000000"/>
              <w:right w:val="single" w:sz="8" w:space="0" w:color="000000"/>
            </w:tcBorders>
            <w:vAlign w:val="center"/>
          </w:tcPr>
          <w:p w14:paraId="51C9431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2000</w:t>
            </w:r>
          </w:p>
        </w:tc>
        <w:tc>
          <w:tcPr>
            <w:tcW w:w="0" w:type="auto"/>
            <w:tcBorders>
              <w:top w:val="single" w:sz="8" w:space="0" w:color="000000"/>
              <w:bottom w:val="single" w:sz="8" w:space="0" w:color="000000"/>
              <w:right w:val="single" w:sz="8" w:space="0" w:color="000000"/>
            </w:tcBorders>
            <w:vAlign w:val="center"/>
          </w:tcPr>
          <w:p w14:paraId="311F10B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TW 2000</w:t>
            </w:r>
          </w:p>
        </w:tc>
        <w:tc>
          <w:tcPr>
            <w:tcW w:w="0" w:type="auto"/>
            <w:tcBorders>
              <w:top w:val="single" w:sz="8" w:space="0" w:color="000000"/>
              <w:bottom w:val="single" w:sz="8" w:space="0" w:color="000000"/>
              <w:right w:val="single" w:sz="8" w:space="0" w:color="000000"/>
            </w:tcBorders>
            <w:vAlign w:val="center"/>
          </w:tcPr>
          <w:p w14:paraId="0FD0E3A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Adjustments</w:t>
            </w:r>
          </w:p>
        </w:tc>
        <w:tc>
          <w:tcPr>
            <w:tcW w:w="0" w:type="auto"/>
            <w:tcBorders>
              <w:top w:val="single" w:sz="8" w:space="0" w:color="000000"/>
              <w:bottom w:val="single" w:sz="8" w:space="0" w:color="000000"/>
              <w:right w:val="single" w:sz="8" w:space="0" w:color="000000"/>
            </w:tcBorders>
            <w:vAlign w:val="center"/>
          </w:tcPr>
          <w:p w14:paraId="5BBAF0E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Pro Forma</w:t>
            </w:r>
          </w:p>
        </w:tc>
      </w:tr>
      <w:tr w:rsidR="00521FEF" w:rsidRPr="00C406BB" w14:paraId="26922EAA" w14:textId="77777777">
        <w:trPr>
          <w:cantSplit/>
          <w:tblCellSpacing w:w="0" w:type="dxa"/>
          <w:jc w:val="center"/>
        </w:trPr>
        <w:tc>
          <w:tcPr>
            <w:tcW w:w="0" w:type="auto"/>
            <w:tcBorders>
              <w:left w:val="single" w:sz="8" w:space="0" w:color="000000"/>
              <w:right w:val="single" w:sz="8" w:space="0" w:color="000000"/>
            </w:tcBorders>
            <w:vAlign w:val="center"/>
          </w:tcPr>
          <w:p w14:paraId="06C4F22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Revenues</w:t>
            </w:r>
          </w:p>
        </w:tc>
        <w:tc>
          <w:tcPr>
            <w:tcW w:w="0" w:type="auto"/>
            <w:tcBorders>
              <w:right w:val="single" w:sz="8" w:space="0" w:color="000000"/>
            </w:tcBorders>
            <w:vAlign w:val="center"/>
          </w:tcPr>
          <w:p w14:paraId="4C89D034"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5E052A2A"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072F6DD8"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4195B01D" w14:textId="77777777" w:rsidR="00521FEF" w:rsidRPr="00C406BB" w:rsidRDefault="00521FEF" w:rsidP="00C406BB">
            <w:pPr>
              <w:jc w:val="both"/>
              <w:rPr>
                <w:rFonts w:ascii="Times New Roman" w:hAnsi="Times New Roman" w:cs="Times New Roman"/>
                <w:sz w:val="24"/>
                <w:szCs w:val="24"/>
              </w:rPr>
            </w:pPr>
          </w:p>
        </w:tc>
      </w:tr>
      <w:tr w:rsidR="00521FEF" w:rsidRPr="00C406BB" w14:paraId="61317CF3" w14:textId="77777777">
        <w:trPr>
          <w:cantSplit/>
          <w:tblCellSpacing w:w="0" w:type="dxa"/>
          <w:jc w:val="center"/>
        </w:trPr>
        <w:tc>
          <w:tcPr>
            <w:tcW w:w="0" w:type="auto"/>
            <w:tcBorders>
              <w:left w:val="single" w:sz="8" w:space="0" w:color="000000"/>
              <w:right w:val="single" w:sz="8" w:space="0" w:color="000000"/>
            </w:tcBorders>
            <w:vAlign w:val="center"/>
          </w:tcPr>
          <w:p w14:paraId="5114F95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Subscriptions</w:t>
            </w:r>
          </w:p>
        </w:tc>
        <w:tc>
          <w:tcPr>
            <w:tcW w:w="0" w:type="auto"/>
            <w:tcBorders>
              <w:right w:val="single" w:sz="8" w:space="0" w:color="000000"/>
            </w:tcBorders>
            <w:vAlign w:val="center"/>
          </w:tcPr>
          <w:p w14:paraId="2CAE405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$6,886</w:t>
            </w:r>
          </w:p>
        </w:tc>
        <w:tc>
          <w:tcPr>
            <w:tcW w:w="0" w:type="auto"/>
            <w:tcBorders>
              <w:right w:val="single" w:sz="8" w:space="0" w:color="000000"/>
            </w:tcBorders>
            <w:vAlign w:val="center"/>
          </w:tcPr>
          <w:p w14:paraId="33E648B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$8,847</w:t>
            </w:r>
          </w:p>
        </w:tc>
        <w:tc>
          <w:tcPr>
            <w:tcW w:w="0" w:type="auto"/>
            <w:tcBorders>
              <w:right w:val="single" w:sz="8" w:space="0" w:color="000000"/>
            </w:tcBorders>
            <w:vAlign w:val="center"/>
          </w:tcPr>
          <w:p w14:paraId="2480F79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right w:val="single" w:sz="8" w:space="0" w:color="000000"/>
            </w:tcBorders>
            <w:vAlign w:val="center"/>
          </w:tcPr>
          <w:p w14:paraId="02A7248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$15,733</w:t>
            </w:r>
          </w:p>
        </w:tc>
      </w:tr>
      <w:tr w:rsidR="00521FEF" w:rsidRPr="00C406BB" w14:paraId="541619E6" w14:textId="77777777">
        <w:trPr>
          <w:cantSplit/>
          <w:tblCellSpacing w:w="0" w:type="dxa"/>
          <w:jc w:val="center"/>
        </w:trPr>
        <w:tc>
          <w:tcPr>
            <w:tcW w:w="0" w:type="auto"/>
            <w:tcBorders>
              <w:left w:val="single" w:sz="8" w:space="0" w:color="000000"/>
              <w:right w:val="single" w:sz="8" w:space="0" w:color="000000"/>
            </w:tcBorders>
            <w:vAlign w:val="center"/>
          </w:tcPr>
          <w:p w14:paraId="429366A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Advertising &amp; Commerce</w:t>
            </w:r>
          </w:p>
        </w:tc>
        <w:tc>
          <w:tcPr>
            <w:tcW w:w="0" w:type="auto"/>
            <w:tcBorders>
              <w:right w:val="single" w:sz="8" w:space="0" w:color="000000"/>
            </w:tcBorders>
            <w:vAlign w:val="center"/>
          </w:tcPr>
          <w:p w14:paraId="2BD6B0A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2,273</w:t>
            </w:r>
          </w:p>
        </w:tc>
        <w:tc>
          <w:tcPr>
            <w:tcW w:w="0" w:type="auto"/>
            <w:tcBorders>
              <w:right w:val="single" w:sz="8" w:space="0" w:color="000000"/>
            </w:tcBorders>
            <w:vAlign w:val="center"/>
          </w:tcPr>
          <w:p w14:paraId="664393D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6,214</w:t>
            </w:r>
          </w:p>
        </w:tc>
        <w:tc>
          <w:tcPr>
            <w:tcW w:w="0" w:type="auto"/>
            <w:tcBorders>
              <w:right w:val="single" w:sz="8" w:space="0" w:color="000000"/>
            </w:tcBorders>
            <w:vAlign w:val="center"/>
          </w:tcPr>
          <w:p w14:paraId="498A85A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right w:val="single" w:sz="8" w:space="0" w:color="000000"/>
            </w:tcBorders>
            <w:vAlign w:val="center"/>
          </w:tcPr>
          <w:p w14:paraId="6236318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8,487</w:t>
            </w:r>
          </w:p>
        </w:tc>
      </w:tr>
      <w:tr w:rsidR="00521FEF" w:rsidRPr="00C406BB" w14:paraId="22EFC4F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EC65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Content &amp; Other</w:t>
            </w:r>
          </w:p>
        </w:tc>
        <w:tc>
          <w:tcPr>
            <w:tcW w:w="0" w:type="auto"/>
            <w:tcBorders>
              <w:bottom w:val="single" w:sz="8" w:space="0" w:color="000000"/>
              <w:right w:val="single" w:sz="8" w:space="0" w:color="000000"/>
            </w:tcBorders>
            <w:vAlign w:val="center"/>
          </w:tcPr>
          <w:p w14:paraId="7E0FC32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555</w:t>
            </w:r>
          </w:p>
        </w:tc>
        <w:tc>
          <w:tcPr>
            <w:tcW w:w="0" w:type="auto"/>
            <w:tcBorders>
              <w:bottom w:val="single" w:sz="8" w:space="0" w:color="000000"/>
              <w:right w:val="single" w:sz="8" w:space="0" w:color="000000"/>
            </w:tcBorders>
            <w:vAlign w:val="center"/>
          </w:tcPr>
          <w:p w14:paraId="3DBE07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12,649</w:t>
            </w:r>
          </w:p>
        </w:tc>
        <w:tc>
          <w:tcPr>
            <w:tcW w:w="0" w:type="auto"/>
            <w:tcBorders>
              <w:bottom w:val="single" w:sz="8" w:space="0" w:color="000000"/>
              <w:right w:val="single" w:sz="8" w:space="0" w:color="000000"/>
            </w:tcBorders>
            <w:vAlign w:val="center"/>
          </w:tcPr>
          <w:p w14:paraId="3E3F426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1BE45DD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13,204</w:t>
            </w:r>
          </w:p>
        </w:tc>
      </w:tr>
      <w:tr w:rsidR="00521FEF" w:rsidRPr="00C406BB" w14:paraId="283E4CD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63E76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Revenues</w:t>
            </w:r>
          </w:p>
        </w:tc>
        <w:tc>
          <w:tcPr>
            <w:tcW w:w="0" w:type="auto"/>
            <w:tcBorders>
              <w:bottom w:val="single" w:sz="8" w:space="0" w:color="000000"/>
              <w:right w:val="single" w:sz="8" w:space="0" w:color="000000"/>
            </w:tcBorders>
            <w:vAlign w:val="center"/>
          </w:tcPr>
          <w:p w14:paraId="0AB0888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$7,714</w:t>
            </w:r>
          </w:p>
        </w:tc>
        <w:tc>
          <w:tcPr>
            <w:tcW w:w="0" w:type="auto"/>
            <w:tcBorders>
              <w:bottom w:val="single" w:sz="8" w:space="0" w:color="000000"/>
              <w:right w:val="single" w:sz="8" w:space="0" w:color="000000"/>
            </w:tcBorders>
            <w:vAlign w:val="center"/>
          </w:tcPr>
          <w:p w14:paraId="3172421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$27,710</w:t>
            </w:r>
          </w:p>
        </w:tc>
        <w:tc>
          <w:tcPr>
            <w:tcW w:w="0" w:type="auto"/>
            <w:tcBorders>
              <w:bottom w:val="single" w:sz="8" w:space="0" w:color="000000"/>
              <w:right w:val="single" w:sz="8" w:space="0" w:color="000000"/>
            </w:tcBorders>
            <w:vAlign w:val="center"/>
          </w:tcPr>
          <w:p w14:paraId="075D414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1F9EC0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$35,424</w:t>
            </w:r>
          </w:p>
        </w:tc>
      </w:tr>
      <w:tr w:rsidR="00521FEF" w:rsidRPr="00C406BB" w14:paraId="22F637ED" w14:textId="77777777">
        <w:trPr>
          <w:cantSplit/>
          <w:tblCellSpacing w:w="0" w:type="dxa"/>
          <w:jc w:val="center"/>
        </w:trPr>
        <w:tc>
          <w:tcPr>
            <w:tcW w:w="0" w:type="auto"/>
            <w:tcBorders>
              <w:left w:val="single" w:sz="8" w:space="0" w:color="000000"/>
              <w:right w:val="single" w:sz="8" w:space="0" w:color="000000"/>
            </w:tcBorders>
            <w:vAlign w:val="center"/>
          </w:tcPr>
          <w:p w14:paraId="7916C88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Cost of Revenues</w:t>
            </w:r>
          </w:p>
        </w:tc>
        <w:tc>
          <w:tcPr>
            <w:tcW w:w="0" w:type="auto"/>
            <w:tcBorders>
              <w:right w:val="single" w:sz="8" w:space="0" w:color="000000"/>
            </w:tcBorders>
            <w:vAlign w:val="center"/>
          </w:tcPr>
          <w:p w14:paraId="7A1860A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(3,866)</w:t>
            </w:r>
          </w:p>
        </w:tc>
        <w:tc>
          <w:tcPr>
            <w:tcW w:w="0" w:type="auto"/>
            <w:tcBorders>
              <w:right w:val="single" w:sz="8" w:space="0" w:color="000000"/>
            </w:tcBorders>
            <w:vAlign w:val="center"/>
          </w:tcPr>
          <w:p w14:paraId="1441A12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(16,725)</w:t>
            </w:r>
          </w:p>
        </w:tc>
        <w:tc>
          <w:tcPr>
            <w:tcW w:w="0" w:type="auto"/>
            <w:tcBorders>
              <w:right w:val="single" w:sz="8" w:space="0" w:color="000000"/>
            </w:tcBorders>
            <w:vAlign w:val="center"/>
          </w:tcPr>
          <w:p w14:paraId="34CFC9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(450)</w:t>
            </w:r>
          </w:p>
        </w:tc>
        <w:tc>
          <w:tcPr>
            <w:tcW w:w="0" w:type="auto"/>
            <w:tcBorders>
              <w:right w:val="single" w:sz="8" w:space="0" w:color="000000"/>
            </w:tcBorders>
            <w:vAlign w:val="center"/>
          </w:tcPr>
          <w:p w14:paraId="2268A10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(21,041)</w:t>
            </w:r>
          </w:p>
        </w:tc>
      </w:tr>
      <w:tr w:rsidR="00521FEF" w:rsidRPr="00C406BB" w14:paraId="2589033C" w14:textId="77777777">
        <w:trPr>
          <w:cantSplit/>
          <w:tblCellSpacing w:w="0" w:type="dxa"/>
          <w:jc w:val="center"/>
        </w:trPr>
        <w:tc>
          <w:tcPr>
            <w:tcW w:w="0" w:type="auto"/>
            <w:tcBorders>
              <w:left w:val="single" w:sz="8" w:space="0" w:color="000000"/>
              <w:right w:val="single" w:sz="8" w:space="0" w:color="000000"/>
            </w:tcBorders>
            <w:vAlign w:val="center"/>
          </w:tcPr>
          <w:p w14:paraId="5ACC434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SG&amp;A Expenses</w:t>
            </w:r>
          </w:p>
        </w:tc>
        <w:tc>
          <w:tcPr>
            <w:tcW w:w="0" w:type="auto"/>
            <w:tcBorders>
              <w:right w:val="single" w:sz="8" w:space="0" w:color="000000"/>
            </w:tcBorders>
            <w:vAlign w:val="center"/>
          </w:tcPr>
          <w:p w14:paraId="693E063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(1,864)</w:t>
            </w:r>
          </w:p>
        </w:tc>
        <w:tc>
          <w:tcPr>
            <w:tcW w:w="0" w:type="auto"/>
            <w:tcBorders>
              <w:right w:val="single" w:sz="8" w:space="0" w:color="000000"/>
            </w:tcBorders>
            <w:vAlign w:val="center"/>
          </w:tcPr>
          <w:p w14:paraId="0B8206E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(7,215)</w:t>
            </w:r>
          </w:p>
        </w:tc>
        <w:tc>
          <w:tcPr>
            <w:tcW w:w="0" w:type="auto"/>
            <w:tcBorders>
              <w:right w:val="single" w:sz="8" w:space="0" w:color="000000"/>
            </w:tcBorders>
            <w:vAlign w:val="center"/>
          </w:tcPr>
          <w:p w14:paraId="164FEDB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right w:val="single" w:sz="8" w:space="0" w:color="000000"/>
            </w:tcBorders>
            <w:vAlign w:val="center"/>
          </w:tcPr>
          <w:p w14:paraId="135E590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(9,079)</w:t>
            </w:r>
          </w:p>
        </w:tc>
      </w:tr>
      <w:tr w:rsidR="00521FEF" w:rsidRPr="00C406BB" w14:paraId="24D0513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4DCB0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Depreciation &amp; Amort.</w:t>
            </w:r>
          </w:p>
        </w:tc>
        <w:tc>
          <w:tcPr>
            <w:tcW w:w="0" w:type="auto"/>
            <w:tcBorders>
              <w:bottom w:val="single" w:sz="8" w:space="0" w:color="000000"/>
              <w:right w:val="single" w:sz="8" w:space="0" w:color="000000"/>
            </w:tcBorders>
            <w:vAlign w:val="center"/>
          </w:tcPr>
          <w:p w14:paraId="0773525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(443)</w:t>
            </w:r>
          </w:p>
        </w:tc>
        <w:tc>
          <w:tcPr>
            <w:tcW w:w="0" w:type="auto"/>
            <w:tcBorders>
              <w:bottom w:val="single" w:sz="8" w:space="0" w:color="000000"/>
              <w:right w:val="single" w:sz="8" w:space="0" w:color="000000"/>
            </w:tcBorders>
            <w:vAlign w:val="center"/>
          </w:tcPr>
          <w:p w14:paraId="6E29C7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(2,493)</w:t>
            </w:r>
          </w:p>
        </w:tc>
        <w:tc>
          <w:tcPr>
            <w:tcW w:w="0" w:type="auto"/>
            <w:tcBorders>
              <w:bottom w:val="single" w:sz="8" w:space="0" w:color="000000"/>
              <w:right w:val="single" w:sz="8" w:space="0" w:color="000000"/>
            </w:tcBorders>
            <w:vAlign w:val="center"/>
          </w:tcPr>
          <w:p w14:paraId="53E26C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(7,087)</w:t>
            </w:r>
          </w:p>
        </w:tc>
        <w:tc>
          <w:tcPr>
            <w:tcW w:w="0" w:type="auto"/>
            <w:tcBorders>
              <w:bottom w:val="single" w:sz="8" w:space="0" w:color="000000"/>
              <w:right w:val="single" w:sz="8" w:space="0" w:color="000000"/>
            </w:tcBorders>
            <w:vAlign w:val="center"/>
          </w:tcPr>
          <w:p w14:paraId="30681A9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(10,023)</w:t>
            </w:r>
          </w:p>
        </w:tc>
      </w:tr>
      <w:tr w:rsidR="00521FEF" w:rsidRPr="00C406BB" w14:paraId="33D3452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C8A6A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Operating Income</w:t>
            </w:r>
          </w:p>
        </w:tc>
        <w:tc>
          <w:tcPr>
            <w:tcW w:w="0" w:type="auto"/>
            <w:tcBorders>
              <w:bottom w:val="single" w:sz="8" w:space="0" w:color="000000"/>
              <w:right w:val="single" w:sz="8" w:space="0" w:color="000000"/>
            </w:tcBorders>
            <w:vAlign w:val="center"/>
          </w:tcPr>
          <w:p w14:paraId="3AAF838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$1,541</w:t>
            </w:r>
          </w:p>
        </w:tc>
        <w:tc>
          <w:tcPr>
            <w:tcW w:w="0" w:type="auto"/>
            <w:tcBorders>
              <w:bottom w:val="single" w:sz="8" w:space="0" w:color="000000"/>
              <w:right w:val="single" w:sz="8" w:space="0" w:color="000000"/>
            </w:tcBorders>
            <w:vAlign w:val="center"/>
          </w:tcPr>
          <w:p w14:paraId="7A54D65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$1,277</w:t>
            </w:r>
          </w:p>
        </w:tc>
        <w:tc>
          <w:tcPr>
            <w:tcW w:w="0" w:type="auto"/>
            <w:tcBorders>
              <w:bottom w:val="single" w:sz="8" w:space="0" w:color="000000"/>
              <w:right w:val="single" w:sz="8" w:space="0" w:color="000000"/>
            </w:tcBorders>
            <w:vAlign w:val="center"/>
          </w:tcPr>
          <w:p w14:paraId="23AF7F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($7,537)</w:t>
            </w:r>
          </w:p>
        </w:tc>
        <w:tc>
          <w:tcPr>
            <w:tcW w:w="0" w:type="auto"/>
            <w:tcBorders>
              <w:bottom w:val="single" w:sz="8" w:space="0" w:color="000000"/>
              <w:right w:val="single" w:sz="8" w:space="0" w:color="000000"/>
            </w:tcBorders>
            <w:vAlign w:val="center"/>
          </w:tcPr>
          <w:p w14:paraId="1EB57E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($4,719)</w:t>
            </w:r>
          </w:p>
        </w:tc>
      </w:tr>
      <w:tr w:rsidR="00521FEF" w:rsidRPr="00C406BB" w14:paraId="313D0F1C" w14:textId="77777777">
        <w:trPr>
          <w:cantSplit/>
          <w:tblCellSpacing w:w="0" w:type="dxa"/>
          <w:jc w:val="center"/>
        </w:trPr>
        <w:tc>
          <w:tcPr>
            <w:tcW w:w="0" w:type="auto"/>
            <w:tcBorders>
              <w:left w:val="single" w:sz="8" w:space="0" w:color="000000"/>
              <w:right w:val="single" w:sz="8" w:space="0" w:color="000000"/>
            </w:tcBorders>
            <w:vAlign w:val="center"/>
          </w:tcPr>
          <w:p w14:paraId="4B0FE69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Interest Expense, net</w:t>
            </w:r>
          </w:p>
        </w:tc>
        <w:tc>
          <w:tcPr>
            <w:tcW w:w="0" w:type="auto"/>
            <w:tcBorders>
              <w:right w:val="single" w:sz="8" w:space="0" w:color="000000"/>
            </w:tcBorders>
            <w:vAlign w:val="center"/>
          </w:tcPr>
          <w:p w14:paraId="3C0D31E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(128)</w:t>
            </w:r>
          </w:p>
        </w:tc>
        <w:tc>
          <w:tcPr>
            <w:tcW w:w="0" w:type="auto"/>
            <w:tcBorders>
              <w:right w:val="single" w:sz="8" w:space="0" w:color="000000"/>
            </w:tcBorders>
            <w:vAlign w:val="center"/>
          </w:tcPr>
          <w:p w14:paraId="613F391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(1,024)</w:t>
            </w:r>
          </w:p>
        </w:tc>
        <w:tc>
          <w:tcPr>
            <w:tcW w:w="0" w:type="auto"/>
            <w:tcBorders>
              <w:right w:val="single" w:sz="8" w:space="0" w:color="000000"/>
            </w:tcBorders>
            <w:vAlign w:val="center"/>
          </w:tcPr>
          <w:p w14:paraId="517EE61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right w:val="single" w:sz="8" w:space="0" w:color="000000"/>
            </w:tcBorders>
            <w:vAlign w:val="center"/>
          </w:tcPr>
          <w:p w14:paraId="0C4E41C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(1,152)</w:t>
            </w:r>
          </w:p>
        </w:tc>
      </w:tr>
      <w:tr w:rsidR="00521FEF" w:rsidRPr="00C406BB" w14:paraId="3448053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E796D0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Income/(Expense)</w:t>
            </w:r>
          </w:p>
        </w:tc>
        <w:tc>
          <w:tcPr>
            <w:tcW w:w="0" w:type="auto"/>
            <w:tcBorders>
              <w:bottom w:val="single" w:sz="8" w:space="0" w:color="000000"/>
              <w:right w:val="single" w:sz="8" w:space="0" w:color="000000"/>
            </w:tcBorders>
            <w:vAlign w:val="center"/>
          </w:tcPr>
          <w:p w14:paraId="635886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208</w:t>
            </w:r>
          </w:p>
        </w:tc>
        <w:tc>
          <w:tcPr>
            <w:tcW w:w="0" w:type="auto"/>
            <w:tcBorders>
              <w:bottom w:val="single" w:sz="8" w:space="0" w:color="000000"/>
              <w:right w:val="single" w:sz="8" w:space="0" w:color="000000"/>
            </w:tcBorders>
            <w:vAlign w:val="center"/>
          </w:tcPr>
          <w:p w14:paraId="563837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(535)</w:t>
            </w:r>
          </w:p>
        </w:tc>
        <w:tc>
          <w:tcPr>
            <w:tcW w:w="0" w:type="auto"/>
            <w:tcBorders>
              <w:bottom w:val="single" w:sz="8" w:space="0" w:color="000000"/>
              <w:right w:val="single" w:sz="8" w:space="0" w:color="000000"/>
            </w:tcBorders>
            <w:vAlign w:val="center"/>
          </w:tcPr>
          <w:p w14:paraId="45B4DD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14:paraId="46B54C9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(327)</w:t>
            </w:r>
          </w:p>
        </w:tc>
      </w:tr>
      <w:tr w:rsidR="00521FEF" w:rsidRPr="00C406BB" w14:paraId="75E4FBA3" w14:textId="77777777">
        <w:trPr>
          <w:cantSplit/>
          <w:tblCellSpacing w:w="0" w:type="dxa"/>
          <w:jc w:val="center"/>
        </w:trPr>
        <w:tc>
          <w:tcPr>
            <w:tcW w:w="0" w:type="auto"/>
            <w:tcBorders>
              <w:left w:val="single" w:sz="8" w:space="0" w:color="000000"/>
              <w:right w:val="single" w:sz="8" w:space="0" w:color="000000"/>
            </w:tcBorders>
            <w:vAlign w:val="center"/>
          </w:tcPr>
          <w:p w14:paraId="49FDBA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Income Before Tax</w:t>
            </w:r>
          </w:p>
        </w:tc>
        <w:tc>
          <w:tcPr>
            <w:tcW w:w="0" w:type="auto"/>
            <w:tcBorders>
              <w:right w:val="single" w:sz="8" w:space="0" w:color="000000"/>
            </w:tcBorders>
            <w:vAlign w:val="center"/>
          </w:tcPr>
          <w:p w14:paraId="25E7681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$1,621</w:t>
            </w:r>
          </w:p>
        </w:tc>
        <w:tc>
          <w:tcPr>
            <w:tcW w:w="0" w:type="auto"/>
            <w:tcBorders>
              <w:right w:val="single" w:sz="8" w:space="0" w:color="000000"/>
            </w:tcBorders>
            <w:vAlign w:val="center"/>
          </w:tcPr>
          <w:p w14:paraId="3991BD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($282)</w:t>
            </w:r>
          </w:p>
        </w:tc>
        <w:tc>
          <w:tcPr>
            <w:tcW w:w="0" w:type="auto"/>
            <w:tcBorders>
              <w:right w:val="single" w:sz="8" w:space="0" w:color="000000"/>
            </w:tcBorders>
            <w:vAlign w:val="center"/>
          </w:tcPr>
          <w:p w14:paraId="272C6F0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($7,537)</w:t>
            </w:r>
          </w:p>
        </w:tc>
        <w:tc>
          <w:tcPr>
            <w:tcW w:w="0" w:type="auto"/>
            <w:tcBorders>
              <w:right w:val="single" w:sz="8" w:space="0" w:color="000000"/>
            </w:tcBorders>
            <w:vAlign w:val="center"/>
          </w:tcPr>
          <w:p w14:paraId="6EACCA9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($6,198)</w:t>
            </w:r>
          </w:p>
        </w:tc>
      </w:tr>
      <w:tr w:rsidR="00521FEF" w:rsidRPr="00C406BB" w14:paraId="3D5E687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9694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Income Tax Expense</w:t>
            </w:r>
          </w:p>
        </w:tc>
        <w:tc>
          <w:tcPr>
            <w:tcW w:w="0" w:type="auto"/>
            <w:tcBorders>
              <w:bottom w:val="single" w:sz="8" w:space="0" w:color="000000"/>
              <w:right w:val="single" w:sz="8" w:space="0" w:color="000000"/>
            </w:tcBorders>
            <w:vAlign w:val="center"/>
          </w:tcPr>
          <w:p w14:paraId="67DC138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(649)</w:t>
            </w:r>
          </w:p>
        </w:tc>
        <w:tc>
          <w:tcPr>
            <w:tcW w:w="0" w:type="auto"/>
            <w:tcBorders>
              <w:bottom w:val="single" w:sz="8" w:space="0" w:color="000000"/>
              <w:right w:val="single" w:sz="8" w:space="0" w:color="000000"/>
            </w:tcBorders>
            <w:vAlign w:val="center"/>
          </w:tcPr>
          <w:p w14:paraId="00E6DEC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(113)</w:t>
            </w:r>
          </w:p>
        </w:tc>
        <w:tc>
          <w:tcPr>
            <w:tcW w:w="0" w:type="auto"/>
            <w:tcBorders>
              <w:bottom w:val="single" w:sz="8" w:space="0" w:color="000000"/>
              <w:right w:val="single" w:sz="8" w:space="0" w:color="000000"/>
            </w:tcBorders>
            <w:vAlign w:val="center"/>
          </w:tcPr>
          <w:p w14:paraId="33FCD72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2,266</w:t>
            </w:r>
          </w:p>
        </w:tc>
        <w:tc>
          <w:tcPr>
            <w:tcW w:w="0" w:type="auto"/>
            <w:tcBorders>
              <w:bottom w:val="single" w:sz="8" w:space="0" w:color="000000"/>
              <w:right w:val="single" w:sz="8" w:space="0" w:color="000000"/>
            </w:tcBorders>
            <w:vAlign w:val="center"/>
          </w:tcPr>
          <w:p w14:paraId="05D7A8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(1,496)</w:t>
            </w:r>
          </w:p>
        </w:tc>
      </w:tr>
      <w:tr w:rsidR="00521FEF" w:rsidRPr="00C406BB" w14:paraId="2E3EB4F7" w14:textId="77777777">
        <w:trPr>
          <w:cantSplit/>
          <w:tblCellSpacing w:w="0" w:type="dxa"/>
          <w:jc w:val="center"/>
        </w:trPr>
        <w:tc>
          <w:tcPr>
            <w:tcW w:w="0" w:type="auto"/>
            <w:tcBorders>
              <w:left w:val="single" w:sz="8" w:space="0" w:color="000000"/>
              <w:bottom w:val="double" w:sz="8" w:space="0" w:color="000000"/>
              <w:right w:val="single" w:sz="8" w:space="0" w:color="000000"/>
            </w:tcBorders>
            <w:vAlign w:val="center"/>
          </w:tcPr>
          <w:p w14:paraId="69DB85A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Income</w:t>
            </w:r>
          </w:p>
        </w:tc>
        <w:tc>
          <w:tcPr>
            <w:tcW w:w="0" w:type="auto"/>
            <w:tcBorders>
              <w:bottom w:val="double" w:sz="8" w:space="0" w:color="000000"/>
              <w:right w:val="single" w:sz="8" w:space="0" w:color="000000"/>
            </w:tcBorders>
            <w:vAlign w:val="center"/>
          </w:tcPr>
          <w:p w14:paraId="25A3FC3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$972</w:t>
            </w:r>
          </w:p>
        </w:tc>
        <w:tc>
          <w:tcPr>
            <w:tcW w:w="0" w:type="auto"/>
            <w:tcBorders>
              <w:bottom w:val="double" w:sz="8" w:space="0" w:color="000000"/>
              <w:right w:val="single" w:sz="8" w:space="0" w:color="000000"/>
            </w:tcBorders>
            <w:vAlign w:val="center"/>
          </w:tcPr>
          <w:p w14:paraId="1F0E9C1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($395)</w:t>
            </w:r>
          </w:p>
        </w:tc>
        <w:tc>
          <w:tcPr>
            <w:tcW w:w="0" w:type="auto"/>
            <w:tcBorders>
              <w:bottom w:val="double" w:sz="8" w:space="0" w:color="000000"/>
              <w:right w:val="single" w:sz="8" w:space="0" w:color="000000"/>
            </w:tcBorders>
            <w:vAlign w:val="center"/>
          </w:tcPr>
          <w:p w14:paraId="0E86483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($5,271)</w:t>
            </w:r>
          </w:p>
        </w:tc>
        <w:tc>
          <w:tcPr>
            <w:tcW w:w="0" w:type="auto"/>
            <w:tcBorders>
              <w:bottom w:val="double" w:sz="8" w:space="0" w:color="000000"/>
              <w:right w:val="single" w:sz="8" w:space="0" w:color="000000"/>
            </w:tcBorders>
            <w:vAlign w:val="center"/>
          </w:tcPr>
          <w:p w14:paraId="508C379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($4,694)</w:t>
            </w:r>
          </w:p>
        </w:tc>
      </w:tr>
      <w:tr w:rsidR="00521FEF" w:rsidRPr="00C406BB" w14:paraId="3D508728" w14:textId="77777777">
        <w:trPr>
          <w:cantSplit/>
          <w:tblCellSpacing w:w="0" w:type="dxa"/>
          <w:jc w:val="center"/>
        </w:trPr>
        <w:tc>
          <w:tcPr>
            <w:tcW w:w="0" w:type="auto"/>
            <w:tcBorders>
              <w:left w:val="single" w:sz="8" w:space="0" w:color="000000"/>
              <w:right w:val="single" w:sz="8" w:space="0" w:color="000000"/>
            </w:tcBorders>
            <w:vAlign w:val="center"/>
          </w:tcPr>
          <w:p w14:paraId="36B1384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Shares Outstanding (M)</w:t>
            </w:r>
          </w:p>
        </w:tc>
        <w:tc>
          <w:tcPr>
            <w:tcW w:w="0" w:type="auto"/>
            <w:tcBorders>
              <w:right w:val="single" w:sz="8" w:space="0" w:color="000000"/>
            </w:tcBorders>
            <w:vAlign w:val="center"/>
          </w:tcPr>
          <w:p w14:paraId="47C8DFBF"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003C8812"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2D3CBA4F"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0DC4432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4,500</w:t>
            </w:r>
          </w:p>
        </w:tc>
      </w:tr>
      <w:tr w:rsidR="00521FEF" w:rsidRPr="00C406BB" w14:paraId="129FBDC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5DE38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EPS - Diluted</w:t>
            </w:r>
          </w:p>
        </w:tc>
        <w:tc>
          <w:tcPr>
            <w:tcW w:w="0" w:type="auto"/>
            <w:tcBorders>
              <w:bottom w:val="single" w:sz="8" w:space="0" w:color="000000"/>
              <w:right w:val="single" w:sz="8" w:space="0" w:color="000000"/>
            </w:tcBorders>
            <w:vAlign w:val="center"/>
          </w:tcPr>
          <w:p w14:paraId="0DEE44EE"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08D70940"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3C8A84DD"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2917D6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($1.04)</w:t>
            </w:r>
          </w:p>
        </w:tc>
      </w:tr>
    </w:tbl>
    <w:p w14:paraId="153FECD6" w14:textId="77777777" w:rsidR="00521FEF" w:rsidRPr="00C406BB" w:rsidRDefault="00521FEF" w:rsidP="00C406BB">
      <w:pPr>
        <w:jc w:val="both"/>
        <w:rPr>
          <w:rFonts w:ascii="Times New Roman" w:hAnsi="Times New Roman" w:cs="Times New Roman"/>
          <w:sz w:val="24"/>
          <w:szCs w:val="24"/>
        </w:rPr>
      </w:pPr>
    </w:p>
    <w:p w14:paraId="506D7F0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11: Pro Forma Income Statement 2000 - Purchase Accounting</w:t>
      </w:r>
    </w:p>
    <w:p w14:paraId="13AFB6C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Key Pro Forma Adjustments:</w:t>
      </w:r>
    </w:p>
    <w:p w14:paraId="57035B03" w14:textId="77777777" w:rsidR="00521FEF" w:rsidRPr="00C406BB" w:rsidRDefault="00000000" w:rsidP="00C406BB">
      <w:pPr>
        <w:numPr>
          <w:ilvl w:val="0"/>
          <w:numId w:val="15"/>
        </w:numPr>
        <w:jc w:val="both"/>
        <w:rPr>
          <w:rFonts w:ascii="Times New Roman" w:hAnsi="Times New Roman" w:cs="Times New Roman"/>
          <w:sz w:val="24"/>
          <w:szCs w:val="24"/>
        </w:rPr>
      </w:pPr>
      <w:r w:rsidRPr="00C406BB">
        <w:rPr>
          <w:rFonts w:ascii="Times New Roman" w:hAnsi="Times New Roman" w:cs="Times New Roman"/>
          <w:b/>
          <w:sz w:val="24"/>
          <w:szCs w:val="24"/>
        </w:rPr>
        <w:t>Depreciation increase</w:t>
      </w:r>
      <w:r w:rsidRPr="00C406BB">
        <w:rPr>
          <w:rFonts w:ascii="Times New Roman" w:hAnsi="Times New Roman" w:cs="Times New Roman"/>
          <w:sz w:val="24"/>
          <w:szCs w:val="24"/>
        </w:rPr>
        <w:t xml:space="preserve"> ($1.4B): Higher depreciation on stepped-up PP&amp;E fair values</w:t>
      </w:r>
    </w:p>
    <w:p w14:paraId="36C76BD1" w14:textId="77777777" w:rsidR="00521FEF" w:rsidRPr="00C406BB" w:rsidRDefault="00000000" w:rsidP="00C406BB">
      <w:pPr>
        <w:numPr>
          <w:ilvl w:val="0"/>
          <w:numId w:val="15"/>
        </w:numPr>
        <w:jc w:val="both"/>
        <w:rPr>
          <w:rFonts w:ascii="Times New Roman" w:hAnsi="Times New Roman" w:cs="Times New Roman"/>
          <w:sz w:val="24"/>
          <w:szCs w:val="24"/>
        </w:rPr>
      </w:pPr>
      <w:r w:rsidRPr="00C406BB">
        <w:rPr>
          <w:rFonts w:ascii="Times New Roman" w:hAnsi="Times New Roman" w:cs="Times New Roman"/>
          <w:b/>
          <w:sz w:val="24"/>
          <w:szCs w:val="24"/>
        </w:rPr>
        <w:t>Goodwill amortization</w:t>
      </w:r>
      <w:r w:rsidRPr="00C406BB">
        <w:rPr>
          <w:rFonts w:ascii="Times New Roman" w:hAnsi="Times New Roman" w:cs="Times New Roman"/>
          <w:sz w:val="24"/>
          <w:szCs w:val="24"/>
        </w:rPr>
        <w:t xml:space="preserve"> ($7.1B): Nine months of amortization post-closing (assuming Q2 2000 close)</w:t>
      </w:r>
    </w:p>
    <w:p w14:paraId="1B7FEFB8" w14:textId="77777777" w:rsidR="00521FEF" w:rsidRPr="00C406BB" w:rsidRDefault="00000000" w:rsidP="00C406BB">
      <w:pPr>
        <w:numPr>
          <w:ilvl w:val="0"/>
          <w:numId w:val="15"/>
        </w:numPr>
        <w:jc w:val="both"/>
        <w:rPr>
          <w:rFonts w:ascii="Times New Roman" w:hAnsi="Times New Roman" w:cs="Times New Roman"/>
          <w:sz w:val="24"/>
          <w:szCs w:val="24"/>
        </w:rPr>
      </w:pPr>
      <w:r w:rsidRPr="00C406BB">
        <w:rPr>
          <w:rFonts w:ascii="Times New Roman" w:hAnsi="Times New Roman" w:cs="Times New Roman"/>
          <w:b/>
          <w:sz w:val="24"/>
          <w:szCs w:val="24"/>
        </w:rPr>
        <w:t>Content amortization</w:t>
      </w:r>
      <w:r w:rsidRPr="00C406BB">
        <w:rPr>
          <w:rFonts w:ascii="Times New Roman" w:hAnsi="Times New Roman" w:cs="Times New Roman"/>
          <w:sz w:val="24"/>
          <w:szCs w:val="24"/>
        </w:rPr>
        <w:t xml:space="preserve"> ($450M): Accelerated amortization on revalued film libraries and content</w:t>
      </w:r>
    </w:p>
    <w:p w14:paraId="161C2191" w14:textId="77777777" w:rsidR="00521FEF" w:rsidRPr="00C406BB" w:rsidRDefault="00000000" w:rsidP="00C406BB">
      <w:pPr>
        <w:numPr>
          <w:ilvl w:val="0"/>
          <w:numId w:val="15"/>
        </w:numPr>
        <w:jc w:val="both"/>
        <w:rPr>
          <w:rFonts w:ascii="Times New Roman" w:hAnsi="Times New Roman" w:cs="Times New Roman"/>
          <w:sz w:val="24"/>
          <w:szCs w:val="24"/>
        </w:rPr>
      </w:pPr>
      <w:r w:rsidRPr="00C406BB">
        <w:rPr>
          <w:rFonts w:ascii="Times New Roman" w:hAnsi="Times New Roman" w:cs="Times New Roman"/>
          <w:b/>
          <w:sz w:val="24"/>
          <w:szCs w:val="24"/>
        </w:rPr>
        <w:lastRenderedPageBreak/>
        <w:t>Tax benefit</w:t>
      </w:r>
      <w:r w:rsidRPr="00C406BB">
        <w:rPr>
          <w:rFonts w:ascii="Times New Roman" w:hAnsi="Times New Roman" w:cs="Times New Roman"/>
          <w:sz w:val="24"/>
          <w:szCs w:val="24"/>
        </w:rPr>
        <w:t xml:space="preserve"> ($2.3B): Tax effect of amortization and depreciation (though goodwill largely non-deductible)</w:t>
      </w:r>
    </w:p>
    <w:p w14:paraId="7947D7EB" w14:textId="77777777" w:rsidR="00C406BB" w:rsidRDefault="00C406BB" w:rsidP="00C406BB">
      <w:pPr>
        <w:spacing w:before="240" w:line="271" w:lineRule="auto"/>
        <w:jc w:val="both"/>
        <w:rPr>
          <w:rFonts w:ascii="Times New Roman" w:hAnsi="Times New Roman" w:cs="Times New Roman"/>
          <w:b/>
          <w:sz w:val="24"/>
          <w:szCs w:val="24"/>
        </w:rPr>
      </w:pPr>
      <w:bookmarkStart w:id="41" w:name="bm_4_2_pro_forma_income_statement_802237"/>
    </w:p>
    <w:p w14:paraId="5040623C" w14:textId="6F0DA38A" w:rsidR="00521FEF" w:rsidRPr="00C406BB" w:rsidRDefault="00000000" w:rsidP="00C406BB">
      <w:pPr>
        <w:pStyle w:val="Heading2"/>
      </w:pPr>
      <w:bookmarkStart w:id="42" w:name="_Toc221361488"/>
      <w:r w:rsidRPr="00C406BB">
        <w:t>4.2 Pro Forma Income Statement - Pooling Comparison</w:t>
      </w:r>
      <w:bookmarkEnd w:id="41"/>
      <w:bookmarkEnd w:id="42"/>
    </w:p>
    <w:p w14:paraId="5105783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Had pooling accounting been available, the 2000 pro forma results would reflect:</w:t>
      </w:r>
    </w:p>
    <w:tbl>
      <w:tblPr>
        <w:tblStyle w:val="NormalGrid"/>
        <w:tblW w:w="0" w:type="auto"/>
        <w:jc w:val="center"/>
        <w:tblCellSpacing w:w="0" w:type="dxa"/>
        <w:tblLook w:val="04A0" w:firstRow="1" w:lastRow="0" w:firstColumn="1" w:lastColumn="0" w:noHBand="0" w:noVBand="1"/>
      </w:tblPr>
      <w:tblGrid>
        <w:gridCol w:w="2593"/>
        <w:gridCol w:w="2013"/>
        <w:gridCol w:w="1894"/>
      </w:tblGrid>
      <w:tr w:rsidR="00521FEF" w:rsidRPr="00C406BB" w14:paraId="0BA8B23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9E2408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Line Item ($ millions)</w:t>
            </w:r>
          </w:p>
        </w:tc>
        <w:tc>
          <w:tcPr>
            <w:tcW w:w="0" w:type="auto"/>
            <w:tcBorders>
              <w:top w:val="single" w:sz="8" w:space="0" w:color="000000"/>
              <w:bottom w:val="single" w:sz="8" w:space="0" w:color="000000"/>
              <w:right w:val="single" w:sz="8" w:space="0" w:color="000000"/>
            </w:tcBorders>
            <w:vAlign w:val="center"/>
          </w:tcPr>
          <w:p w14:paraId="57D1833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Purchase Method</w:t>
            </w:r>
          </w:p>
        </w:tc>
        <w:tc>
          <w:tcPr>
            <w:tcW w:w="0" w:type="auto"/>
            <w:tcBorders>
              <w:top w:val="single" w:sz="8" w:space="0" w:color="000000"/>
              <w:bottom w:val="single" w:sz="8" w:space="0" w:color="000000"/>
              <w:right w:val="single" w:sz="8" w:space="0" w:color="000000"/>
            </w:tcBorders>
            <w:vAlign w:val="center"/>
          </w:tcPr>
          <w:p w14:paraId="1BA45DA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Pooling Method</w:t>
            </w:r>
          </w:p>
        </w:tc>
      </w:tr>
      <w:tr w:rsidR="00521FEF" w:rsidRPr="00C406BB" w14:paraId="18F2C226" w14:textId="77777777">
        <w:trPr>
          <w:cantSplit/>
          <w:tblCellSpacing w:w="0" w:type="dxa"/>
          <w:jc w:val="center"/>
        </w:trPr>
        <w:tc>
          <w:tcPr>
            <w:tcW w:w="0" w:type="auto"/>
            <w:tcBorders>
              <w:left w:val="single" w:sz="8" w:space="0" w:color="000000"/>
              <w:right w:val="single" w:sz="8" w:space="0" w:color="000000"/>
            </w:tcBorders>
            <w:vAlign w:val="center"/>
          </w:tcPr>
          <w:p w14:paraId="61CADCA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Revenues</w:t>
            </w:r>
          </w:p>
        </w:tc>
        <w:tc>
          <w:tcPr>
            <w:tcW w:w="0" w:type="auto"/>
            <w:tcBorders>
              <w:right w:val="single" w:sz="8" w:space="0" w:color="000000"/>
            </w:tcBorders>
            <w:vAlign w:val="center"/>
          </w:tcPr>
          <w:p w14:paraId="3E809EC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$35,424</w:t>
            </w:r>
          </w:p>
        </w:tc>
        <w:tc>
          <w:tcPr>
            <w:tcW w:w="0" w:type="auto"/>
            <w:tcBorders>
              <w:right w:val="single" w:sz="8" w:space="0" w:color="000000"/>
            </w:tcBorders>
            <w:vAlign w:val="center"/>
          </w:tcPr>
          <w:p w14:paraId="67573E0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$35,424</w:t>
            </w:r>
          </w:p>
        </w:tc>
      </w:tr>
      <w:tr w:rsidR="00521FEF" w:rsidRPr="00C406BB" w14:paraId="0973D25A" w14:textId="77777777">
        <w:trPr>
          <w:cantSplit/>
          <w:tblCellSpacing w:w="0" w:type="dxa"/>
          <w:jc w:val="center"/>
        </w:trPr>
        <w:tc>
          <w:tcPr>
            <w:tcW w:w="0" w:type="auto"/>
            <w:tcBorders>
              <w:left w:val="single" w:sz="8" w:space="0" w:color="000000"/>
              <w:right w:val="single" w:sz="8" w:space="0" w:color="000000"/>
            </w:tcBorders>
            <w:vAlign w:val="center"/>
          </w:tcPr>
          <w:p w14:paraId="340EE31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Cost of Revenues</w:t>
            </w:r>
          </w:p>
        </w:tc>
        <w:tc>
          <w:tcPr>
            <w:tcW w:w="0" w:type="auto"/>
            <w:tcBorders>
              <w:right w:val="single" w:sz="8" w:space="0" w:color="000000"/>
            </w:tcBorders>
            <w:vAlign w:val="center"/>
          </w:tcPr>
          <w:p w14:paraId="3A2B383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(21,041)</w:t>
            </w:r>
          </w:p>
        </w:tc>
        <w:tc>
          <w:tcPr>
            <w:tcW w:w="0" w:type="auto"/>
            <w:tcBorders>
              <w:right w:val="single" w:sz="8" w:space="0" w:color="000000"/>
            </w:tcBorders>
            <w:vAlign w:val="center"/>
          </w:tcPr>
          <w:p w14:paraId="27191CD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(20,591)</w:t>
            </w:r>
          </w:p>
        </w:tc>
      </w:tr>
      <w:tr w:rsidR="00521FEF" w:rsidRPr="00C406BB" w14:paraId="562F2964" w14:textId="77777777">
        <w:trPr>
          <w:cantSplit/>
          <w:tblCellSpacing w:w="0" w:type="dxa"/>
          <w:jc w:val="center"/>
        </w:trPr>
        <w:tc>
          <w:tcPr>
            <w:tcW w:w="0" w:type="auto"/>
            <w:tcBorders>
              <w:left w:val="single" w:sz="8" w:space="0" w:color="000000"/>
              <w:right w:val="single" w:sz="8" w:space="0" w:color="000000"/>
            </w:tcBorders>
            <w:vAlign w:val="center"/>
          </w:tcPr>
          <w:p w14:paraId="3B59784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SG&amp;A Expenses</w:t>
            </w:r>
          </w:p>
        </w:tc>
        <w:tc>
          <w:tcPr>
            <w:tcW w:w="0" w:type="auto"/>
            <w:tcBorders>
              <w:right w:val="single" w:sz="8" w:space="0" w:color="000000"/>
            </w:tcBorders>
            <w:vAlign w:val="center"/>
          </w:tcPr>
          <w:p w14:paraId="7268DEE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(9,079)</w:t>
            </w:r>
          </w:p>
        </w:tc>
        <w:tc>
          <w:tcPr>
            <w:tcW w:w="0" w:type="auto"/>
            <w:tcBorders>
              <w:right w:val="single" w:sz="8" w:space="0" w:color="000000"/>
            </w:tcBorders>
            <w:vAlign w:val="center"/>
          </w:tcPr>
          <w:p w14:paraId="3C3B9E2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(9,079)</w:t>
            </w:r>
          </w:p>
        </w:tc>
      </w:tr>
      <w:tr w:rsidR="00521FEF" w:rsidRPr="00C406BB" w14:paraId="2272E3F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53B86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Depreciation &amp; Amort.</w:t>
            </w:r>
          </w:p>
        </w:tc>
        <w:tc>
          <w:tcPr>
            <w:tcW w:w="0" w:type="auto"/>
            <w:tcBorders>
              <w:bottom w:val="single" w:sz="8" w:space="0" w:color="000000"/>
              <w:right w:val="single" w:sz="8" w:space="0" w:color="000000"/>
            </w:tcBorders>
            <w:vAlign w:val="center"/>
          </w:tcPr>
          <w:p w14:paraId="28D5D71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(10,023)</w:t>
            </w:r>
          </w:p>
        </w:tc>
        <w:tc>
          <w:tcPr>
            <w:tcW w:w="0" w:type="auto"/>
            <w:tcBorders>
              <w:bottom w:val="single" w:sz="8" w:space="0" w:color="000000"/>
              <w:right w:val="single" w:sz="8" w:space="0" w:color="000000"/>
            </w:tcBorders>
            <w:vAlign w:val="center"/>
          </w:tcPr>
          <w:p w14:paraId="2EA8F2A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(2,936)</w:t>
            </w:r>
          </w:p>
        </w:tc>
      </w:tr>
      <w:tr w:rsidR="00521FEF" w:rsidRPr="00C406BB" w14:paraId="08CCCEC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9F49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Operating Income</w:t>
            </w:r>
          </w:p>
        </w:tc>
        <w:tc>
          <w:tcPr>
            <w:tcW w:w="0" w:type="auto"/>
            <w:tcBorders>
              <w:bottom w:val="single" w:sz="8" w:space="0" w:color="000000"/>
              <w:right w:val="single" w:sz="8" w:space="0" w:color="000000"/>
            </w:tcBorders>
            <w:vAlign w:val="center"/>
          </w:tcPr>
          <w:p w14:paraId="75C6244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($4,719)</w:t>
            </w:r>
          </w:p>
        </w:tc>
        <w:tc>
          <w:tcPr>
            <w:tcW w:w="0" w:type="auto"/>
            <w:tcBorders>
              <w:bottom w:val="single" w:sz="8" w:space="0" w:color="000000"/>
              <w:right w:val="single" w:sz="8" w:space="0" w:color="000000"/>
            </w:tcBorders>
            <w:vAlign w:val="center"/>
          </w:tcPr>
          <w:p w14:paraId="4D6A79B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$2,818</w:t>
            </w:r>
          </w:p>
        </w:tc>
      </w:tr>
      <w:tr w:rsidR="00521FEF" w:rsidRPr="00C406BB" w14:paraId="32A660D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258BF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Income</w:t>
            </w:r>
          </w:p>
        </w:tc>
        <w:tc>
          <w:tcPr>
            <w:tcW w:w="0" w:type="auto"/>
            <w:tcBorders>
              <w:bottom w:val="single" w:sz="8" w:space="0" w:color="000000"/>
              <w:right w:val="single" w:sz="8" w:space="0" w:color="000000"/>
            </w:tcBorders>
            <w:vAlign w:val="center"/>
          </w:tcPr>
          <w:p w14:paraId="1F76B31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($4,694)</w:t>
            </w:r>
          </w:p>
        </w:tc>
        <w:tc>
          <w:tcPr>
            <w:tcW w:w="0" w:type="auto"/>
            <w:tcBorders>
              <w:bottom w:val="single" w:sz="8" w:space="0" w:color="000000"/>
              <w:right w:val="single" w:sz="8" w:space="0" w:color="000000"/>
            </w:tcBorders>
            <w:vAlign w:val="center"/>
          </w:tcPr>
          <w:p w14:paraId="27C1033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$1,127</w:t>
            </w:r>
          </w:p>
        </w:tc>
      </w:tr>
      <w:tr w:rsidR="00521FEF" w:rsidRPr="00C406BB" w14:paraId="2031D52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DD6F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EPS - Diluted</w:t>
            </w:r>
          </w:p>
        </w:tc>
        <w:tc>
          <w:tcPr>
            <w:tcW w:w="0" w:type="auto"/>
            <w:tcBorders>
              <w:bottom w:val="single" w:sz="8" w:space="0" w:color="000000"/>
              <w:right w:val="single" w:sz="8" w:space="0" w:color="000000"/>
            </w:tcBorders>
            <w:vAlign w:val="center"/>
          </w:tcPr>
          <w:p w14:paraId="5116A33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($1.04)</w:t>
            </w:r>
          </w:p>
        </w:tc>
        <w:tc>
          <w:tcPr>
            <w:tcW w:w="0" w:type="auto"/>
            <w:tcBorders>
              <w:bottom w:val="single" w:sz="8" w:space="0" w:color="000000"/>
              <w:right w:val="single" w:sz="8" w:space="0" w:color="000000"/>
            </w:tcBorders>
            <w:vAlign w:val="center"/>
          </w:tcPr>
          <w:p w14:paraId="6C80B1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$0.25</w:t>
            </w:r>
          </w:p>
        </w:tc>
      </w:tr>
    </w:tbl>
    <w:p w14:paraId="32C9E366" w14:textId="77777777" w:rsidR="00521FEF" w:rsidRPr="00C406BB" w:rsidRDefault="00521FEF" w:rsidP="00C406BB">
      <w:pPr>
        <w:jc w:val="both"/>
        <w:rPr>
          <w:rFonts w:ascii="Times New Roman" w:hAnsi="Times New Roman" w:cs="Times New Roman"/>
          <w:sz w:val="24"/>
          <w:szCs w:val="24"/>
        </w:rPr>
      </w:pPr>
    </w:p>
    <w:p w14:paraId="0625916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12: Purchase vs. Pooling Pro Forma Comparison</w:t>
      </w:r>
    </w:p>
    <w:p w14:paraId="6A48E67A" w14:textId="78E3E3D4"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pooling method would have resulted in positive earnings of $1.1 billion ($0.25 per share) versus a loss of $4.7 billion ($1.04 per share) under purchase accounting - a swing of $5.8 billion or $1.29 per share.</w:t>
      </w:r>
    </w:p>
    <w:p w14:paraId="2451F695" w14:textId="77777777" w:rsidR="00C406BB" w:rsidRDefault="00C406BB">
      <w:pPr>
        <w:rPr>
          <w:rFonts w:ascii="Times New Roman" w:hAnsi="Times New Roman" w:cs="Times New Roman"/>
          <w:b/>
          <w:sz w:val="24"/>
          <w:szCs w:val="24"/>
        </w:rPr>
      </w:pPr>
      <w:bookmarkStart w:id="43" w:name="bm_4_3_pro_forma_balance_sheet_po_717d2b"/>
      <w:r>
        <w:rPr>
          <w:rFonts w:ascii="Times New Roman" w:hAnsi="Times New Roman" w:cs="Times New Roman"/>
          <w:b/>
          <w:sz w:val="24"/>
          <w:szCs w:val="24"/>
        </w:rPr>
        <w:br w:type="page"/>
      </w:r>
    </w:p>
    <w:p w14:paraId="09BEB509" w14:textId="59A8304E" w:rsidR="00521FEF" w:rsidRDefault="00000000" w:rsidP="00C406BB">
      <w:pPr>
        <w:pStyle w:val="Heading2"/>
      </w:pPr>
      <w:bookmarkStart w:id="44" w:name="_Toc221361489"/>
      <w:r w:rsidRPr="00C406BB">
        <w:lastRenderedPageBreak/>
        <w:t>4.3 Pro Forma Balance Sheet (Post-Merger)</w:t>
      </w:r>
      <w:bookmarkEnd w:id="43"/>
      <w:bookmarkEnd w:id="44"/>
    </w:p>
    <w:p w14:paraId="57F59CB7" w14:textId="77777777" w:rsidR="00C406BB" w:rsidRPr="00C406BB" w:rsidRDefault="00C406BB" w:rsidP="00C406BB"/>
    <w:tbl>
      <w:tblPr>
        <w:tblStyle w:val="NormalGrid"/>
        <w:tblW w:w="0" w:type="auto"/>
        <w:jc w:val="center"/>
        <w:tblCellSpacing w:w="0" w:type="dxa"/>
        <w:tblLook w:val="04A0" w:firstRow="1" w:lastRow="0" w:firstColumn="1" w:lastColumn="0" w:noHBand="0" w:noVBand="1"/>
      </w:tblPr>
      <w:tblGrid>
        <w:gridCol w:w="3673"/>
        <w:gridCol w:w="1127"/>
      </w:tblGrid>
      <w:tr w:rsidR="00521FEF" w:rsidRPr="00C406BB" w14:paraId="74B2119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433BE2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Assets ($ billions)</w:t>
            </w:r>
          </w:p>
        </w:tc>
        <w:tc>
          <w:tcPr>
            <w:tcW w:w="0" w:type="auto"/>
            <w:tcBorders>
              <w:top w:val="single" w:sz="8" w:space="0" w:color="000000"/>
              <w:bottom w:val="single" w:sz="8" w:space="0" w:color="000000"/>
              <w:right w:val="single" w:sz="8" w:space="0" w:color="000000"/>
            </w:tcBorders>
            <w:vAlign w:val="center"/>
          </w:tcPr>
          <w:p w14:paraId="001304F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Amount</w:t>
            </w:r>
          </w:p>
        </w:tc>
      </w:tr>
      <w:tr w:rsidR="00521FEF" w:rsidRPr="00C406BB" w14:paraId="02307ED5" w14:textId="77777777">
        <w:trPr>
          <w:cantSplit/>
          <w:tblCellSpacing w:w="0" w:type="dxa"/>
          <w:jc w:val="center"/>
        </w:trPr>
        <w:tc>
          <w:tcPr>
            <w:tcW w:w="0" w:type="auto"/>
            <w:tcBorders>
              <w:left w:val="single" w:sz="8" w:space="0" w:color="000000"/>
              <w:right w:val="single" w:sz="8" w:space="0" w:color="000000"/>
            </w:tcBorders>
            <w:vAlign w:val="center"/>
          </w:tcPr>
          <w:p w14:paraId="6E594E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Cash &amp; Short-term Investments</w:t>
            </w:r>
          </w:p>
        </w:tc>
        <w:tc>
          <w:tcPr>
            <w:tcW w:w="0" w:type="auto"/>
            <w:tcBorders>
              <w:right w:val="single" w:sz="8" w:space="0" w:color="000000"/>
            </w:tcBorders>
            <w:vAlign w:val="center"/>
          </w:tcPr>
          <w:p w14:paraId="7318318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$5.2</w:t>
            </w:r>
          </w:p>
        </w:tc>
      </w:tr>
      <w:tr w:rsidR="00521FEF" w:rsidRPr="00C406BB" w14:paraId="3D1089DA" w14:textId="77777777">
        <w:trPr>
          <w:cantSplit/>
          <w:tblCellSpacing w:w="0" w:type="dxa"/>
          <w:jc w:val="center"/>
        </w:trPr>
        <w:tc>
          <w:tcPr>
            <w:tcW w:w="0" w:type="auto"/>
            <w:tcBorders>
              <w:left w:val="single" w:sz="8" w:space="0" w:color="000000"/>
              <w:right w:val="single" w:sz="8" w:space="0" w:color="000000"/>
            </w:tcBorders>
            <w:vAlign w:val="center"/>
          </w:tcPr>
          <w:p w14:paraId="197E57D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Accounts Receivable</w:t>
            </w:r>
          </w:p>
        </w:tc>
        <w:tc>
          <w:tcPr>
            <w:tcW w:w="0" w:type="auto"/>
            <w:tcBorders>
              <w:right w:val="single" w:sz="8" w:space="0" w:color="000000"/>
            </w:tcBorders>
            <w:vAlign w:val="center"/>
          </w:tcPr>
          <w:p w14:paraId="1EFBCDB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6.8</w:t>
            </w:r>
          </w:p>
        </w:tc>
      </w:tr>
      <w:tr w:rsidR="00521FEF" w:rsidRPr="00C406BB" w14:paraId="304CDC4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8540E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Current Assets</w:t>
            </w:r>
          </w:p>
        </w:tc>
        <w:tc>
          <w:tcPr>
            <w:tcW w:w="0" w:type="auto"/>
            <w:tcBorders>
              <w:bottom w:val="single" w:sz="8" w:space="0" w:color="000000"/>
              <w:right w:val="single" w:sz="8" w:space="0" w:color="000000"/>
            </w:tcBorders>
            <w:vAlign w:val="center"/>
          </w:tcPr>
          <w:p w14:paraId="19175CB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r>
      <w:tr w:rsidR="00521FEF" w:rsidRPr="00C406BB" w14:paraId="3B8238C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AB7D0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Current Assets</w:t>
            </w:r>
          </w:p>
        </w:tc>
        <w:tc>
          <w:tcPr>
            <w:tcW w:w="0" w:type="auto"/>
            <w:tcBorders>
              <w:bottom w:val="single" w:sz="8" w:space="0" w:color="000000"/>
              <w:right w:val="single" w:sz="8" w:space="0" w:color="000000"/>
            </w:tcBorders>
            <w:vAlign w:val="center"/>
          </w:tcPr>
          <w:p w14:paraId="40E8BC0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$15.2</w:t>
            </w:r>
          </w:p>
        </w:tc>
      </w:tr>
      <w:tr w:rsidR="00521FEF" w:rsidRPr="00C406BB" w14:paraId="6E3168BF" w14:textId="77777777">
        <w:trPr>
          <w:cantSplit/>
          <w:tblCellSpacing w:w="0" w:type="dxa"/>
          <w:jc w:val="center"/>
        </w:trPr>
        <w:tc>
          <w:tcPr>
            <w:tcW w:w="0" w:type="auto"/>
            <w:tcBorders>
              <w:left w:val="single" w:sz="8" w:space="0" w:color="000000"/>
              <w:right w:val="single" w:sz="8" w:space="0" w:color="000000"/>
            </w:tcBorders>
            <w:vAlign w:val="center"/>
          </w:tcPr>
          <w:p w14:paraId="0DC8004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Property, Plant &amp; Equipment (net)</w:t>
            </w:r>
          </w:p>
        </w:tc>
        <w:tc>
          <w:tcPr>
            <w:tcW w:w="0" w:type="auto"/>
            <w:tcBorders>
              <w:right w:val="single" w:sz="8" w:space="0" w:color="000000"/>
            </w:tcBorders>
            <w:vAlign w:val="center"/>
          </w:tcPr>
          <w:p w14:paraId="4CBF9E8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15.8</w:t>
            </w:r>
          </w:p>
        </w:tc>
      </w:tr>
      <w:tr w:rsidR="00521FEF" w:rsidRPr="00C406BB" w14:paraId="67476105" w14:textId="77777777">
        <w:trPr>
          <w:cantSplit/>
          <w:tblCellSpacing w:w="0" w:type="dxa"/>
          <w:jc w:val="center"/>
        </w:trPr>
        <w:tc>
          <w:tcPr>
            <w:tcW w:w="0" w:type="auto"/>
            <w:tcBorders>
              <w:left w:val="single" w:sz="8" w:space="0" w:color="000000"/>
              <w:right w:val="single" w:sz="8" w:space="0" w:color="000000"/>
            </w:tcBorders>
            <w:vAlign w:val="center"/>
          </w:tcPr>
          <w:p w14:paraId="788C611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Goodwill</w:t>
            </w:r>
          </w:p>
        </w:tc>
        <w:tc>
          <w:tcPr>
            <w:tcW w:w="0" w:type="auto"/>
            <w:tcBorders>
              <w:right w:val="single" w:sz="8" w:space="0" w:color="000000"/>
            </w:tcBorders>
            <w:vAlign w:val="center"/>
          </w:tcPr>
          <w:p w14:paraId="3C74C8C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127.0</w:t>
            </w:r>
          </w:p>
        </w:tc>
      </w:tr>
      <w:tr w:rsidR="00521FEF" w:rsidRPr="00C406BB" w14:paraId="3B985324" w14:textId="77777777">
        <w:trPr>
          <w:cantSplit/>
          <w:tblCellSpacing w:w="0" w:type="dxa"/>
          <w:jc w:val="center"/>
        </w:trPr>
        <w:tc>
          <w:tcPr>
            <w:tcW w:w="0" w:type="auto"/>
            <w:tcBorders>
              <w:left w:val="single" w:sz="8" w:space="0" w:color="000000"/>
              <w:right w:val="single" w:sz="8" w:space="0" w:color="000000"/>
            </w:tcBorders>
            <w:vAlign w:val="center"/>
          </w:tcPr>
          <w:p w14:paraId="3861D7C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Intangible Assets (net)</w:t>
            </w:r>
          </w:p>
        </w:tc>
        <w:tc>
          <w:tcPr>
            <w:tcW w:w="0" w:type="auto"/>
            <w:tcBorders>
              <w:right w:val="single" w:sz="8" w:space="0" w:color="000000"/>
            </w:tcBorders>
            <w:vAlign w:val="center"/>
          </w:tcPr>
          <w:p w14:paraId="1C9FDAC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34.2</w:t>
            </w:r>
          </w:p>
        </w:tc>
      </w:tr>
      <w:tr w:rsidR="00521FEF" w:rsidRPr="00C406BB" w14:paraId="35C0FA2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BA5F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Assets</w:t>
            </w:r>
          </w:p>
        </w:tc>
        <w:tc>
          <w:tcPr>
            <w:tcW w:w="0" w:type="auto"/>
            <w:tcBorders>
              <w:bottom w:val="single" w:sz="8" w:space="0" w:color="000000"/>
              <w:right w:val="single" w:sz="8" w:space="0" w:color="000000"/>
            </w:tcBorders>
            <w:vAlign w:val="center"/>
          </w:tcPr>
          <w:p w14:paraId="51FEC46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11.6</w:t>
            </w:r>
          </w:p>
        </w:tc>
      </w:tr>
      <w:tr w:rsidR="00521FEF" w:rsidRPr="00C406BB" w14:paraId="5689FB0C" w14:textId="77777777">
        <w:trPr>
          <w:cantSplit/>
          <w:tblCellSpacing w:w="0" w:type="dxa"/>
          <w:jc w:val="center"/>
        </w:trPr>
        <w:tc>
          <w:tcPr>
            <w:tcW w:w="0" w:type="auto"/>
            <w:tcBorders>
              <w:left w:val="single" w:sz="8" w:space="0" w:color="000000"/>
              <w:bottom w:val="double" w:sz="8" w:space="0" w:color="000000"/>
              <w:right w:val="single" w:sz="8" w:space="0" w:color="000000"/>
            </w:tcBorders>
            <w:vAlign w:val="center"/>
          </w:tcPr>
          <w:p w14:paraId="4748C0F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Assets</w:t>
            </w:r>
          </w:p>
        </w:tc>
        <w:tc>
          <w:tcPr>
            <w:tcW w:w="0" w:type="auto"/>
            <w:tcBorders>
              <w:bottom w:val="double" w:sz="8" w:space="0" w:color="000000"/>
              <w:right w:val="single" w:sz="8" w:space="0" w:color="000000"/>
            </w:tcBorders>
            <w:vAlign w:val="center"/>
          </w:tcPr>
          <w:p w14:paraId="4D1FC30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$203.8</w:t>
            </w:r>
          </w:p>
        </w:tc>
      </w:tr>
      <w:tr w:rsidR="00521FEF" w:rsidRPr="00C406BB" w14:paraId="6CEE556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70DFD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Liabilities &amp; Equity</w:t>
            </w:r>
          </w:p>
        </w:tc>
        <w:tc>
          <w:tcPr>
            <w:tcW w:w="0" w:type="auto"/>
            <w:tcBorders>
              <w:bottom w:val="single" w:sz="8" w:space="0" w:color="000000"/>
              <w:right w:val="single" w:sz="8" w:space="0" w:color="000000"/>
            </w:tcBorders>
            <w:vAlign w:val="center"/>
          </w:tcPr>
          <w:p w14:paraId="334804D6" w14:textId="77777777" w:rsidR="00521FEF" w:rsidRPr="00C406BB" w:rsidRDefault="00521FEF" w:rsidP="00C406BB">
            <w:pPr>
              <w:jc w:val="both"/>
              <w:rPr>
                <w:rFonts w:ascii="Times New Roman" w:hAnsi="Times New Roman" w:cs="Times New Roman"/>
                <w:sz w:val="24"/>
                <w:szCs w:val="24"/>
              </w:rPr>
            </w:pPr>
          </w:p>
        </w:tc>
      </w:tr>
      <w:tr w:rsidR="00521FEF" w:rsidRPr="00C406BB" w14:paraId="34C5E5EF" w14:textId="77777777">
        <w:trPr>
          <w:cantSplit/>
          <w:tblCellSpacing w:w="0" w:type="dxa"/>
          <w:jc w:val="center"/>
        </w:trPr>
        <w:tc>
          <w:tcPr>
            <w:tcW w:w="0" w:type="auto"/>
            <w:tcBorders>
              <w:left w:val="single" w:sz="8" w:space="0" w:color="000000"/>
              <w:right w:val="single" w:sz="8" w:space="0" w:color="000000"/>
            </w:tcBorders>
            <w:vAlign w:val="center"/>
          </w:tcPr>
          <w:p w14:paraId="0E4EBA6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Current Liabilities</w:t>
            </w:r>
          </w:p>
        </w:tc>
        <w:tc>
          <w:tcPr>
            <w:tcW w:w="0" w:type="auto"/>
            <w:tcBorders>
              <w:right w:val="single" w:sz="8" w:space="0" w:color="000000"/>
            </w:tcBorders>
            <w:vAlign w:val="center"/>
          </w:tcPr>
          <w:p w14:paraId="7D5158B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$15.8</w:t>
            </w:r>
          </w:p>
        </w:tc>
      </w:tr>
      <w:tr w:rsidR="00521FEF" w:rsidRPr="00C406BB" w14:paraId="7E2658C9" w14:textId="77777777">
        <w:trPr>
          <w:cantSplit/>
          <w:tblCellSpacing w:w="0" w:type="dxa"/>
          <w:jc w:val="center"/>
        </w:trPr>
        <w:tc>
          <w:tcPr>
            <w:tcW w:w="0" w:type="auto"/>
            <w:tcBorders>
              <w:left w:val="single" w:sz="8" w:space="0" w:color="000000"/>
              <w:right w:val="single" w:sz="8" w:space="0" w:color="000000"/>
            </w:tcBorders>
            <w:vAlign w:val="center"/>
          </w:tcPr>
          <w:p w14:paraId="2712E02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Long-term Debt</w:t>
            </w:r>
          </w:p>
        </w:tc>
        <w:tc>
          <w:tcPr>
            <w:tcW w:w="0" w:type="auto"/>
            <w:tcBorders>
              <w:right w:val="single" w:sz="8" w:space="0" w:color="000000"/>
            </w:tcBorders>
            <w:vAlign w:val="center"/>
          </w:tcPr>
          <w:p w14:paraId="1A2E52A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27.2</w:t>
            </w:r>
          </w:p>
        </w:tc>
      </w:tr>
      <w:tr w:rsidR="00521FEF" w:rsidRPr="00C406BB" w14:paraId="52A5D7C6" w14:textId="77777777">
        <w:trPr>
          <w:cantSplit/>
          <w:tblCellSpacing w:w="0" w:type="dxa"/>
          <w:jc w:val="center"/>
        </w:trPr>
        <w:tc>
          <w:tcPr>
            <w:tcW w:w="0" w:type="auto"/>
            <w:tcBorders>
              <w:left w:val="single" w:sz="8" w:space="0" w:color="000000"/>
              <w:right w:val="single" w:sz="8" w:space="0" w:color="000000"/>
            </w:tcBorders>
            <w:vAlign w:val="center"/>
          </w:tcPr>
          <w:p w14:paraId="2029221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Deferred Taxes</w:t>
            </w:r>
          </w:p>
        </w:tc>
        <w:tc>
          <w:tcPr>
            <w:tcW w:w="0" w:type="auto"/>
            <w:tcBorders>
              <w:right w:val="single" w:sz="8" w:space="0" w:color="000000"/>
            </w:tcBorders>
            <w:vAlign w:val="center"/>
          </w:tcPr>
          <w:p w14:paraId="650D84A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18.4</w:t>
            </w:r>
          </w:p>
        </w:tc>
      </w:tr>
      <w:tr w:rsidR="00521FEF" w:rsidRPr="00C406BB" w14:paraId="141E363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53A51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Liabilities</w:t>
            </w:r>
          </w:p>
        </w:tc>
        <w:tc>
          <w:tcPr>
            <w:tcW w:w="0" w:type="auto"/>
            <w:tcBorders>
              <w:bottom w:val="single" w:sz="8" w:space="0" w:color="000000"/>
              <w:right w:val="single" w:sz="8" w:space="0" w:color="000000"/>
            </w:tcBorders>
            <w:vAlign w:val="center"/>
          </w:tcPr>
          <w:p w14:paraId="06F22FB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7.8</w:t>
            </w:r>
          </w:p>
        </w:tc>
      </w:tr>
      <w:tr w:rsidR="00521FEF" w:rsidRPr="00C406BB" w14:paraId="19E99FF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12733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Liabilities</w:t>
            </w:r>
          </w:p>
        </w:tc>
        <w:tc>
          <w:tcPr>
            <w:tcW w:w="0" w:type="auto"/>
            <w:tcBorders>
              <w:bottom w:val="single" w:sz="8" w:space="0" w:color="000000"/>
              <w:right w:val="single" w:sz="8" w:space="0" w:color="000000"/>
            </w:tcBorders>
            <w:vAlign w:val="center"/>
          </w:tcPr>
          <w:p w14:paraId="6CDA9D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$69.2</w:t>
            </w:r>
          </w:p>
        </w:tc>
      </w:tr>
      <w:tr w:rsidR="00521FEF" w:rsidRPr="00C406BB" w14:paraId="15D2289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AA547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Stockholders' Equity</w:t>
            </w:r>
          </w:p>
        </w:tc>
        <w:tc>
          <w:tcPr>
            <w:tcW w:w="0" w:type="auto"/>
            <w:tcBorders>
              <w:bottom w:val="single" w:sz="8" w:space="0" w:color="000000"/>
              <w:right w:val="single" w:sz="8" w:space="0" w:color="000000"/>
            </w:tcBorders>
            <w:vAlign w:val="center"/>
          </w:tcPr>
          <w:p w14:paraId="4B76561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134.6</w:t>
            </w:r>
          </w:p>
        </w:tc>
      </w:tr>
      <w:tr w:rsidR="00521FEF" w:rsidRPr="00C406BB" w14:paraId="72A04B3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6C207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Liabilities &amp; Equity</w:t>
            </w:r>
          </w:p>
        </w:tc>
        <w:tc>
          <w:tcPr>
            <w:tcW w:w="0" w:type="auto"/>
            <w:tcBorders>
              <w:bottom w:val="single" w:sz="8" w:space="0" w:color="000000"/>
              <w:right w:val="single" w:sz="8" w:space="0" w:color="000000"/>
            </w:tcBorders>
            <w:vAlign w:val="center"/>
          </w:tcPr>
          <w:p w14:paraId="612564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$203.8</w:t>
            </w:r>
          </w:p>
        </w:tc>
      </w:tr>
    </w:tbl>
    <w:p w14:paraId="0A72B994" w14:textId="77777777" w:rsidR="00521FEF" w:rsidRPr="00C406BB" w:rsidRDefault="00521FEF" w:rsidP="00C406BB">
      <w:pPr>
        <w:jc w:val="both"/>
        <w:rPr>
          <w:rFonts w:ascii="Times New Roman" w:hAnsi="Times New Roman" w:cs="Times New Roman"/>
          <w:sz w:val="24"/>
          <w:szCs w:val="24"/>
        </w:rPr>
      </w:pPr>
    </w:p>
    <w:p w14:paraId="6E461D9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13: Pro Forma Balance Sheet - Purchase Accounting</w:t>
      </w:r>
    </w:p>
    <w:p w14:paraId="12E9CD8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Key Balance Sheet Observations:</w:t>
      </w:r>
    </w:p>
    <w:p w14:paraId="2E7E52D7" w14:textId="77777777" w:rsidR="00521FEF" w:rsidRPr="00C406BB" w:rsidRDefault="00000000" w:rsidP="00C406BB">
      <w:pPr>
        <w:numPr>
          <w:ilvl w:val="0"/>
          <w:numId w:val="16"/>
        </w:numPr>
        <w:jc w:val="both"/>
        <w:rPr>
          <w:rFonts w:ascii="Times New Roman" w:hAnsi="Times New Roman" w:cs="Times New Roman"/>
          <w:sz w:val="24"/>
          <w:szCs w:val="24"/>
        </w:rPr>
      </w:pPr>
      <w:r w:rsidRPr="00C406BB">
        <w:rPr>
          <w:rFonts w:ascii="Times New Roman" w:hAnsi="Times New Roman" w:cs="Times New Roman"/>
          <w:sz w:val="24"/>
          <w:szCs w:val="24"/>
        </w:rPr>
        <w:t>Goodwill represents 62% of total assets</w:t>
      </w:r>
    </w:p>
    <w:p w14:paraId="3F3CCEAF" w14:textId="77777777" w:rsidR="00521FEF" w:rsidRPr="00C406BB" w:rsidRDefault="00000000" w:rsidP="00C406BB">
      <w:pPr>
        <w:numPr>
          <w:ilvl w:val="0"/>
          <w:numId w:val="16"/>
        </w:numPr>
        <w:jc w:val="both"/>
        <w:rPr>
          <w:rFonts w:ascii="Times New Roman" w:hAnsi="Times New Roman" w:cs="Times New Roman"/>
          <w:sz w:val="24"/>
          <w:szCs w:val="24"/>
        </w:rPr>
      </w:pPr>
      <w:r w:rsidRPr="00C406BB">
        <w:rPr>
          <w:rFonts w:ascii="Times New Roman" w:hAnsi="Times New Roman" w:cs="Times New Roman"/>
          <w:sz w:val="24"/>
          <w:szCs w:val="24"/>
        </w:rPr>
        <w:t>Intangible assets represent additional 17% of total assets</w:t>
      </w:r>
    </w:p>
    <w:p w14:paraId="1AD1DB7B" w14:textId="77777777" w:rsidR="00521FEF" w:rsidRPr="00C406BB" w:rsidRDefault="00000000" w:rsidP="00C406BB">
      <w:pPr>
        <w:numPr>
          <w:ilvl w:val="0"/>
          <w:numId w:val="16"/>
        </w:numPr>
        <w:jc w:val="both"/>
        <w:rPr>
          <w:rFonts w:ascii="Times New Roman" w:hAnsi="Times New Roman" w:cs="Times New Roman"/>
          <w:sz w:val="24"/>
          <w:szCs w:val="24"/>
        </w:rPr>
      </w:pPr>
      <w:r w:rsidRPr="00C406BB">
        <w:rPr>
          <w:rFonts w:ascii="Times New Roman" w:hAnsi="Times New Roman" w:cs="Times New Roman"/>
          <w:sz w:val="24"/>
          <w:szCs w:val="24"/>
        </w:rPr>
        <w:t>Combined, goodwill and intangibles: 79% of total assets</w:t>
      </w:r>
    </w:p>
    <w:p w14:paraId="7FDDB13B" w14:textId="77777777" w:rsidR="00521FEF" w:rsidRPr="00C406BB" w:rsidRDefault="00000000" w:rsidP="00C406BB">
      <w:pPr>
        <w:numPr>
          <w:ilvl w:val="0"/>
          <w:numId w:val="16"/>
        </w:numPr>
        <w:jc w:val="both"/>
        <w:rPr>
          <w:rFonts w:ascii="Times New Roman" w:hAnsi="Times New Roman" w:cs="Times New Roman"/>
          <w:sz w:val="24"/>
          <w:szCs w:val="24"/>
        </w:rPr>
      </w:pPr>
      <w:r w:rsidRPr="00C406BB">
        <w:rPr>
          <w:rFonts w:ascii="Times New Roman" w:hAnsi="Times New Roman" w:cs="Times New Roman"/>
          <w:sz w:val="24"/>
          <w:szCs w:val="24"/>
        </w:rPr>
        <w:t>Tangible book value (excluding goodwill/intangibles): only $42.6 billion</w:t>
      </w:r>
    </w:p>
    <w:p w14:paraId="76E5236F" w14:textId="77777777" w:rsidR="00521FEF" w:rsidRPr="00C406BB" w:rsidRDefault="00000000" w:rsidP="00C406BB">
      <w:pPr>
        <w:numPr>
          <w:ilvl w:val="0"/>
          <w:numId w:val="16"/>
        </w:numPr>
        <w:jc w:val="both"/>
        <w:rPr>
          <w:rFonts w:ascii="Times New Roman" w:hAnsi="Times New Roman" w:cs="Times New Roman"/>
          <w:sz w:val="24"/>
          <w:szCs w:val="24"/>
        </w:rPr>
      </w:pPr>
      <w:r w:rsidRPr="00C406BB">
        <w:rPr>
          <w:rFonts w:ascii="Times New Roman" w:hAnsi="Times New Roman" w:cs="Times New Roman"/>
          <w:sz w:val="24"/>
          <w:szCs w:val="24"/>
        </w:rPr>
        <w:t>Total debt: $27.2 billion</w:t>
      </w:r>
    </w:p>
    <w:p w14:paraId="4F8D5508" w14:textId="77777777" w:rsidR="00521FEF" w:rsidRPr="00C406BB" w:rsidRDefault="00000000" w:rsidP="00C406BB">
      <w:pPr>
        <w:numPr>
          <w:ilvl w:val="0"/>
          <w:numId w:val="16"/>
        </w:numPr>
        <w:jc w:val="both"/>
        <w:rPr>
          <w:rFonts w:ascii="Times New Roman" w:hAnsi="Times New Roman" w:cs="Times New Roman"/>
          <w:sz w:val="24"/>
          <w:szCs w:val="24"/>
        </w:rPr>
      </w:pPr>
      <w:r w:rsidRPr="00C406BB">
        <w:rPr>
          <w:rFonts w:ascii="Times New Roman" w:hAnsi="Times New Roman" w:cs="Times New Roman"/>
          <w:sz w:val="24"/>
          <w:szCs w:val="24"/>
        </w:rPr>
        <w:t>Net debt (debt minus cash): $22.0 billion</w:t>
      </w:r>
    </w:p>
    <w:p w14:paraId="3B95004A" w14:textId="77777777" w:rsidR="00C406BB" w:rsidRDefault="00C406BB" w:rsidP="00C406BB">
      <w:pPr>
        <w:spacing w:before="240" w:line="271" w:lineRule="auto"/>
        <w:jc w:val="both"/>
        <w:rPr>
          <w:rFonts w:ascii="Times New Roman" w:hAnsi="Times New Roman" w:cs="Times New Roman"/>
          <w:b/>
          <w:sz w:val="24"/>
          <w:szCs w:val="24"/>
        </w:rPr>
      </w:pPr>
      <w:bookmarkStart w:id="45" w:name="bm_4_4_pro_forma_cash_flow_statement"/>
    </w:p>
    <w:p w14:paraId="7C03E98C" w14:textId="0489F552" w:rsidR="00521FEF" w:rsidRDefault="00000000" w:rsidP="00C406BB">
      <w:pPr>
        <w:pStyle w:val="Heading2"/>
      </w:pPr>
      <w:bookmarkStart w:id="46" w:name="_Toc221361490"/>
      <w:r w:rsidRPr="00C406BB">
        <w:lastRenderedPageBreak/>
        <w:t>4.4 Pro Forma Cash Flow Statement</w:t>
      </w:r>
      <w:bookmarkEnd w:id="45"/>
      <w:bookmarkEnd w:id="46"/>
    </w:p>
    <w:p w14:paraId="7DE239A3" w14:textId="77777777" w:rsidR="00C406BB" w:rsidRPr="00C406BB" w:rsidRDefault="00C406BB" w:rsidP="00C406BB"/>
    <w:p w14:paraId="3D23914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The critical insight of purchase accounting is that goodwill amortization is a </w:t>
      </w:r>
      <w:r w:rsidRPr="00C406BB">
        <w:rPr>
          <w:rFonts w:ascii="Times New Roman" w:hAnsi="Times New Roman" w:cs="Times New Roman"/>
          <w:b/>
          <w:sz w:val="24"/>
          <w:szCs w:val="24"/>
        </w:rPr>
        <w:t>non-cash charge</w:t>
      </w:r>
      <w:r w:rsidRPr="00C406BB">
        <w:rPr>
          <w:rFonts w:ascii="Times New Roman" w:hAnsi="Times New Roman" w:cs="Times New Roman"/>
          <w:sz w:val="24"/>
          <w:szCs w:val="24"/>
        </w:rPr>
        <w:t>. The pro forma cash flow statement illustrates this:</w:t>
      </w:r>
    </w:p>
    <w:tbl>
      <w:tblPr>
        <w:tblStyle w:val="NormalGrid"/>
        <w:tblW w:w="0" w:type="auto"/>
        <w:jc w:val="center"/>
        <w:tblCellSpacing w:w="0" w:type="dxa"/>
        <w:tblLook w:val="04A0" w:firstRow="1" w:lastRow="0" w:firstColumn="1" w:lastColumn="0" w:noHBand="0" w:noVBand="1"/>
      </w:tblPr>
      <w:tblGrid>
        <w:gridCol w:w="4239"/>
        <w:gridCol w:w="1160"/>
      </w:tblGrid>
      <w:tr w:rsidR="00521FEF" w:rsidRPr="00C406BB" w14:paraId="006223F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88A10F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Operating Activities ($ millions)</w:t>
            </w:r>
          </w:p>
        </w:tc>
        <w:tc>
          <w:tcPr>
            <w:tcW w:w="0" w:type="auto"/>
            <w:tcBorders>
              <w:top w:val="single" w:sz="8" w:space="0" w:color="000000"/>
              <w:bottom w:val="single" w:sz="8" w:space="0" w:color="000000"/>
              <w:right w:val="single" w:sz="8" w:space="0" w:color="000000"/>
            </w:tcBorders>
            <w:vAlign w:val="center"/>
          </w:tcPr>
          <w:p w14:paraId="03B98CF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Amount</w:t>
            </w:r>
          </w:p>
        </w:tc>
      </w:tr>
      <w:tr w:rsidR="00521FEF" w:rsidRPr="00C406BB" w14:paraId="47B2D9C4" w14:textId="77777777">
        <w:trPr>
          <w:cantSplit/>
          <w:tblCellSpacing w:w="0" w:type="dxa"/>
          <w:jc w:val="center"/>
        </w:trPr>
        <w:tc>
          <w:tcPr>
            <w:tcW w:w="0" w:type="auto"/>
            <w:tcBorders>
              <w:left w:val="single" w:sz="8" w:space="0" w:color="000000"/>
              <w:right w:val="single" w:sz="8" w:space="0" w:color="000000"/>
            </w:tcBorders>
            <w:vAlign w:val="center"/>
          </w:tcPr>
          <w:p w14:paraId="500AB01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Income (Loss)</w:t>
            </w:r>
          </w:p>
        </w:tc>
        <w:tc>
          <w:tcPr>
            <w:tcW w:w="0" w:type="auto"/>
            <w:tcBorders>
              <w:right w:val="single" w:sz="8" w:space="0" w:color="000000"/>
            </w:tcBorders>
            <w:vAlign w:val="center"/>
          </w:tcPr>
          <w:p w14:paraId="4511674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($4,694)</w:t>
            </w:r>
          </w:p>
        </w:tc>
      </w:tr>
      <w:tr w:rsidR="00521FEF" w:rsidRPr="00C406BB" w14:paraId="0D54C9C4" w14:textId="77777777">
        <w:trPr>
          <w:cantSplit/>
          <w:tblCellSpacing w:w="0" w:type="dxa"/>
          <w:jc w:val="center"/>
        </w:trPr>
        <w:tc>
          <w:tcPr>
            <w:tcW w:w="0" w:type="auto"/>
            <w:tcBorders>
              <w:left w:val="single" w:sz="8" w:space="0" w:color="000000"/>
              <w:right w:val="single" w:sz="8" w:space="0" w:color="000000"/>
            </w:tcBorders>
            <w:vAlign w:val="center"/>
          </w:tcPr>
          <w:p w14:paraId="3359140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Add back: Depreciation &amp; Amortization</w:t>
            </w:r>
          </w:p>
        </w:tc>
        <w:tc>
          <w:tcPr>
            <w:tcW w:w="0" w:type="auto"/>
            <w:tcBorders>
              <w:right w:val="single" w:sz="8" w:space="0" w:color="000000"/>
            </w:tcBorders>
            <w:vAlign w:val="center"/>
          </w:tcPr>
          <w:p w14:paraId="7B62835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10,023</w:t>
            </w:r>
          </w:p>
        </w:tc>
      </w:tr>
      <w:tr w:rsidR="00521FEF" w:rsidRPr="00C406BB" w14:paraId="31D35B98" w14:textId="77777777">
        <w:trPr>
          <w:cantSplit/>
          <w:tblCellSpacing w:w="0" w:type="dxa"/>
          <w:jc w:val="center"/>
        </w:trPr>
        <w:tc>
          <w:tcPr>
            <w:tcW w:w="0" w:type="auto"/>
            <w:tcBorders>
              <w:left w:val="single" w:sz="8" w:space="0" w:color="000000"/>
              <w:right w:val="single" w:sz="8" w:space="0" w:color="000000"/>
            </w:tcBorders>
            <w:vAlign w:val="center"/>
          </w:tcPr>
          <w:p w14:paraId="08CD2A1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Add back: Stock Compensation</w:t>
            </w:r>
          </w:p>
        </w:tc>
        <w:tc>
          <w:tcPr>
            <w:tcW w:w="0" w:type="auto"/>
            <w:tcBorders>
              <w:right w:val="single" w:sz="8" w:space="0" w:color="000000"/>
            </w:tcBorders>
            <w:vAlign w:val="center"/>
          </w:tcPr>
          <w:p w14:paraId="41D5601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685</w:t>
            </w:r>
          </w:p>
        </w:tc>
      </w:tr>
      <w:tr w:rsidR="00521FEF" w:rsidRPr="00C406BB" w14:paraId="7926F41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6DB3E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Changes in Working Capital</w:t>
            </w:r>
          </w:p>
        </w:tc>
        <w:tc>
          <w:tcPr>
            <w:tcW w:w="0" w:type="auto"/>
            <w:tcBorders>
              <w:bottom w:val="single" w:sz="8" w:space="0" w:color="000000"/>
              <w:right w:val="single" w:sz="8" w:space="0" w:color="000000"/>
            </w:tcBorders>
            <w:vAlign w:val="center"/>
          </w:tcPr>
          <w:p w14:paraId="4F9A9A8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(842)</w:t>
            </w:r>
          </w:p>
        </w:tc>
      </w:tr>
      <w:tr w:rsidR="00521FEF" w:rsidRPr="00C406BB" w14:paraId="39C72AFE" w14:textId="77777777">
        <w:trPr>
          <w:cantSplit/>
          <w:tblCellSpacing w:w="0" w:type="dxa"/>
          <w:jc w:val="center"/>
        </w:trPr>
        <w:tc>
          <w:tcPr>
            <w:tcW w:w="0" w:type="auto"/>
            <w:tcBorders>
              <w:left w:val="single" w:sz="8" w:space="0" w:color="000000"/>
              <w:bottom w:val="double" w:sz="8" w:space="0" w:color="000000"/>
              <w:right w:val="single" w:sz="8" w:space="0" w:color="000000"/>
            </w:tcBorders>
            <w:vAlign w:val="center"/>
          </w:tcPr>
          <w:p w14:paraId="666E5E3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Operating Cash Flow</w:t>
            </w:r>
          </w:p>
        </w:tc>
        <w:tc>
          <w:tcPr>
            <w:tcW w:w="0" w:type="auto"/>
            <w:tcBorders>
              <w:bottom w:val="double" w:sz="8" w:space="0" w:color="000000"/>
              <w:right w:val="single" w:sz="8" w:space="0" w:color="000000"/>
            </w:tcBorders>
            <w:vAlign w:val="center"/>
          </w:tcPr>
          <w:p w14:paraId="3321FBD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$5,172</w:t>
            </w:r>
          </w:p>
        </w:tc>
      </w:tr>
      <w:tr w:rsidR="00521FEF" w:rsidRPr="00C406BB" w14:paraId="3AECC4EB" w14:textId="77777777">
        <w:trPr>
          <w:cantSplit/>
          <w:tblCellSpacing w:w="0" w:type="dxa"/>
          <w:jc w:val="center"/>
        </w:trPr>
        <w:tc>
          <w:tcPr>
            <w:tcW w:w="0" w:type="auto"/>
            <w:tcBorders>
              <w:left w:val="single" w:sz="8" w:space="0" w:color="000000"/>
              <w:right w:val="single" w:sz="8" w:space="0" w:color="000000"/>
            </w:tcBorders>
            <w:vAlign w:val="center"/>
          </w:tcPr>
          <w:p w14:paraId="28C91B7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Investing Activities</w:t>
            </w:r>
          </w:p>
        </w:tc>
        <w:tc>
          <w:tcPr>
            <w:tcW w:w="0" w:type="auto"/>
            <w:tcBorders>
              <w:right w:val="single" w:sz="8" w:space="0" w:color="000000"/>
            </w:tcBorders>
            <w:vAlign w:val="center"/>
          </w:tcPr>
          <w:p w14:paraId="463002EB" w14:textId="77777777" w:rsidR="00521FEF" w:rsidRPr="00C406BB" w:rsidRDefault="00521FEF" w:rsidP="00C406BB">
            <w:pPr>
              <w:jc w:val="both"/>
              <w:rPr>
                <w:rFonts w:ascii="Times New Roman" w:hAnsi="Times New Roman" w:cs="Times New Roman"/>
                <w:sz w:val="24"/>
                <w:szCs w:val="24"/>
              </w:rPr>
            </w:pPr>
          </w:p>
        </w:tc>
      </w:tr>
      <w:tr w:rsidR="00521FEF" w:rsidRPr="00C406BB" w14:paraId="6C07129F" w14:textId="77777777">
        <w:trPr>
          <w:cantSplit/>
          <w:tblCellSpacing w:w="0" w:type="dxa"/>
          <w:jc w:val="center"/>
        </w:trPr>
        <w:tc>
          <w:tcPr>
            <w:tcW w:w="0" w:type="auto"/>
            <w:tcBorders>
              <w:left w:val="single" w:sz="8" w:space="0" w:color="000000"/>
              <w:right w:val="single" w:sz="8" w:space="0" w:color="000000"/>
            </w:tcBorders>
            <w:vAlign w:val="center"/>
          </w:tcPr>
          <w:p w14:paraId="284B33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Capital Expenditures</w:t>
            </w:r>
          </w:p>
        </w:tc>
        <w:tc>
          <w:tcPr>
            <w:tcW w:w="0" w:type="auto"/>
            <w:tcBorders>
              <w:right w:val="single" w:sz="8" w:space="0" w:color="000000"/>
            </w:tcBorders>
            <w:vAlign w:val="center"/>
          </w:tcPr>
          <w:p w14:paraId="67F6397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($4,128)</w:t>
            </w:r>
          </w:p>
        </w:tc>
      </w:tr>
      <w:tr w:rsidR="00521FEF" w:rsidRPr="00C406BB" w14:paraId="0A50936B" w14:textId="77777777">
        <w:trPr>
          <w:cantSplit/>
          <w:tblCellSpacing w:w="0" w:type="dxa"/>
          <w:jc w:val="center"/>
        </w:trPr>
        <w:tc>
          <w:tcPr>
            <w:tcW w:w="0" w:type="auto"/>
            <w:tcBorders>
              <w:left w:val="single" w:sz="8" w:space="0" w:color="000000"/>
              <w:right w:val="single" w:sz="8" w:space="0" w:color="000000"/>
            </w:tcBorders>
            <w:vAlign w:val="center"/>
          </w:tcPr>
          <w:p w14:paraId="666244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Acquisitions</w:t>
            </w:r>
          </w:p>
        </w:tc>
        <w:tc>
          <w:tcPr>
            <w:tcW w:w="0" w:type="auto"/>
            <w:tcBorders>
              <w:right w:val="single" w:sz="8" w:space="0" w:color="000000"/>
            </w:tcBorders>
            <w:vAlign w:val="center"/>
          </w:tcPr>
          <w:p w14:paraId="62F5C9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(287)</w:t>
            </w:r>
          </w:p>
        </w:tc>
      </w:tr>
      <w:tr w:rsidR="00521FEF" w:rsidRPr="00C406BB" w14:paraId="78B95D7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342F2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Other Investing</w:t>
            </w:r>
          </w:p>
        </w:tc>
        <w:tc>
          <w:tcPr>
            <w:tcW w:w="0" w:type="auto"/>
            <w:tcBorders>
              <w:bottom w:val="single" w:sz="8" w:space="0" w:color="000000"/>
              <w:right w:val="single" w:sz="8" w:space="0" w:color="000000"/>
            </w:tcBorders>
            <w:vAlign w:val="center"/>
          </w:tcPr>
          <w:p w14:paraId="7D030A9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(196)</w:t>
            </w:r>
          </w:p>
        </w:tc>
      </w:tr>
      <w:tr w:rsidR="00521FEF" w:rsidRPr="00C406BB" w14:paraId="247A9F74" w14:textId="77777777">
        <w:trPr>
          <w:cantSplit/>
          <w:tblCellSpacing w:w="0" w:type="dxa"/>
          <w:jc w:val="center"/>
        </w:trPr>
        <w:tc>
          <w:tcPr>
            <w:tcW w:w="0" w:type="auto"/>
            <w:tcBorders>
              <w:left w:val="single" w:sz="8" w:space="0" w:color="000000"/>
              <w:bottom w:val="double" w:sz="8" w:space="0" w:color="000000"/>
              <w:right w:val="single" w:sz="8" w:space="0" w:color="000000"/>
            </w:tcBorders>
            <w:vAlign w:val="center"/>
          </w:tcPr>
          <w:p w14:paraId="7A43F47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Cash from Investing</w:t>
            </w:r>
          </w:p>
        </w:tc>
        <w:tc>
          <w:tcPr>
            <w:tcW w:w="0" w:type="auto"/>
            <w:tcBorders>
              <w:bottom w:val="double" w:sz="8" w:space="0" w:color="000000"/>
              <w:right w:val="single" w:sz="8" w:space="0" w:color="000000"/>
            </w:tcBorders>
            <w:vAlign w:val="center"/>
          </w:tcPr>
          <w:p w14:paraId="1C05C59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($4,611)</w:t>
            </w:r>
          </w:p>
        </w:tc>
      </w:tr>
      <w:tr w:rsidR="00521FEF" w:rsidRPr="00C406BB" w14:paraId="494255E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F43FE4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Free Cash Flow</w:t>
            </w:r>
          </w:p>
        </w:tc>
        <w:tc>
          <w:tcPr>
            <w:tcW w:w="0" w:type="auto"/>
            <w:tcBorders>
              <w:bottom w:val="single" w:sz="8" w:space="0" w:color="000000"/>
              <w:right w:val="single" w:sz="8" w:space="0" w:color="000000"/>
            </w:tcBorders>
            <w:vAlign w:val="center"/>
          </w:tcPr>
          <w:p w14:paraId="3E7FD60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$561</w:t>
            </w:r>
          </w:p>
        </w:tc>
      </w:tr>
    </w:tbl>
    <w:p w14:paraId="10E77CAE" w14:textId="77777777" w:rsidR="00521FEF" w:rsidRPr="00C406BB" w:rsidRDefault="00521FEF" w:rsidP="00C406BB">
      <w:pPr>
        <w:jc w:val="both"/>
        <w:rPr>
          <w:rFonts w:ascii="Times New Roman" w:hAnsi="Times New Roman" w:cs="Times New Roman"/>
          <w:sz w:val="24"/>
          <w:szCs w:val="24"/>
        </w:rPr>
      </w:pPr>
    </w:p>
    <w:p w14:paraId="1BA6E44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14: Pro Forma Cash Flow Statement 2000</w:t>
      </w:r>
    </w:p>
    <w:p w14:paraId="6C90FD37" w14:textId="2F821256"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Despite reported net loss of $4.7 billion, the combined entity generated positive operating cash flow of $5.2 billion, with goodwill amortization of $7.1 billion representing the largest reconciling item between net income and cash flow.</w:t>
      </w:r>
    </w:p>
    <w:p w14:paraId="114F1D5F" w14:textId="2C064715" w:rsidR="00521FEF" w:rsidRPr="00C406BB" w:rsidRDefault="00521FEF" w:rsidP="00C406BB">
      <w:pPr>
        <w:jc w:val="both"/>
        <w:rPr>
          <w:rFonts w:ascii="Times New Roman" w:hAnsi="Times New Roman" w:cs="Times New Roman"/>
          <w:sz w:val="24"/>
          <w:szCs w:val="24"/>
        </w:rPr>
      </w:pPr>
    </w:p>
    <w:p w14:paraId="0F309A43" w14:textId="77777777" w:rsidR="00C406BB" w:rsidRDefault="00C406BB">
      <w:pPr>
        <w:rPr>
          <w:rFonts w:ascii="Times New Roman" w:eastAsiaTheme="majorEastAsia" w:hAnsi="Times New Roman" w:cstheme="majorBidi"/>
          <w:b/>
          <w:color w:val="000000" w:themeColor="text1"/>
          <w:sz w:val="32"/>
          <w:szCs w:val="32"/>
        </w:rPr>
      </w:pPr>
      <w:bookmarkStart w:id="47" w:name="bm_5_impact_on_earnings_per_share"/>
      <w:r>
        <w:br w:type="page"/>
      </w:r>
    </w:p>
    <w:p w14:paraId="232678B1" w14:textId="5C0A38C4" w:rsidR="00521FEF" w:rsidRPr="00C406BB" w:rsidRDefault="00000000" w:rsidP="00C406BB">
      <w:pPr>
        <w:pStyle w:val="Heading1"/>
      </w:pPr>
      <w:bookmarkStart w:id="48" w:name="_Toc221361491"/>
      <w:r w:rsidRPr="00C406BB">
        <w:lastRenderedPageBreak/>
        <w:t>5. Impact on Earnings Per Share</w:t>
      </w:r>
      <w:bookmarkEnd w:id="47"/>
      <w:bookmarkEnd w:id="48"/>
    </w:p>
    <w:p w14:paraId="10BDCA65" w14:textId="77777777" w:rsidR="00C406BB" w:rsidRDefault="00C406BB" w:rsidP="00C406BB">
      <w:pPr>
        <w:pStyle w:val="Heading2"/>
      </w:pPr>
      <w:bookmarkStart w:id="49" w:name="bm_5_1_historical_and_pro_forma_e_7ee563"/>
    </w:p>
    <w:p w14:paraId="15F0D41A" w14:textId="17180D2A" w:rsidR="00521FEF" w:rsidRPr="00C406BB" w:rsidRDefault="00000000" w:rsidP="00C406BB">
      <w:pPr>
        <w:pStyle w:val="Heading2"/>
      </w:pPr>
      <w:bookmarkStart w:id="50" w:name="_Toc221361492"/>
      <w:r w:rsidRPr="00C406BB">
        <w:t>5.1 Historical and Pro Forma EPS Analysis</w:t>
      </w:r>
      <w:bookmarkEnd w:id="49"/>
      <w:bookmarkEnd w:id="50"/>
    </w:p>
    <w:p w14:paraId="5305ACF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Pre-Merger Standalone EPS Performance:</w:t>
      </w:r>
    </w:p>
    <w:tbl>
      <w:tblPr>
        <w:tblStyle w:val="NormalGrid"/>
        <w:tblW w:w="0" w:type="auto"/>
        <w:jc w:val="center"/>
        <w:tblCellSpacing w:w="0" w:type="dxa"/>
        <w:tblLook w:val="04A0" w:firstRow="1" w:lastRow="0" w:firstColumn="1" w:lastColumn="0" w:noHBand="0" w:noVBand="1"/>
      </w:tblPr>
      <w:tblGrid>
        <w:gridCol w:w="987"/>
        <w:gridCol w:w="1307"/>
        <w:gridCol w:w="2100"/>
      </w:tblGrid>
      <w:tr w:rsidR="00521FEF" w:rsidRPr="00C406BB" w14:paraId="6800685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C8FFB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090782C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EPS</w:t>
            </w:r>
          </w:p>
        </w:tc>
        <w:tc>
          <w:tcPr>
            <w:tcW w:w="0" w:type="auto"/>
            <w:tcBorders>
              <w:top w:val="single" w:sz="8" w:space="0" w:color="000000"/>
              <w:bottom w:val="single" w:sz="8" w:space="0" w:color="000000"/>
              <w:right w:val="single" w:sz="8" w:space="0" w:color="000000"/>
            </w:tcBorders>
            <w:vAlign w:val="center"/>
          </w:tcPr>
          <w:p w14:paraId="0030B79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Time Warner EPS</w:t>
            </w:r>
          </w:p>
        </w:tc>
      </w:tr>
      <w:tr w:rsidR="00521FEF" w:rsidRPr="00C406BB" w14:paraId="157FF876" w14:textId="77777777">
        <w:trPr>
          <w:cantSplit/>
          <w:tblCellSpacing w:w="0" w:type="dxa"/>
          <w:jc w:val="center"/>
        </w:trPr>
        <w:tc>
          <w:tcPr>
            <w:tcW w:w="0" w:type="auto"/>
            <w:tcBorders>
              <w:left w:val="single" w:sz="8" w:space="0" w:color="000000"/>
              <w:right w:val="single" w:sz="8" w:space="0" w:color="000000"/>
            </w:tcBorders>
            <w:vAlign w:val="center"/>
          </w:tcPr>
          <w:p w14:paraId="72AF797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1997</w:t>
            </w:r>
          </w:p>
        </w:tc>
        <w:tc>
          <w:tcPr>
            <w:tcW w:w="0" w:type="auto"/>
            <w:tcBorders>
              <w:right w:val="single" w:sz="8" w:space="0" w:color="000000"/>
            </w:tcBorders>
            <w:vAlign w:val="center"/>
          </w:tcPr>
          <w:p w14:paraId="50D3CAB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$0.32</w:t>
            </w:r>
          </w:p>
        </w:tc>
        <w:tc>
          <w:tcPr>
            <w:tcW w:w="0" w:type="auto"/>
            <w:tcBorders>
              <w:right w:val="single" w:sz="8" w:space="0" w:color="000000"/>
            </w:tcBorders>
            <w:vAlign w:val="center"/>
          </w:tcPr>
          <w:p w14:paraId="6815558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$0.78</w:t>
            </w:r>
          </w:p>
        </w:tc>
      </w:tr>
      <w:tr w:rsidR="00521FEF" w:rsidRPr="00C406BB" w14:paraId="7960409B" w14:textId="77777777">
        <w:trPr>
          <w:cantSplit/>
          <w:tblCellSpacing w:w="0" w:type="dxa"/>
          <w:jc w:val="center"/>
        </w:trPr>
        <w:tc>
          <w:tcPr>
            <w:tcW w:w="0" w:type="auto"/>
            <w:tcBorders>
              <w:left w:val="single" w:sz="8" w:space="0" w:color="000000"/>
              <w:right w:val="single" w:sz="8" w:space="0" w:color="000000"/>
            </w:tcBorders>
            <w:vAlign w:val="center"/>
          </w:tcPr>
          <w:p w14:paraId="696B92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1998</w:t>
            </w:r>
          </w:p>
        </w:tc>
        <w:tc>
          <w:tcPr>
            <w:tcW w:w="0" w:type="auto"/>
            <w:tcBorders>
              <w:right w:val="single" w:sz="8" w:space="0" w:color="000000"/>
            </w:tcBorders>
            <w:vAlign w:val="center"/>
          </w:tcPr>
          <w:p w14:paraId="5EDEE9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$0.51</w:t>
            </w:r>
          </w:p>
        </w:tc>
        <w:tc>
          <w:tcPr>
            <w:tcW w:w="0" w:type="auto"/>
            <w:tcBorders>
              <w:right w:val="single" w:sz="8" w:space="0" w:color="000000"/>
            </w:tcBorders>
            <w:vAlign w:val="center"/>
          </w:tcPr>
          <w:p w14:paraId="28C3C4C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$1.12</w:t>
            </w:r>
          </w:p>
        </w:tc>
      </w:tr>
      <w:tr w:rsidR="00521FEF" w:rsidRPr="00C406BB" w14:paraId="468329B3" w14:textId="77777777">
        <w:trPr>
          <w:cantSplit/>
          <w:tblCellSpacing w:w="0" w:type="dxa"/>
          <w:jc w:val="center"/>
        </w:trPr>
        <w:tc>
          <w:tcPr>
            <w:tcW w:w="0" w:type="auto"/>
            <w:tcBorders>
              <w:left w:val="single" w:sz="8" w:space="0" w:color="000000"/>
              <w:right w:val="single" w:sz="8" w:space="0" w:color="000000"/>
            </w:tcBorders>
            <w:vAlign w:val="center"/>
          </w:tcPr>
          <w:p w14:paraId="7C9B7D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1999</w:t>
            </w:r>
          </w:p>
        </w:tc>
        <w:tc>
          <w:tcPr>
            <w:tcW w:w="0" w:type="auto"/>
            <w:tcBorders>
              <w:right w:val="single" w:sz="8" w:space="0" w:color="000000"/>
            </w:tcBorders>
            <w:vAlign w:val="center"/>
          </w:tcPr>
          <w:p w14:paraId="7425006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$1.15</w:t>
            </w:r>
          </w:p>
        </w:tc>
        <w:tc>
          <w:tcPr>
            <w:tcW w:w="0" w:type="auto"/>
            <w:tcBorders>
              <w:right w:val="single" w:sz="8" w:space="0" w:color="000000"/>
            </w:tcBorders>
            <w:vAlign w:val="center"/>
          </w:tcPr>
          <w:p w14:paraId="4A8E0C8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$1.34</w:t>
            </w:r>
          </w:p>
        </w:tc>
      </w:tr>
      <w:tr w:rsidR="00521FEF" w:rsidRPr="00C406BB" w14:paraId="386F2CA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E39AA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2000E</w:t>
            </w:r>
          </w:p>
        </w:tc>
        <w:tc>
          <w:tcPr>
            <w:tcW w:w="0" w:type="auto"/>
            <w:tcBorders>
              <w:bottom w:val="single" w:sz="8" w:space="0" w:color="000000"/>
              <w:right w:val="single" w:sz="8" w:space="0" w:color="000000"/>
            </w:tcBorders>
            <w:vAlign w:val="center"/>
          </w:tcPr>
          <w:p w14:paraId="26B0143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$1.45</w:t>
            </w:r>
          </w:p>
        </w:tc>
        <w:tc>
          <w:tcPr>
            <w:tcW w:w="0" w:type="auto"/>
            <w:tcBorders>
              <w:bottom w:val="single" w:sz="8" w:space="0" w:color="000000"/>
              <w:right w:val="single" w:sz="8" w:space="0" w:color="000000"/>
            </w:tcBorders>
            <w:vAlign w:val="center"/>
          </w:tcPr>
          <w:p w14:paraId="4C035F6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$1.65</w:t>
            </w:r>
          </w:p>
        </w:tc>
      </w:tr>
    </w:tbl>
    <w:p w14:paraId="1C11251D" w14:textId="77777777" w:rsidR="00521FEF" w:rsidRPr="00C406BB" w:rsidRDefault="00521FEF" w:rsidP="00C406BB">
      <w:pPr>
        <w:jc w:val="both"/>
        <w:rPr>
          <w:rFonts w:ascii="Times New Roman" w:hAnsi="Times New Roman" w:cs="Times New Roman"/>
          <w:sz w:val="24"/>
          <w:szCs w:val="24"/>
        </w:rPr>
      </w:pPr>
    </w:p>
    <w:p w14:paraId="58C99B9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15: Historical Standalone EPS</w:t>
      </w:r>
    </w:p>
    <w:p w14:paraId="496278F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Post-Merger Pro Forma EPS:</w:t>
      </w:r>
    </w:p>
    <w:p w14:paraId="61C8AE9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Under purchase accounting with full-year impact of goodwill amortization:</w:t>
      </w:r>
    </w:p>
    <w:tbl>
      <w:tblPr>
        <w:tblStyle w:val="NormalGrid"/>
        <w:tblW w:w="0" w:type="auto"/>
        <w:jc w:val="center"/>
        <w:tblCellSpacing w:w="0" w:type="dxa"/>
        <w:tblLook w:val="04A0" w:firstRow="1" w:lastRow="0" w:firstColumn="1" w:lastColumn="0" w:noHBand="0" w:noVBand="1"/>
      </w:tblPr>
      <w:tblGrid>
        <w:gridCol w:w="987"/>
        <w:gridCol w:w="1947"/>
        <w:gridCol w:w="2347"/>
        <w:gridCol w:w="1694"/>
      </w:tblGrid>
      <w:tr w:rsidR="00521FEF" w:rsidRPr="00C406BB" w14:paraId="5BCD5E2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ADFD76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2856D1B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Operational EPS</w:t>
            </w:r>
          </w:p>
        </w:tc>
        <w:tc>
          <w:tcPr>
            <w:tcW w:w="0" w:type="auto"/>
            <w:tcBorders>
              <w:top w:val="single" w:sz="8" w:space="0" w:color="000000"/>
              <w:bottom w:val="single" w:sz="8" w:space="0" w:color="000000"/>
              <w:right w:val="single" w:sz="8" w:space="0" w:color="000000"/>
            </w:tcBorders>
            <w:vAlign w:val="center"/>
          </w:tcPr>
          <w:p w14:paraId="25B786B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Amortization Impact</w:t>
            </w:r>
          </w:p>
        </w:tc>
        <w:tc>
          <w:tcPr>
            <w:tcW w:w="0" w:type="auto"/>
            <w:tcBorders>
              <w:top w:val="single" w:sz="8" w:space="0" w:color="000000"/>
              <w:bottom w:val="single" w:sz="8" w:space="0" w:color="000000"/>
              <w:right w:val="single" w:sz="8" w:space="0" w:color="000000"/>
            </w:tcBorders>
            <w:vAlign w:val="center"/>
          </w:tcPr>
          <w:p w14:paraId="0CB6CC6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Reported EPS</w:t>
            </w:r>
          </w:p>
        </w:tc>
      </w:tr>
      <w:tr w:rsidR="00521FEF" w:rsidRPr="00C406BB" w14:paraId="7614CC31" w14:textId="77777777">
        <w:trPr>
          <w:cantSplit/>
          <w:tblCellSpacing w:w="0" w:type="dxa"/>
          <w:jc w:val="center"/>
        </w:trPr>
        <w:tc>
          <w:tcPr>
            <w:tcW w:w="0" w:type="auto"/>
            <w:tcBorders>
              <w:left w:val="single" w:sz="8" w:space="0" w:color="000000"/>
              <w:right w:val="single" w:sz="8" w:space="0" w:color="000000"/>
            </w:tcBorders>
            <w:vAlign w:val="center"/>
          </w:tcPr>
          <w:p w14:paraId="70A2790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2001E</w:t>
            </w:r>
          </w:p>
        </w:tc>
        <w:tc>
          <w:tcPr>
            <w:tcW w:w="0" w:type="auto"/>
            <w:tcBorders>
              <w:right w:val="single" w:sz="8" w:space="0" w:color="000000"/>
            </w:tcBorders>
            <w:vAlign w:val="center"/>
          </w:tcPr>
          <w:p w14:paraId="2409E07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$2.85</w:t>
            </w:r>
          </w:p>
        </w:tc>
        <w:tc>
          <w:tcPr>
            <w:tcW w:w="0" w:type="auto"/>
            <w:tcBorders>
              <w:right w:val="single" w:sz="8" w:space="0" w:color="000000"/>
            </w:tcBorders>
            <w:vAlign w:val="center"/>
          </w:tcPr>
          <w:p w14:paraId="29F5878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($0.94)</w:t>
            </w:r>
          </w:p>
        </w:tc>
        <w:tc>
          <w:tcPr>
            <w:tcW w:w="0" w:type="auto"/>
            <w:tcBorders>
              <w:right w:val="single" w:sz="8" w:space="0" w:color="000000"/>
            </w:tcBorders>
            <w:vAlign w:val="center"/>
          </w:tcPr>
          <w:p w14:paraId="4B5E27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$1.91</w:t>
            </w:r>
          </w:p>
        </w:tc>
      </w:tr>
      <w:tr w:rsidR="00521FEF" w:rsidRPr="00C406BB" w14:paraId="5027243B" w14:textId="77777777">
        <w:trPr>
          <w:cantSplit/>
          <w:tblCellSpacing w:w="0" w:type="dxa"/>
          <w:jc w:val="center"/>
        </w:trPr>
        <w:tc>
          <w:tcPr>
            <w:tcW w:w="0" w:type="auto"/>
            <w:tcBorders>
              <w:left w:val="single" w:sz="8" w:space="0" w:color="000000"/>
              <w:right w:val="single" w:sz="8" w:space="0" w:color="000000"/>
            </w:tcBorders>
            <w:vAlign w:val="center"/>
          </w:tcPr>
          <w:p w14:paraId="16EA5D0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2002E</w:t>
            </w:r>
          </w:p>
        </w:tc>
        <w:tc>
          <w:tcPr>
            <w:tcW w:w="0" w:type="auto"/>
            <w:tcBorders>
              <w:right w:val="single" w:sz="8" w:space="0" w:color="000000"/>
            </w:tcBorders>
            <w:vAlign w:val="center"/>
          </w:tcPr>
          <w:p w14:paraId="37FEA3B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$3.42</w:t>
            </w:r>
          </w:p>
        </w:tc>
        <w:tc>
          <w:tcPr>
            <w:tcW w:w="0" w:type="auto"/>
            <w:tcBorders>
              <w:right w:val="single" w:sz="8" w:space="0" w:color="000000"/>
            </w:tcBorders>
            <w:vAlign w:val="center"/>
          </w:tcPr>
          <w:p w14:paraId="3EDC623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($0.94)</w:t>
            </w:r>
          </w:p>
        </w:tc>
        <w:tc>
          <w:tcPr>
            <w:tcW w:w="0" w:type="auto"/>
            <w:tcBorders>
              <w:right w:val="single" w:sz="8" w:space="0" w:color="000000"/>
            </w:tcBorders>
            <w:vAlign w:val="center"/>
          </w:tcPr>
          <w:p w14:paraId="27B1195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$2.48</w:t>
            </w:r>
          </w:p>
        </w:tc>
      </w:tr>
      <w:tr w:rsidR="00521FEF" w:rsidRPr="00C406BB" w14:paraId="48AE5B3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A5D9A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2003E</w:t>
            </w:r>
          </w:p>
        </w:tc>
        <w:tc>
          <w:tcPr>
            <w:tcW w:w="0" w:type="auto"/>
            <w:tcBorders>
              <w:bottom w:val="single" w:sz="8" w:space="0" w:color="000000"/>
              <w:right w:val="single" w:sz="8" w:space="0" w:color="000000"/>
            </w:tcBorders>
            <w:vAlign w:val="center"/>
          </w:tcPr>
          <w:p w14:paraId="5D9BBC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$4.11</w:t>
            </w:r>
          </w:p>
        </w:tc>
        <w:tc>
          <w:tcPr>
            <w:tcW w:w="0" w:type="auto"/>
            <w:tcBorders>
              <w:bottom w:val="single" w:sz="8" w:space="0" w:color="000000"/>
              <w:right w:val="single" w:sz="8" w:space="0" w:color="000000"/>
            </w:tcBorders>
            <w:vAlign w:val="center"/>
          </w:tcPr>
          <w:p w14:paraId="3AABA11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($0.94)</w:t>
            </w:r>
          </w:p>
        </w:tc>
        <w:tc>
          <w:tcPr>
            <w:tcW w:w="0" w:type="auto"/>
            <w:tcBorders>
              <w:bottom w:val="single" w:sz="8" w:space="0" w:color="000000"/>
              <w:right w:val="single" w:sz="8" w:space="0" w:color="000000"/>
            </w:tcBorders>
            <w:vAlign w:val="center"/>
          </w:tcPr>
          <w:p w14:paraId="654FFD1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$3.17</w:t>
            </w:r>
          </w:p>
        </w:tc>
      </w:tr>
    </w:tbl>
    <w:p w14:paraId="63EE155C" w14:textId="77777777" w:rsidR="00521FEF" w:rsidRPr="00C406BB" w:rsidRDefault="00521FEF" w:rsidP="00C406BB">
      <w:pPr>
        <w:jc w:val="both"/>
        <w:rPr>
          <w:rFonts w:ascii="Times New Roman" w:hAnsi="Times New Roman" w:cs="Times New Roman"/>
          <w:sz w:val="24"/>
          <w:szCs w:val="24"/>
        </w:rPr>
      </w:pPr>
    </w:p>
    <w:p w14:paraId="3FB6561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16: Pro Forma EPS with Goodwill Amortization</w:t>
      </w:r>
    </w:p>
    <w:p w14:paraId="5111B13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Assumptions:</w:t>
      </w:r>
    </w:p>
    <w:p w14:paraId="2EC90E75" w14:textId="77777777" w:rsidR="00521FEF" w:rsidRPr="00C406BB" w:rsidRDefault="00000000" w:rsidP="00C406BB">
      <w:pPr>
        <w:numPr>
          <w:ilvl w:val="0"/>
          <w:numId w:val="17"/>
        </w:numPr>
        <w:jc w:val="both"/>
        <w:rPr>
          <w:rFonts w:ascii="Times New Roman" w:hAnsi="Times New Roman" w:cs="Times New Roman"/>
          <w:sz w:val="24"/>
          <w:szCs w:val="24"/>
        </w:rPr>
      </w:pPr>
      <w:r w:rsidRPr="00C406BB">
        <w:rPr>
          <w:rFonts w:ascii="Times New Roman" w:hAnsi="Times New Roman" w:cs="Times New Roman"/>
          <w:sz w:val="24"/>
          <w:szCs w:val="24"/>
        </w:rPr>
        <w:t>4.5 billion fully diluted shares outstanding</w:t>
      </w:r>
    </w:p>
    <w:p w14:paraId="723C792A" w14:textId="77777777" w:rsidR="00521FEF" w:rsidRPr="00C406BB" w:rsidRDefault="00000000" w:rsidP="00C406BB">
      <w:pPr>
        <w:numPr>
          <w:ilvl w:val="0"/>
          <w:numId w:val="17"/>
        </w:numPr>
        <w:jc w:val="both"/>
        <w:rPr>
          <w:rFonts w:ascii="Times New Roman" w:hAnsi="Times New Roman" w:cs="Times New Roman"/>
          <w:sz w:val="24"/>
          <w:szCs w:val="24"/>
        </w:rPr>
      </w:pPr>
      <w:r w:rsidRPr="00C406BB">
        <w:rPr>
          <w:rFonts w:ascii="Times New Roman" w:hAnsi="Times New Roman" w:cs="Times New Roman"/>
          <w:sz w:val="24"/>
          <w:szCs w:val="24"/>
        </w:rPr>
        <w:t>Operational EPS based on 15% annual growth in combined operating earnings</w:t>
      </w:r>
    </w:p>
    <w:p w14:paraId="15013839" w14:textId="77777777" w:rsidR="00521FEF" w:rsidRPr="00C406BB" w:rsidRDefault="00000000" w:rsidP="00C406BB">
      <w:pPr>
        <w:numPr>
          <w:ilvl w:val="0"/>
          <w:numId w:val="17"/>
        </w:numPr>
        <w:jc w:val="both"/>
        <w:rPr>
          <w:rFonts w:ascii="Times New Roman" w:hAnsi="Times New Roman" w:cs="Times New Roman"/>
          <w:sz w:val="24"/>
          <w:szCs w:val="24"/>
        </w:rPr>
      </w:pPr>
      <w:r w:rsidRPr="00C406BB">
        <w:rPr>
          <w:rFonts w:ascii="Times New Roman" w:eastAsia="Georgia" w:hAnsi="Times New Roman" w:cs="Times New Roman"/>
          <w:sz w:val="24"/>
          <w:szCs w:val="24"/>
        </w:rPr>
        <w:t>Annual goodwill amortization: $4.23 billion ÷ 4.5 billion shares = $0.94/share</w:t>
      </w:r>
    </w:p>
    <w:p w14:paraId="75508195" w14:textId="77777777" w:rsidR="00C406BB" w:rsidRDefault="00C406BB">
      <w:pPr>
        <w:rPr>
          <w:rFonts w:ascii="Times New Roman" w:hAnsi="Times New Roman" w:cs="Times New Roman"/>
          <w:b/>
          <w:sz w:val="24"/>
          <w:szCs w:val="24"/>
        </w:rPr>
      </w:pPr>
      <w:bookmarkStart w:id="51" w:name="bm_5_2_eps_dilution_analysis"/>
      <w:r>
        <w:rPr>
          <w:rFonts w:ascii="Times New Roman" w:hAnsi="Times New Roman" w:cs="Times New Roman"/>
          <w:b/>
          <w:sz w:val="24"/>
          <w:szCs w:val="24"/>
        </w:rPr>
        <w:br w:type="page"/>
      </w:r>
    </w:p>
    <w:p w14:paraId="6AD68ED6" w14:textId="225D6DF8" w:rsidR="00521FEF" w:rsidRPr="00C406BB" w:rsidRDefault="00000000" w:rsidP="00C406BB">
      <w:pPr>
        <w:pStyle w:val="Heading2"/>
      </w:pPr>
      <w:bookmarkStart w:id="52" w:name="_Toc221361493"/>
      <w:r w:rsidRPr="00C406BB">
        <w:lastRenderedPageBreak/>
        <w:t>5.2 EPS Dilution Analysis</w:t>
      </w:r>
      <w:bookmarkEnd w:id="51"/>
      <w:bookmarkEnd w:id="52"/>
    </w:p>
    <w:p w14:paraId="4432A76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Immediate Dilution to AOL Shareholders:</w:t>
      </w:r>
    </w:p>
    <w:p w14:paraId="664DA17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Based on 2000 earnings power, AOL shareholders experienced significant EPS dilution:</w:t>
      </w:r>
    </w:p>
    <w:tbl>
      <w:tblPr>
        <w:tblStyle w:val="NormalGrid"/>
        <w:tblW w:w="0" w:type="auto"/>
        <w:jc w:val="center"/>
        <w:tblCellSpacing w:w="0" w:type="dxa"/>
        <w:tblLook w:val="04A0" w:firstRow="1" w:lastRow="0" w:firstColumn="1" w:lastColumn="0" w:noHBand="0" w:noVBand="1"/>
      </w:tblPr>
      <w:tblGrid>
        <w:gridCol w:w="3360"/>
        <w:gridCol w:w="1016"/>
      </w:tblGrid>
      <w:tr w:rsidR="00521FEF" w:rsidRPr="00C406BB" w14:paraId="281BE5B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B392EA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Metric</w:t>
            </w:r>
          </w:p>
        </w:tc>
        <w:tc>
          <w:tcPr>
            <w:tcW w:w="0" w:type="auto"/>
            <w:tcBorders>
              <w:top w:val="single" w:sz="8" w:space="0" w:color="000000"/>
              <w:bottom w:val="single" w:sz="8" w:space="0" w:color="000000"/>
              <w:right w:val="single" w:sz="8" w:space="0" w:color="000000"/>
            </w:tcBorders>
            <w:vAlign w:val="center"/>
          </w:tcPr>
          <w:p w14:paraId="6BBF61E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417DE7CC" w14:textId="77777777">
        <w:trPr>
          <w:cantSplit/>
          <w:tblCellSpacing w:w="0" w:type="dxa"/>
          <w:jc w:val="center"/>
        </w:trPr>
        <w:tc>
          <w:tcPr>
            <w:tcW w:w="0" w:type="auto"/>
            <w:tcBorders>
              <w:left w:val="single" w:sz="8" w:space="0" w:color="000000"/>
              <w:right w:val="single" w:sz="8" w:space="0" w:color="000000"/>
            </w:tcBorders>
            <w:vAlign w:val="center"/>
          </w:tcPr>
          <w:p w14:paraId="514753B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Standalone 2000E EPS</w:t>
            </w:r>
          </w:p>
        </w:tc>
        <w:tc>
          <w:tcPr>
            <w:tcW w:w="0" w:type="auto"/>
            <w:tcBorders>
              <w:right w:val="single" w:sz="8" w:space="0" w:color="000000"/>
            </w:tcBorders>
            <w:vAlign w:val="center"/>
          </w:tcPr>
          <w:p w14:paraId="3862CD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$1.45</w:t>
            </w:r>
          </w:p>
        </w:tc>
      </w:tr>
      <w:tr w:rsidR="00521FEF" w:rsidRPr="00C406BB" w14:paraId="0E1D740E" w14:textId="77777777">
        <w:trPr>
          <w:cantSplit/>
          <w:tblCellSpacing w:w="0" w:type="dxa"/>
          <w:jc w:val="center"/>
        </w:trPr>
        <w:tc>
          <w:tcPr>
            <w:tcW w:w="0" w:type="auto"/>
            <w:tcBorders>
              <w:left w:val="single" w:sz="8" w:space="0" w:color="000000"/>
              <w:right w:val="single" w:sz="8" w:space="0" w:color="000000"/>
            </w:tcBorders>
            <w:vAlign w:val="center"/>
          </w:tcPr>
          <w:p w14:paraId="16324B0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Time Warner 2001E EPS</w:t>
            </w:r>
          </w:p>
        </w:tc>
        <w:tc>
          <w:tcPr>
            <w:tcW w:w="0" w:type="auto"/>
            <w:tcBorders>
              <w:right w:val="single" w:sz="8" w:space="0" w:color="000000"/>
            </w:tcBorders>
            <w:vAlign w:val="center"/>
          </w:tcPr>
          <w:p w14:paraId="22756E8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$1.91</w:t>
            </w:r>
          </w:p>
        </w:tc>
      </w:tr>
      <w:tr w:rsidR="00521FEF" w:rsidRPr="00C406BB" w14:paraId="367759D9" w14:textId="77777777">
        <w:trPr>
          <w:cantSplit/>
          <w:tblCellSpacing w:w="0" w:type="dxa"/>
          <w:jc w:val="center"/>
        </w:trPr>
        <w:tc>
          <w:tcPr>
            <w:tcW w:w="0" w:type="auto"/>
            <w:tcBorders>
              <w:left w:val="single" w:sz="8" w:space="0" w:color="000000"/>
              <w:right w:val="single" w:sz="8" w:space="0" w:color="000000"/>
            </w:tcBorders>
            <w:vAlign w:val="center"/>
          </w:tcPr>
          <w:p w14:paraId="1AF9F61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Change</w:t>
            </w:r>
          </w:p>
        </w:tc>
        <w:tc>
          <w:tcPr>
            <w:tcW w:w="0" w:type="auto"/>
            <w:tcBorders>
              <w:right w:val="single" w:sz="8" w:space="0" w:color="000000"/>
            </w:tcBorders>
            <w:vAlign w:val="center"/>
          </w:tcPr>
          <w:p w14:paraId="02634C6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+$0.46</w:t>
            </w:r>
          </w:p>
        </w:tc>
      </w:tr>
      <w:tr w:rsidR="00521FEF" w:rsidRPr="00C406BB" w14:paraId="664B39B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BE9D6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Percentage Change</w:t>
            </w:r>
          </w:p>
        </w:tc>
        <w:tc>
          <w:tcPr>
            <w:tcW w:w="0" w:type="auto"/>
            <w:tcBorders>
              <w:bottom w:val="single" w:sz="8" w:space="0" w:color="000000"/>
              <w:right w:val="single" w:sz="8" w:space="0" w:color="000000"/>
            </w:tcBorders>
            <w:vAlign w:val="center"/>
          </w:tcPr>
          <w:p w14:paraId="7AA9FC9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r>
    </w:tbl>
    <w:p w14:paraId="6EF10E3E" w14:textId="77777777" w:rsidR="00521FEF" w:rsidRPr="00C406BB" w:rsidRDefault="00521FEF" w:rsidP="00C406BB">
      <w:pPr>
        <w:jc w:val="both"/>
        <w:rPr>
          <w:rFonts w:ascii="Times New Roman" w:hAnsi="Times New Roman" w:cs="Times New Roman"/>
          <w:sz w:val="24"/>
          <w:szCs w:val="24"/>
        </w:rPr>
      </w:pPr>
    </w:p>
    <w:p w14:paraId="30BC63A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17: EPS Impact for AOL Shareholders</w:t>
      </w:r>
    </w:p>
    <w:p w14:paraId="4647AC3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However, this modest accretion assumed aggressive operational performance. Excluding goodwill amortization effects, operational EPS of $2.85 would represent 97% growth versus AOL's standalone $1.45 - likely driven more by Time Warner's earnings contribution than AOL's operational strength.</w:t>
      </w:r>
    </w:p>
    <w:p w14:paraId="46A5F2A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Accretion to Time Warner Shareholders:</w:t>
      </w:r>
    </w:p>
    <w:p w14:paraId="675AA72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Time Warner shareholders received substantial EPS accretion:</w:t>
      </w:r>
    </w:p>
    <w:tbl>
      <w:tblPr>
        <w:tblStyle w:val="NormalGrid"/>
        <w:tblW w:w="0" w:type="auto"/>
        <w:jc w:val="center"/>
        <w:tblCellSpacing w:w="0" w:type="dxa"/>
        <w:tblLook w:val="04A0" w:firstRow="1" w:lastRow="0" w:firstColumn="1" w:lastColumn="0" w:noHBand="0" w:noVBand="1"/>
      </w:tblPr>
      <w:tblGrid>
        <w:gridCol w:w="4160"/>
        <w:gridCol w:w="2231"/>
      </w:tblGrid>
      <w:tr w:rsidR="00521FEF" w:rsidRPr="00C406BB" w14:paraId="359AE06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CAEB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Metric</w:t>
            </w:r>
          </w:p>
        </w:tc>
        <w:tc>
          <w:tcPr>
            <w:tcW w:w="0" w:type="auto"/>
            <w:tcBorders>
              <w:top w:val="single" w:sz="8" w:space="0" w:color="000000"/>
              <w:bottom w:val="single" w:sz="8" w:space="0" w:color="000000"/>
              <w:right w:val="single" w:sz="8" w:space="0" w:color="000000"/>
            </w:tcBorders>
            <w:vAlign w:val="center"/>
          </w:tcPr>
          <w:p w14:paraId="52CA4A8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67822609" w14:textId="77777777">
        <w:trPr>
          <w:cantSplit/>
          <w:tblCellSpacing w:w="0" w:type="dxa"/>
          <w:jc w:val="center"/>
        </w:trPr>
        <w:tc>
          <w:tcPr>
            <w:tcW w:w="0" w:type="auto"/>
            <w:tcBorders>
              <w:left w:val="single" w:sz="8" w:space="0" w:color="000000"/>
              <w:right w:val="single" w:sz="8" w:space="0" w:color="000000"/>
            </w:tcBorders>
            <w:vAlign w:val="center"/>
          </w:tcPr>
          <w:p w14:paraId="11A0DAA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TW Standalone 2000E EPS</w:t>
            </w:r>
          </w:p>
        </w:tc>
        <w:tc>
          <w:tcPr>
            <w:tcW w:w="0" w:type="auto"/>
            <w:tcBorders>
              <w:right w:val="single" w:sz="8" w:space="0" w:color="000000"/>
            </w:tcBorders>
            <w:vAlign w:val="center"/>
          </w:tcPr>
          <w:p w14:paraId="62F18B8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$1.65</w:t>
            </w:r>
          </w:p>
        </w:tc>
      </w:tr>
      <w:tr w:rsidR="00521FEF" w:rsidRPr="00C406BB" w14:paraId="778565C1" w14:textId="77777777">
        <w:trPr>
          <w:cantSplit/>
          <w:tblCellSpacing w:w="0" w:type="dxa"/>
          <w:jc w:val="center"/>
        </w:trPr>
        <w:tc>
          <w:tcPr>
            <w:tcW w:w="0" w:type="auto"/>
            <w:tcBorders>
              <w:left w:val="single" w:sz="8" w:space="0" w:color="000000"/>
              <w:right w:val="single" w:sz="8" w:space="0" w:color="000000"/>
            </w:tcBorders>
            <w:vAlign w:val="center"/>
          </w:tcPr>
          <w:p w14:paraId="06FA145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Equivalent AOL TW EPS (1.5x shares)</w:t>
            </w:r>
          </w:p>
        </w:tc>
        <w:tc>
          <w:tcPr>
            <w:tcW w:w="0" w:type="auto"/>
            <w:tcBorders>
              <w:right w:val="single" w:sz="8" w:space="0" w:color="000000"/>
            </w:tcBorders>
            <w:vAlign w:val="center"/>
          </w:tcPr>
          <w:p w14:paraId="42EC1F9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$1.27</w:t>
            </w:r>
          </w:p>
        </w:tc>
      </w:tr>
      <w:tr w:rsidR="00521FEF" w:rsidRPr="00C406BB" w14:paraId="775396C0" w14:textId="77777777">
        <w:trPr>
          <w:cantSplit/>
          <w:tblCellSpacing w:w="0" w:type="dxa"/>
          <w:jc w:val="center"/>
        </w:trPr>
        <w:tc>
          <w:tcPr>
            <w:tcW w:w="0" w:type="auto"/>
            <w:tcBorders>
              <w:left w:val="single" w:sz="8" w:space="0" w:color="000000"/>
              <w:right w:val="single" w:sz="8" w:space="0" w:color="000000"/>
            </w:tcBorders>
            <w:vAlign w:val="center"/>
          </w:tcPr>
          <w:p w14:paraId="539DA54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Effective EPS per old TW share</w:t>
            </w:r>
          </w:p>
        </w:tc>
        <w:tc>
          <w:tcPr>
            <w:tcW w:w="0" w:type="auto"/>
            <w:tcBorders>
              <w:right w:val="single" w:sz="8" w:space="0" w:color="000000"/>
            </w:tcBorders>
            <w:vAlign w:val="center"/>
          </w:tcPr>
          <w:p w14:paraId="61D9B076" w14:textId="77777777" w:rsidR="00521FEF" w:rsidRPr="00C406BB" w:rsidRDefault="00000000" w:rsidP="00C406BB">
            <w:pPr>
              <w:jc w:val="both"/>
              <w:rPr>
                <w:rFonts w:ascii="Times New Roman" w:hAnsi="Times New Roman" w:cs="Times New Roman"/>
                <w:sz w:val="24"/>
                <w:szCs w:val="24"/>
              </w:rPr>
            </w:pPr>
            <w:r w:rsidRPr="00C406BB">
              <w:rPr>
                <w:rFonts w:ascii="Times New Roman" w:eastAsia="Georgia" w:hAnsi="Times New Roman" w:cs="Times New Roman"/>
                <w:sz w:val="24"/>
                <w:szCs w:val="24"/>
              </w:rPr>
              <w:t>$1.91 × 1.5 = $2.87</w:t>
            </w:r>
          </w:p>
        </w:tc>
      </w:tr>
      <w:tr w:rsidR="00521FEF" w:rsidRPr="00C406BB" w14:paraId="04D78052" w14:textId="77777777">
        <w:trPr>
          <w:cantSplit/>
          <w:tblCellSpacing w:w="0" w:type="dxa"/>
          <w:jc w:val="center"/>
        </w:trPr>
        <w:tc>
          <w:tcPr>
            <w:tcW w:w="0" w:type="auto"/>
            <w:tcBorders>
              <w:left w:val="single" w:sz="8" w:space="0" w:color="000000"/>
              <w:right w:val="single" w:sz="8" w:space="0" w:color="000000"/>
            </w:tcBorders>
            <w:vAlign w:val="center"/>
          </w:tcPr>
          <w:p w14:paraId="5CCB359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Change</w:t>
            </w:r>
          </w:p>
        </w:tc>
        <w:tc>
          <w:tcPr>
            <w:tcW w:w="0" w:type="auto"/>
            <w:tcBorders>
              <w:right w:val="single" w:sz="8" w:space="0" w:color="000000"/>
            </w:tcBorders>
            <w:vAlign w:val="center"/>
          </w:tcPr>
          <w:p w14:paraId="7AD2D23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+$1.22</w:t>
            </w:r>
          </w:p>
        </w:tc>
      </w:tr>
      <w:tr w:rsidR="00521FEF" w:rsidRPr="00C406BB" w14:paraId="6937B73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62725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Percentage Change</w:t>
            </w:r>
          </w:p>
        </w:tc>
        <w:tc>
          <w:tcPr>
            <w:tcW w:w="0" w:type="auto"/>
            <w:tcBorders>
              <w:bottom w:val="single" w:sz="8" w:space="0" w:color="000000"/>
              <w:right w:val="single" w:sz="8" w:space="0" w:color="000000"/>
            </w:tcBorders>
            <w:vAlign w:val="center"/>
          </w:tcPr>
          <w:p w14:paraId="0DC8BE4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+74%</w:t>
            </w:r>
          </w:p>
        </w:tc>
      </w:tr>
    </w:tbl>
    <w:p w14:paraId="197D1054" w14:textId="77777777" w:rsidR="00521FEF" w:rsidRPr="00C406BB" w:rsidRDefault="00521FEF" w:rsidP="00C406BB">
      <w:pPr>
        <w:jc w:val="both"/>
        <w:rPr>
          <w:rFonts w:ascii="Times New Roman" w:hAnsi="Times New Roman" w:cs="Times New Roman"/>
          <w:sz w:val="24"/>
          <w:szCs w:val="24"/>
        </w:rPr>
      </w:pPr>
    </w:p>
    <w:p w14:paraId="6DE81B5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18: EPS Impact for Time Warner Shareholders</w:t>
      </w:r>
    </w:p>
    <w:p w14:paraId="7C6DB49D" w14:textId="4628B7AA"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This dramatic accretion to Time Warner shareholders reflected the premium valuation of AOL stock exchanged for Time Warner assets.</w:t>
      </w:r>
    </w:p>
    <w:p w14:paraId="6C2301A4" w14:textId="77777777" w:rsidR="00C406BB" w:rsidRDefault="00C406BB">
      <w:pPr>
        <w:rPr>
          <w:rFonts w:ascii="Times New Roman" w:hAnsi="Times New Roman" w:cs="Times New Roman"/>
          <w:b/>
          <w:sz w:val="24"/>
          <w:szCs w:val="24"/>
        </w:rPr>
      </w:pPr>
      <w:bookmarkStart w:id="53" w:name="bm_5_3_eps_growth_projections_vs_e87b3f"/>
      <w:r>
        <w:rPr>
          <w:rFonts w:ascii="Times New Roman" w:hAnsi="Times New Roman" w:cs="Times New Roman"/>
          <w:b/>
          <w:sz w:val="24"/>
          <w:szCs w:val="24"/>
        </w:rPr>
        <w:br w:type="page"/>
      </w:r>
    </w:p>
    <w:p w14:paraId="17B6ED57" w14:textId="1B8F8661" w:rsidR="00521FEF" w:rsidRPr="00C406BB" w:rsidRDefault="00000000" w:rsidP="00C406BB">
      <w:pPr>
        <w:pStyle w:val="Heading2"/>
      </w:pPr>
      <w:bookmarkStart w:id="54" w:name="_Toc221361494"/>
      <w:r w:rsidRPr="00C406BB">
        <w:lastRenderedPageBreak/>
        <w:t>5.3 EPS Growth Projections vs. Market Expectations</w:t>
      </w:r>
      <w:bookmarkEnd w:id="53"/>
      <w:bookmarkEnd w:id="54"/>
    </w:p>
    <w:p w14:paraId="5FBBD14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Management Projections:</w:t>
      </w:r>
    </w:p>
    <w:p w14:paraId="4358BD9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AOL Time Warner management projected sustained EPS growth of 20-25% annually driven by:</w:t>
      </w:r>
    </w:p>
    <w:p w14:paraId="3E6DAB5C" w14:textId="77777777" w:rsidR="00521FEF" w:rsidRPr="00C406BB" w:rsidRDefault="00000000" w:rsidP="00C406BB">
      <w:pPr>
        <w:numPr>
          <w:ilvl w:val="0"/>
          <w:numId w:val="18"/>
        </w:numPr>
        <w:jc w:val="both"/>
        <w:rPr>
          <w:rFonts w:ascii="Times New Roman" w:hAnsi="Times New Roman" w:cs="Times New Roman"/>
          <w:sz w:val="24"/>
          <w:szCs w:val="24"/>
        </w:rPr>
      </w:pPr>
      <w:r w:rsidRPr="00C406BB">
        <w:rPr>
          <w:rFonts w:ascii="Times New Roman" w:hAnsi="Times New Roman" w:cs="Times New Roman"/>
          <w:sz w:val="24"/>
          <w:szCs w:val="24"/>
        </w:rPr>
        <w:t>Revenue growth of 12-15% annually</w:t>
      </w:r>
    </w:p>
    <w:p w14:paraId="1053C509" w14:textId="77777777" w:rsidR="00521FEF" w:rsidRPr="00C406BB" w:rsidRDefault="00000000" w:rsidP="00C406BB">
      <w:pPr>
        <w:numPr>
          <w:ilvl w:val="0"/>
          <w:numId w:val="18"/>
        </w:numPr>
        <w:jc w:val="both"/>
        <w:rPr>
          <w:rFonts w:ascii="Times New Roman" w:hAnsi="Times New Roman" w:cs="Times New Roman"/>
          <w:sz w:val="24"/>
          <w:szCs w:val="24"/>
        </w:rPr>
      </w:pPr>
      <w:r w:rsidRPr="00C406BB">
        <w:rPr>
          <w:rFonts w:ascii="Times New Roman" w:hAnsi="Times New Roman" w:cs="Times New Roman"/>
          <w:sz w:val="24"/>
          <w:szCs w:val="24"/>
        </w:rPr>
        <w:t>EBITDA margin expansion from operating leverage</w:t>
      </w:r>
    </w:p>
    <w:p w14:paraId="78BAB139" w14:textId="77777777" w:rsidR="00521FEF" w:rsidRPr="00C406BB" w:rsidRDefault="00000000" w:rsidP="00C406BB">
      <w:pPr>
        <w:numPr>
          <w:ilvl w:val="0"/>
          <w:numId w:val="18"/>
        </w:numPr>
        <w:jc w:val="both"/>
        <w:rPr>
          <w:rFonts w:ascii="Times New Roman" w:hAnsi="Times New Roman" w:cs="Times New Roman"/>
          <w:sz w:val="24"/>
          <w:szCs w:val="24"/>
        </w:rPr>
      </w:pPr>
      <w:r w:rsidRPr="00C406BB">
        <w:rPr>
          <w:rFonts w:ascii="Times New Roman" w:hAnsi="Times New Roman" w:cs="Times New Roman"/>
          <w:sz w:val="24"/>
          <w:szCs w:val="24"/>
        </w:rPr>
        <w:t>Synergy realization of $1-1.5 billion by year three</w:t>
      </w:r>
    </w:p>
    <w:p w14:paraId="2D2DD86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Analyst Consensus Estimates (Early 2000):</w:t>
      </w:r>
    </w:p>
    <w:p w14:paraId="52D4F66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Wall Street analysts modeled more conservative growth:</w:t>
      </w:r>
    </w:p>
    <w:tbl>
      <w:tblPr>
        <w:tblStyle w:val="NormalGrid"/>
        <w:tblW w:w="0" w:type="auto"/>
        <w:jc w:val="center"/>
        <w:tblCellSpacing w:w="0" w:type="dxa"/>
        <w:tblLook w:val="04A0" w:firstRow="1" w:lastRow="0" w:firstColumn="1" w:lastColumn="0" w:noHBand="0" w:noVBand="1"/>
      </w:tblPr>
      <w:tblGrid>
        <w:gridCol w:w="1027"/>
        <w:gridCol w:w="1280"/>
        <w:gridCol w:w="1334"/>
        <w:gridCol w:w="1320"/>
      </w:tblGrid>
      <w:tr w:rsidR="00521FEF" w:rsidRPr="00C406BB" w14:paraId="0A58BA8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EFDFD0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00E1AC9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Bull Case</w:t>
            </w:r>
          </w:p>
        </w:tc>
        <w:tc>
          <w:tcPr>
            <w:tcW w:w="0" w:type="auto"/>
            <w:tcBorders>
              <w:top w:val="single" w:sz="8" w:space="0" w:color="000000"/>
              <w:bottom w:val="single" w:sz="8" w:space="0" w:color="000000"/>
              <w:right w:val="single" w:sz="8" w:space="0" w:color="000000"/>
            </w:tcBorders>
            <w:vAlign w:val="center"/>
          </w:tcPr>
          <w:p w14:paraId="6CA6368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Base Case</w:t>
            </w:r>
          </w:p>
        </w:tc>
        <w:tc>
          <w:tcPr>
            <w:tcW w:w="0" w:type="auto"/>
            <w:tcBorders>
              <w:top w:val="single" w:sz="8" w:space="0" w:color="000000"/>
              <w:bottom w:val="single" w:sz="8" w:space="0" w:color="000000"/>
              <w:right w:val="single" w:sz="8" w:space="0" w:color="000000"/>
            </w:tcBorders>
            <w:vAlign w:val="center"/>
          </w:tcPr>
          <w:p w14:paraId="3F85C80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Bear Case</w:t>
            </w:r>
          </w:p>
        </w:tc>
      </w:tr>
      <w:tr w:rsidR="00521FEF" w:rsidRPr="00C406BB" w14:paraId="55D1B8EF" w14:textId="77777777">
        <w:trPr>
          <w:cantSplit/>
          <w:tblCellSpacing w:w="0" w:type="dxa"/>
          <w:jc w:val="center"/>
        </w:trPr>
        <w:tc>
          <w:tcPr>
            <w:tcW w:w="0" w:type="auto"/>
            <w:tcBorders>
              <w:left w:val="single" w:sz="8" w:space="0" w:color="000000"/>
              <w:right w:val="single" w:sz="8" w:space="0" w:color="000000"/>
            </w:tcBorders>
            <w:vAlign w:val="center"/>
          </w:tcPr>
          <w:p w14:paraId="08F9513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2001</w:t>
            </w:r>
          </w:p>
        </w:tc>
        <w:tc>
          <w:tcPr>
            <w:tcW w:w="0" w:type="auto"/>
            <w:tcBorders>
              <w:right w:val="single" w:sz="8" w:space="0" w:color="000000"/>
            </w:tcBorders>
            <w:vAlign w:val="center"/>
          </w:tcPr>
          <w:p w14:paraId="5FACB7D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$2.10</w:t>
            </w:r>
          </w:p>
        </w:tc>
        <w:tc>
          <w:tcPr>
            <w:tcW w:w="0" w:type="auto"/>
            <w:tcBorders>
              <w:right w:val="single" w:sz="8" w:space="0" w:color="000000"/>
            </w:tcBorders>
            <w:vAlign w:val="center"/>
          </w:tcPr>
          <w:p w14:paraId="00149FC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$1.85</w:t>
            </w:r>
          </w:p>
        </w:tc>
        <w:tc>
          <w:tcPr>
            <w:tcW w:w="0" w:type="auto"/>
            <w:tcBorders>
              <w:right w:val="single" w:sz="8" w:space="0" w:color="000000"/>
            </w:tcBorders>
            <w:vAlign w:val="center"/>
          </w:tcPr>
          <w:p w14:paraId="32432AE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$1.50</w:t>
            </w:r>
          </w:p>
        </w:tc>
      </w:tr>
      <w:tr w:rsidR="00521FEF" w:rsidRPr="00C406BB" w14:paraId="72BFA2CA" w14:textId="77777777">
        <w:trPr>
          <w:cantSplit/>
          <w:tblCellSpacing w:w="0" w:type="dxa"/>
          <w:jc w:val="center"/>
        </w:trPr>
        <w:tc>
          <w:tcPr>
            <w:tcW w:w="0" w:type="auto"/>
            <w:tcBorders>
              <w:left w:val="single" w:sz="8" w:space="0" w:color="000000"/>
              <w:right w:val="single" w:sz="8" w:space="0" w:color="000000"/>
            </w:tcBorders>
            <w:vAlign w:val="center"/>
          </w:tcPr>
          <w:p w14:paraId="69B0883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2002</w:t>
            </w:r>
          </w:p>
        </w:tc>
        <w:tc>
          <w:tcPr>
            <w:tcW w:w="0" w:type="auto"/>
            <w:tcBorders>
              <w:right w:val="single" w:sz="8" w:space="0" w:color="000000"/>
            </w:tcBorders>
            <w:vAlign w:val="center"/>
          </w:tcPr>
          <w:p w14:paraId="34663BD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$2.73</w:t>
            </w:r>
          </w:p>
        </w:tc>
        <w:tc>
          <w:tcPr>
            <w:tcW w:w="0" w:type="auto"/>
            <w:tcBorders>
              <w:right w:val="single" w:sz="8" w:space="0" w:color="000000"/>
            </w:tcBorders>
            <w:vAlign w:val="center"/>
          </w:tcPr>
          <w:p w14:paraId="5113424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$2.35</w:t>
            </w:r>
          </w:p>
        </w:tc>
        <w:tc>
          <w:tcPr>
            <w:tcW w:w="0" w:type="auto"/>
            <w:tcBorders>
              <w:right w:val="single" w:sz="8" w:space="0" w:color="000000"/>
            </w:tcBorders>
            <w:vAlign w:val="center"/>
          </w:tcPr>
          <w:p w14:paraId="6AE1C7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$1.88</w:t>
            </w:r>
          </w:p>
        </w:tc>
      </w:tr>
      <w:tr w:rsidR="00521FEF" w:rsidRPr="00C406BB" w14:paraId="7527546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D51B8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2003</w:t>
            </w:r>
          </w:p>
        </w:tc>
        <w:tc>
          <w:tcPr>
            <w:tcW w:w="0" w:type="auto"/>
            <w:tcBorders>
              <w:bottom w:val="single" w:sz="8" w:space="0" w:color="000000"/>
              <w:right w:val="single" w:sz="8" w:space="0" w:color="000000"/>
            </w:tcBorders>
            <w:vAlign w:val="center"/>
          </w:tcPr>
          <w:p w14:paraId="568E563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$3.55</w:t>
            </w:r>
          </w:p>
        </w:tc>
        <w:tc>
          <w:tcPr>
            <w:tcW w:w="0" w:type="auto"/>
            <w:tcBorders>
              <w:bottom w:val="single" w:sz="8" w:space="0" w:color="000000"/>
              <w:right w:val="single" w:sz="8" w:space="0" w:color="000000"/>
            </w:tcBorders>
            <w:vAlign w:val="center"/>
          </w:tcPr>
          <w:p w14:paraId="2D8EA16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$2.96</w:t>
            </w:r>
          </w:p>
        </w:tc>
        <w:tc>
          <w:tcPr>
            <w:tcW w:w="0" w:type="auto"/>
            <w:tcBorders>
              <w:bottom w:val="single" w:sz="8" w:space="0" w:color="000000"/>
              <w:right w:val="single" w:sz="8" w:space="0" w:color="000000"/>
            </w:tcBorders>
            <w:vAlign w:val="center"/>
          </w:tcPr>
          <w:p w14:paraId="53D388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$2.34</w:t>
            </w:r>
          </w:p>
        </w:tc>
      </w:tr>
      <w:tr w:rsidR="00521FEF" w:rsidRPr="00C406BB" w14:paraId="6BE7216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DF154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CAGR</w:t>
            </w:r>
          </w:p>
        </w:tc>
        <w:tc>
          <w:tcPr>
            <w:tcW w:w="0" w:type="auto"/>
            <w:tcBorders>
              <w:bottom w:val="single" w:sz="8" w:space="0" w:color="000000"/>
              <w:right w:val="single" w:sz="8" w:space="0" w:color="000000"/>
            </w:tcBorders>
            <w:vAlign w:val="center"/>
          </w:tcPr>
          <w:p w14:paraId="0940B88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30%</w:t>
            </w:r>
          </w:p>
        </w:tc>
        <w:tc>
          <w:tcPr>
            <w:tcW w:w="0" w:type="auto"/>
            <w:tcBorders>
              <w:bottom w:val="single" w:sz="8" w:space="0" w:color="000000"/>
              <w:right w:val="single" w:sz="8" w:space="0" w:color="000000"/>
            </w:tcBorders>
            <w:vAlign w:val="center"/>
          </w:tcPr>
          <w:p w14:paraId="12F434E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26%</w:t>
            </w:r>
          </w:p>
        </w:tc>
        <w:tc>
          <w:tcPr>
            <w:tcW w:w="0" w:type="auto"/>
            <w:tcBorders>
              <w:bottom w:val="single" w:sz="8" w:space="0" w:color="000000"/>
              <w:right w:val="single" w:sz="8" w:space="0" w:color="000000"/>
            </w:tcBorders>
            <w:vAlign w:val="center"/>
          </w:tcPr>
          <w:p w14:paraId="3D9DDA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25%</w:t>
            </w:r>
          </w:p>
        </w:tc>
      </w:tr>
    </w:tbl>
    <w:p w14:paraId="1CF8FD21" w14:textId="77777777" w:rsidR="00521FEF" w:rsidRPr="00C406BB" w:rsidRDefault="00521FEF" w:rsidP="00C406BB">
      <w:pPr>
        <w:jc w:val="both"/>
        <w:rPr>
          <w:rFonts w:ascii="Times New Roman" w:hAnsi="Times New Roman" w:cs="Times New Roman"/>
          <w:sz w:val="24"/>
          <w:szCs w:val="24"/>
        </w:rPr>
      </w:pPr>
    </w:p>
    <w:p w14:paraId="1713A1F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19: Analyst EPS Estimates Post-Merger</w:t>
      </w:r>
    </w:p>
    <w:p w14:paraId="67389B47" w14:textId="156A813F"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These estimates generally excluded goodwill amortization charges, focusing on "operating EPS" or "earnings before amortization" - a common practice for evaluating purchase accounting </w:t>
      </w:r>
      <w:r w:rsidR="00C406BB" w:rsidRPr="00C406BB">
        <w:rPr>
          <w:rFonts w:ascii="Times New Roman" w:hAnsi="Times New Roman" w:cs="Times New Roman"/>
          <w:sz w:val="24"/>
          <w:szCs w:val="24"/>
        </w:rPr>
        <w:t>transactions.</w:t>
      </w:r>
    </w:p>
    <w:p w14:paraId="6C2F0065" w14:textId="77777777" w:rsidR="00C406BB" w:rsidRDefault="00C406BB" w:rsidP="00C406BB">
      <w:pPr>
        <w:spacing w:before="240" w:line="271" w:lineRule="auto"/>
        <w:jc w:val="both"/>
        <w:rPr>
          <w:rFonts w:ascii="Times New Roman" w:hAnsi="Times New Roman" w:cs="Times New Roman"/>
          <w:b/>
          <w:sz w:val="24"/>
          <w:szCs w:val="24"/>
        </w:rPr>
      </w:pPr>
      <w:bookmarkStart w:id="55" w:name="bm_5_4_quality_of_earnings_consid_100b38"/>
    </w:p>
    <w:p w14:paraId="01A9CEE2" w14:textId="31ED003D" w:rsidR="00521FEF" w:rsidRPr="00C406BB" w:rsidRDefault="00000000" w:rsidP="00C406BB">
      <w:pPr>
        <w:pStyle w:val="Heading2"/>
      </w:pPr>
      <w:bookmarkStart w:id="56" w:name="_Toc221361495"/>
      <w:r w:rsidRPr="00C406BB">
        <w:t>5.4 Quality of Earnings Considerations</w:t>
      </w:r>
      <w:bookmarkEnd w:id="55"/>
      <w:bookmarkEnd w:id="56"/>
    </w:p>
    <w:p w14:paraId="6A7270A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massive goodwill amortization raised significant earnings quality concerns:</w:t>
      </w:r>
    </w:p>
    <w:p w14:paraId="46BF5AC1" w14:textId="77777777" w:rsidR="00C406BB" w:rsidRDefault="00000000" w:rsidP="00C406BB">
      <w:pPr>
        <w:spacing w:after="210"/>
        <w:jc w:val="both"/>
        <w:rPr>
          <w:rFonts w:ascii="Times New Roman" w:hAnsi="Times New Roman" w:cs="Times New Roman"/>
          <w:b/>
          <w:sz w:val="24"/>
          <w:szCs w:val="24"/>
        </w:rPr>
      </w:pPr>
      <w:r w:rsidRPr="00C406BB">
        <w:rPr>
          <w:rFonts w:ascii="Times New Roman" w:hAnsi="Times New Roman" w:cs="Times New Roman"/>
          <w:b/>
          <w:sz w:val="24"/>
          <w:szCs w:val="24"/>
        </w:rPr>
        <w:t>Non-Cash Nature:</w:t>
      </w:r>
    </w:p>
    <w:p w14:paraId="43583ACA" w14:textId="38632B5A"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While goodwill amortization reduced reported GAAP earnings by $4.2 billion annually, it generated no cash impact. This created a disconnect between reported profitability and cash generation capabilities.</w:t>
      </w:r>
    </w:p>
    <w:p w14:paraId="2AD43C5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Permanence:</w:t>
      </w:r>
      <w:r w:rsidRPr="00C406BB">
        <w:rPr>
          <w:rFonts w:ascii="Times New Roman" w:hAnsi="Times New Roman" w:cs="Times New Roman"/>
          <w:sz w:val="24"/>
          <w:szCs w:val="24"/>
        </w:rPr>
        <w:br/>
        <w:t>Unlike temporary integration charges, goodwill amortization would persist for 30 years, creating a permanent drag on reported earnings relative to cash earnings.</w:t>
      </w:r>
    </w:p>
    <w:p w14:paraId="430D3760" w14:textId="77777777" w:rsidR="00C406BB" w:rsidRDefault="00C406BB" w:rsidP="00C406BB">
      <w:pPr>
        <w:spacing w:after="210"/>
        <w:jc w:val="both"/>
        <w:rPr>
          <w:rFonts w:ascii="Times New Roman" w:hAnsi="Times New Roman" w:cs="Times New Roman"/>
          <w:b/>
          <w:sz w:val="24"/>
          <w:szCs w:val="24"/>
        </w:rPr>
      </w:pPr>
    </w:p>
    <w:p w14:paraId="6EFE9881" w14:textId="77777777" w:rsidR="00C406BB" w:rsidRDefault="00C406BB" w:rsidP="00C406BB">
      <w:pPr>
        <w:spacing w:after="210"/>
        <w:jc w:val="both"/>
        <w:rPr>
          <w:rFonts w:ascii="Times New Roman" w:hAnsi="Times New Roman" w:cs="Times New Roman"/>
          <w:b/>
          <w:sz w:val="24"/>
          <w:szCs w:val="24"/>
        </w:rPr>
      </w:pPr>
    </w:p>
    <w:p w14:paraId="47F329E9" w14:textId="77777777" w:rsidR="00C406BB" w:rsidRDefault="00C406BB" w:rsidP="00C406BB">
      <w:pPr>
        <w:spacing w:after="210"/>
        <w:jc w:val="both"/>
        <w:rPr>
          <w:rFonts w:ascii="Times New Roman" w:hAnsi="Times New Roman" w:cs="Times New Roman"/>
          <w:b/>
          <w:sz w:val="24"/>
          <w:szCs w:val="24"/>
        </w:rPr>
      </w:pPr>
    </w:p>
    <w:p w14:paraId="45F28D53" w14:textId="2BAA8669" w:rsidR="00C406BB" w:rsidRDefault="00000000" w:rsidP="00C406BB">
      <w:pPr>
        <w:spacing w:after="210"/>
        <w:jc w:val="both"/>
        <w:rPr>
          <w:rFonts w:ascii="Times New Roman" w:hAnsi="Times New Roman" w:cs="Times New Roman"/>
          <w:b/>
          <w:sz w:val="24"/>
          <w:szCs w:val="24"/>
        </w:rPr>
      </w:pPr>
      <w:r w:rsidRPr="00C406BB">
        <w:rPr>
          <w:rFonts w:ascii="Times New Roman" w:hAnsi="Times New Roman" w:cs="Times New Roman"/>
          <w:b/>
          <w:sz w:val="24"/>
          <w:szCs w:val="24"/>
        </w:rPr>
        <w:lastRenderedPageBreak/>
        <w:t>Tax Treatment:</w:t>
      </w:r>
    </w:p>
    <w:p w14:paraId="2B1A963E" w14:textId="05248518" w:rsidR="00521FEF" w:rsidRPr="00C406BB" w:rsidRDefault="00000000" w:rsidP="00C406BB">
      <w:pPr>
        <w:spacing w:after="210"/>
        <w:jc w:val="both"/>
        <w:rPr>
          <w:rFonts w:ascii="Times New Roman" w:hAnsi="Times New Roman" w:cs="Times New Roman"/>
          <w:b/>
          <w:sz w:val="24"/>
          <w:szCs w:val="24"/>
        </w:rPr>
      </w:pPr>
      <w:r w:rsidRPr="00C406BB">
        <w:rPr>
          <w:rFonts w:ascii="Times New Roman" w:hAnsi="Times New Roman" w:cs="Times New Roman"/>
          <w:sz w:val="24"/>
          <w:szCs w:val="24"/>
        </w:rPr>
        <w:t>Goodwill amortization arising from stock transactions was generally non-deductible for tax purposes, providing no tax benefit to offset the earnings charge. This further widened the gap between book income and taxable income.</w:t>
      </w:r>
    </w:p>
    <w:p w14:paraId="2A5207C9" w14:textId="77777777" w:rsidR="00C406BB" w:rsidRDefault="00000000" w:rsidP="00C406BB">
      <w:pPr>
        <w:spacing w:after="210"/>
        <w:jc w:val="both"/>
        <w:rPr>
          <w:rFonts w:ascii="Times New Roman" w:hAnsi="Times New Roman" w:cs="Times New Roman"/>
          <w:b/>
          <w:sz w:val="24"/>
          <w:szCs w:val="24"/>
        </w:rPr>
      </w:pPr>
      <w:r w:rsidRPr="00C406BB">
        <w:rPr>
          <w:rFonts w:ascii="Times New Roman" w:hAnsi="Times New Roman" w:cs="Times New Roman"/>
          <w:b/>
          <w:sz w:val="24"/>
          <w:szCs w:val="24"/>
        </w:rPr>
        <w:t>Pro Forma Adjustments:</w:t>
      </w:r>
    </w:p>
    <w:p w14:paraId="36027F72" w14:textId="239073D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Management's emphasis on "EBITDA" (earnings before interest, taxes, depreciation, and amortization) effectively excluded the goodwill charge, potentially misleading investors about true economic profitability under GAAP.</w:t>
      </w:r>
    </w:p>
    <w:p w14:paraId="18E017BA" w14:textId="77B8C443" w:rsidR="00521FEF" w:rsidRPr="00C406BB" w:rsidRDefault="00521FEF" w:rsidP="00C406BB">
      <w:pPr>
        <w:jc w:val="both"/>
        <w:rPr>
          <w:rFonts w:ascii="Times New Roman" w:hAnsi="Times New Roman" w:cs="Times New Roman"/>
          <w:sz w:val="24"/>
          <w:szCs w:val="24"/>
        </w:rPr>
      </w:pPr>
    </w:p>
    <w:p w14:paraId="67FAEFD8" w14:textId="77777777" w:rsidR="00521FEF" w:rsidRPr="00C406BB" w:rsidRDefault="00000000" w:rsidP="00C406BB">
      <w:pPr>
        <w:pStyle w:val="Heading1"/>
      </w:pPr>
      <w:bookmarkStart w:id="57" w:name="bm_6_comprehensive_financial_rati_8d5c0e"/>
      <w:bookmarkStart w:id="58" w:name="_Toc221361496"/>
      <w:r w:rsidRPr="00C406BB">
        <w:t>6. Comprehensive Financial Ratio Analysis</w:t>
      </w:r>
      <w:bookmarkEnd w:id="57"/>
      <w:bookmarkEnd w:id="58"/>
    </w:p>
    <w:p w14:paraId="03479ECC" w14:textId="77777777" w:rsidR="00780271" w:rsidRDefault="00780271" w:rsidP="00C406BB">
      <w:pPr>
        <w:spacing w:before="240" w:line="271" w:lineRule="auto"/>
        <w:jc w:val="both"/>
        <w:rPr>
          <w:rFonts w:ascii="Times New Roman" w:hAnsi="Times New Roman" w:cs="Times New Roman"/>
          <w:b/>
          <w:sz w:val="24"/>
          <w:szCs w:val="24"/>
        </w:rPr>
      </w:pPr>
      <w:bookmarkStart w:id="59" w:name="bm_6_1_profitability_ratios"/>
    </w:p>
    <w:p w14:paraId="20D010EE" w14:textId="4216E478" w:rsidR="00521FEF" w:rsidRPr="00C406BB" w:rsidRDefault="00000000" w:rsidP="00780271">
      <w:pPr>
        <w:pStyle w:val="Heading2"/>
      </w:pPr>
      <w:bookmarkStart w:id="60" w:name="_Toc221361497"/>
      <w:r w:rsidRPr="00C406BB">
        <w:t>6.1 Profitability Ratios</w:t>
      </w:r>
      <w:bookmarkEnd w:id="59"/>
      <w:bookmarkEnd w:id="60"/>
    </w:p>
    <w:p w14:paraId="69263DA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Margin Analysis (Pro Forma 2000-2001):</w:t>
      </w:r>
    </w:p>
    <w:tbl>
      <w:tblPr>
        <w:tblStyle w:val="NormalGrid"/>
        <w:tblW w:w="0" w:type="auto"/>
        <w:jc w:val="center"/>
        <w:tblCellSpacing w:w="0" w:type="dxa"/>
        <w:tblLook w:val="04A0" w:firstRow="1" w:lastRow="0" w:firstColumn="1" w:lastColumn="0" w:noHBand="0" w:noVBand="1"/>
      </w:tblPr>
      <w:tblGrid>
        <w:gridCol w:w="2087"/>
        <w:gridCol w:w="1407"/>
        <w:gridCol w:w="1207"/>
        <w:gridCol w:w="1087"/>
      </w:tblGrid>
      <w:tr w:rsidR="00521FEF" w:rsidRPr="00C406BB" w14:paraId="3ABA13F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B18C6B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Ratio</w:t>
            </w:r>
          </w:p>
        </w:tc>
        <w:tc>
          <w:tcPr>
            <w:tcW w:w="0" w:type="auto"/>
            <w:tcBorders>
              <w:top w:val="single" w:sz="8" w:space="0" w:color="000000"/>
              <w:bottom w:val="single" w:sz="8" w:space="0" w:color="000000"/>
              <w:right w:val="single" w:sz="8" w:space="0" w:color="000000"/>
            </w:tcBorders>
            <w:vAlign w:val="center"/>
          </w:tcPr>
          <w:p w14:paraId="008BAB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Standalone</w:t>
            </w:r>
          </w:p>
        </w:tc>
        <w:tc>
          <w:tcPr>
            <w:tcW w:w="0" w:type="auto"/>
            <w:tcBorders>
              <w:top w:val="single" w:sz="8" w:space="0" w:color="000000"/>
              <w:bottom w:val="single" w:sz="8" w:space="0" w:color="000000"/>
              <w:right w:val="single" w:sz="8" w:space="0" w:color="000000"/>
            </w:tcBorders>
            <w:vAlign w:val="center"/>
          </w:tcPr>
          <w:p w14:paraId="09396BF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Purchase</w:t>
            </w:r>
          </w:p>
        </w:tc>
        <w:tc>
          <w:tcPr>
            <w:tcW w:w="0" w:type="auto"/>
            <w:tcBorders>
              <w:top w:val="single" w:sz="8" w:space="0" w:color="000000"/>
              <w:bottom w:val="single" w:sz="8" w:space="0" w:color="000000"/>
              <w:right w:val="single" w:sz="8" w:space="0" w:color="000000"/>
            </w:tcBorders>
            <w:vAlign w:val="center"/>
          </w:tcPr>
          <w:p w14:paraId="7AEEEA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Pooling</w:t>
            </w:r>
          </w:p>
        </w:tc>
      </w:tr>
      <w:tr w:rsidR="00521FEF" w:rsidRPr="00C406BB" w14:paraId="6A9654F0" w14:textId="77777777">
        <w:trPr>
          <w:cantSplit/>
          <w:tblCellSpacing w:w="0" w:type="dxa"/>
          <w:jc w:val="center"/>
        </w:trPr>
        <w:tc>
          <w:tcPr>
            <w:tcW w:w="0" w:type="auto"/>
            <w:tcBorders>
              <w:left w:val="single" w:sz="8" w:space="0" w:color="000000"/>
              <w:right w:val="single" w:sz="8" w:space="0" w:color="000000"/>
            </w:tcBorders>
            <w:vAlign w:val="center"/>
          </w:tcPr>
          <w:p w14:paraId="0F9BB17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Gross Margin</w:t>
            </w:r>
          </w:p>
        </w:tc>
        <w:tc>
          <w:tcPr>
            <w:tcW w:w="0" w:type="auto"/>
            <w:tcBorders>
              <w:right w:val="single" w:sz="8" w:space="0" w:color="000000"/>
            </w:tcBorders>
            <w:vAlign w:val="center"/>
          </w:tcPr>
          <w:p w14:paraId="62F2C19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45.8%</w:t>
            </w:r>
          </w:p>
        </w:tc>
        <w:tc>
          <w:tcPr>
            <w:tcW w:w="0" w:type="auto"/>
            <w:tcBorders>
              <w:right w:val="single" w:sz="8" w:space="0" w:color="000000"/>
            </w:tcBorders>
            <w:vAlign w:val="center"/>
          </w:tcPr>
          <w:p w14:paraId="15F9CE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40.6%</w:t>
            </w:r>
          </w:p>
        </w:tc>
        <w:tc>
          <w:tcPr>
            <w:tcW w:w="0" w:type="auto"/>
            <w:tcBorders>
              <w:right w:val="single" w:sz="8" w:space="0" w:color="000000"/>
            </w:tcBorders>
            <w:vAlign w:val="center"/>
          </w:tcPr>
          <w:p w14:paraId="2B86B9E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42.0%</w:t>
            </w:r>
          </w:p>
        </w:tc>
      </w:tr>
      <w:tr w:rsidR="00521FEF" w:rsidRPr="00C406BB" w14:paraId="6B6A0E41" w14:textId="77777777">
        <w:trPr>
          <w:cantSplit/>
          <w:tblCellSpacing w:w="0" w:type="dxa"/>
          <w:jc w:val="center"/>
        </w:trPr>
        <w:tc>
          <w:tcPr>
            <w:tcW w:w="0" w:type="auto"/>
            <w:tcBorders>
              <w:left w:val="single" w:sz="8" w:space="0" w:color="000000"/>
              <w:right w:val="single" w:sz="8" w:space="0" w:color="000000"/>
            </w:tcBorders>
            <w:vAlign w:val="center"/>
          </w:tcPr>
          <w:p w14:paraId="244577B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Operating Margin</w:t>
            </w:r>
          </w:p>
        </w:tc>
        <w:tc>
          <w:tcPr>
            <w:tcW w:w="0" w:type="auto"/>
            <w:tcBorders>
              <w:right w:val="single" w:sz="8" w:space="0" w:color="000000"/>
            </w:tcBorders>
            <w:vAlign w:val="center"/>
          </w:tcPr>
          <w:p w14:paraId="180EA35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10.2%</w:t>
            </w:r>
          </w:p>
        </w:tc>
        <w:tc>
          <w:tcPr>
            <w:tcW w:w="0" w:type="auto"/>
            <w:tcBorders>
              <w:right w:val="single" w:sz="8" w:space="0" w:color="000000"/>
            </w:tcBorders>
            <w:vAlign w:val="center"/>
          </w:tcPr>
          <w:p w14:paraId="049CFDC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(13.3%)</w:t>
            </w:r>
          </w:p>
        </w:tc>
        <w:tc>
          <w:tcPr>
            <w:tcW w:w="0" w:type="auto"/>
            <w:tcBorders>
              <w:right w:val="single" w:sz="8" w:space="0" w:color="000000"/>
            </w:tcBorders>
            <w:vAlign w:val="center"/>
          </w:tcPr>
          <w:p w14:paraId="15BF6A9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8.0%</w:t>
            </w:r>
          </w:p>
        </w:tc>
      </w:tr>
      <w:tr w:rsidR="00521FEF" w:rsidRPr="00C406BB" w14:paraId="67D52169" w14:textId="77777777">
        <w:trPr>
          <w:cantSplit/>
          <w:tblCellSpacing w:w="0" w:type="dxa"/>
          <w:jc w:val="center"/>
        </w:trPr>
        <w:tc>
          <w:tcPr>
            <w:tcW w:w="0" w:type="auto"/>
            <w:tcBorders>
              <w:left w:val="single" w:sz="8" w:space="0" w:color="000000"/>
              <w:right w:val="single" w:sz="8" w:space="0" w:color="000000"/>
            </w:tcBorders>
            <w:vAlign w:val="center"/>
          </w:tcPr>
          <w:p w14:paraId="5EB1D22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EBITDA Margin</w:t>
            </w:r>
          </w:p>
        </w:tc>
        <w:tc>
          <w:tcPr>
            <w:tcW w:w="0" w:type="auto"/>
            <w:tcBorders>
              <w:right w:val="single" w:sz="8" w:space="0" w:color="000000"/>
            </w:tcBorders>
            <w:vAlign w:val="center"/>
          </w:tcPr>
          <w:p w14:paraId="66D88D8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28.4%</w:t>
            </w:r>
          </w:p>
        </w:tc>
        <w:tc>
          <w:tcPr>
            <w:tcW w:w="0" w:type="auto"/>
            <w:tcBorders>
              <w:right w:val="single" w:sz="8" w:space="0" w:color="000000"/>
            </w:tcBorders>
            <w:vAlign w:val="center"/>
          </w:tcPr>
          <w:p w14:paraId="1CB9EF4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15.2%</w:t>
            </w:r>
          </w:p>
        </w:tc>
        <w:tc>
          <w:tcPr>
            <w:tcW w:w="0" w:type="auto"/>
            <w:tcBorders>
              <w:right w:val="single" w:sz="8" w:space="0" w:color="000000"/>
            </w:tcBorders>
            <w:vAlign w:val="center"/>
          </w:tcPr>
          <w:p w14:paraId="241C2C1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16.3%</w:t>
            </w:r>
          </w:p>
        </w:tc>
      </w:tr>
      <w:tr w:rsidR="00521FEF" w:rsidRPr="00C406BB" w14:paraId="03EB2D1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6FA0E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Profit Margin</w:t>
            </w:r>
          </w:p>
        </w:tc>
        <w:tc>
          <w:tcPr>
            <w:tcW w:w="0" w:type="auto"/>
            <w:tcBorders>
              <w:bottom w:val="single" w:sz="8" w:space="0" w:color="000000"/>
              <w:right w:val="single" w:sz="8" w:space="0" w:color="000000"/>
            </w:tcBorders>
            <w:vAlign w:val="center"/>
          </w:tcPr>
          <w:p w14:paraId="337D472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w:t>
            </w:r>
          </w:p>
        </w:tc>
        <w:tc>
          <w:tcPr>
            <w:tcW w:w="0" w:type="auto"/>
            <w:tcBorders>
              <w:bottom w:val="single" w:sz="8" w:space="0" w:color="000000"/>
              <w:right w:val="single" w:sz="8" w:space="0" w:color="000000"/>
            </w:tcBorders>
            <w:vAlign w:val="center"/>
          </w:tcPr>
          <w:p w14:paraId="681FF06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(13.2%)</w:t>
            </w:r>
          </w:p>
        </w:tc>
        <w:tc>
          <w:tcPr>
            <w:tcW w:w="0" w:type="auto"/>
            <w:tcBorders>
              <w:bottom w:val="single" w:sz="8" w:space="0" w:color="000000"/>
              <w:right w:val="single" w:sz="8" w:space="0" w:color="000000"/>
            </w:tcBorders>
            <w:vAlign w:val="center"/>
          </w:tcPr>
          <w:p w14:paraId="2C56403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r>
    </w:tbl>
    <w:p w14:paraId="702CB4E6" w14:textId="77777777" w:rsidR="00521FEF" w:rsidRPr="00C406BB" w:rsidRDefault="00521FEF" w:rsidP="00C406BB">
      <w:pPr>
        <w:jc w:val="both"/>
        <w:rPr>
          <w:rFonts w:ascii="Times New Roman" w:hAnsi="Times New Roman" w:cs="Times New Roman"/>
          <w:sz w:val="24"/>
          <w:szCs w:val="24"/>
        </w:rPr>
      </w:pPr>
    </w:p>
    <w:p w14:paraId="7E24BF9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20: Profitability Margins - Accounting Method Comparison</w:t>
      </w:r>
    </w:p>
    <w:p w14:paraId="62D6A3D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"Standalone" represents weighted average of AOL and Time Warner pre-merger margins.</w:t>
      </w:r>
    </w:p>
    <w:p w14:paraId="5F58AB4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Return Ratios:</w:t>
      </w:r>
    </w:p>
    <w:tbl>
      <w:tblPr>
        <w:tblStyle w:val="NormalGrid"/>
        <w:tblW w:w="0" w:type="auto"/>
        <w:jc w:val="center"/>
        <w:tblCellSpacing w:w="0" w:type="dxa"/>
        <w:tblLook w:val="04A0" w:firstRow="1" w:lastRow="0" w:firstColumn="1" w:lastColumn="0" w:noHBand="0" w:noVBand="1"/>
      </w:tblPr>
      <w:tblGrid>
        <w:gridCol w:w="3733"/>
        <w:gridCol w:w="1994"/>
      </w:tblGrid>
      <w:tr w:rsidR="00521FEF" w:rsidRPr="00C406BB" w14:paraId="0A74C25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7AE93E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Ratio</w:t>
            </w:r>
          </w:p>
        </w:tc>
        <w:tc>
          <w:tcPr>
            <w:tcW w:w="0" w:type="auto"/>
            <w:tcBorders>
              <w:top w:val="single" w:sz="8" w:space="0" w:color="000000"/>
              <w:bottom w:val="single" w:sz="8" w:space="0" w:color="000000"/>
              <w:right w:val="single" w:sz="8" w:space="0" w:color="000000"/>
            </w:tcBorders>
            <w:vAlign w:val="center"/>
          </w:tcPr>
          <w:p w14:paraId="2F6D2D6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Pro Forma Value</w:t>
            </w:r>
          </w:p>
        </w:tc>
      </w:tr>
      <w:tr w:rsidR="00521FEF" w:rsidRPr="00C406BB" w14:paraId="3EC99287" w14:textId="77777777">
        <w:trPr>
          <w:cantSplit/>
          <w:tblCellSpacing w:w="0" w:type="dxa"/>
          <w:jc w:val="center"/>
        </w:trPr>
        <w:tc>
          <w:tcPr>
            <w:tcW w:w="0" w:type="auto"/>
            <w:tcBorders>
              <w:left w:val="single" w:sz="8" w:space="0" w:color="000000"/>
              <w:right w:val="single" w:sz="8" w:space="0" w:color="000000"/>
            </w:tcBorders>
            <w:vAlign w:val="center"/>
          </w:tcPr>
          <w:p w14:paraId="3C50FE6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Return on Assets (ROA)</w:t>
            </w:r>
          </w:p>
        </w:tc>
        <w:tc>
          <w:tcPr>
            <w:tcW w:w="0" w:type="auto"/>
            <w:tcBorders>
              <w:right w:val="single" w:sz="8" w:space="0" w:color="000000"/>
            </w:tcBorders>
            <w:vAlign w:val="center"/>
          </w:tcPr>
          <w:p w14:paraId="0A3C1A4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(2.3%)</w:t>
            </w:r>
          </w:p>
        </w:tc>
      </w:tr>
      <w:tr w:rsidR="00521FEF" w:rsidRPr="00C406BB" w14:paraId="27E79295" w14:textId="77777777">
        <w:trPr>
          <w:cantSplit/>
          <w:tblCellSpacing w:w="0" w:type="dxa"/>
          <w:jc w:val="center"/>
        </w:trPr>
        <w:tc>
          <w:tcPr>
            <w:tcW w:w="0" w:type="auto"/>
            <w:tcBorders>
              <w:left w:val="single" w:sz="8" w:space="0" w:color="000000"/>
              <w:right w:val="single" w:sz="8" w:space="0" w:color="000000"/>
            </w:tcBorders>
            <w:vAlign w:val="center"/>
          </w:tcPr>
          <w:p w14:paraId="5607125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Return on Equity (ROE)</w:t>
            </w:r>
          </w:p>
        </w:tc>
        <w:tc>
          <w:tcPr>
            <w:tcW w:w="0" w:type="auto"/>
            <w:tcBorders>
              <w:right w:val="single" w:sz="8" w:space="0" w:color="000000"/>
            </w:tcBorders>
            <w:vAlign w:val="center"/>
          </w:tcPr>
          <w:p w14:paraId="68588B5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w:t>
            </w:r>
          </w:p>
        </w:tc>
      </w:tr>
      <w:tr w:rsidR="00521FEF" w:rsidRPr="00C406BB" w14:paraId="6187DED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EF142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Return on Invested Capital (ROIC)</w:t>
            </w:r>
          </w:p>
        </w:tc>
        <w:tc>
          <w:tcPr>
            <w:tcW w:w="0" w:type="auto"/>
            <w:tcBorders>
              <w:bottom w:val="single" w:sz="8" w:space="0" w:color="000000"/>
              <w:right w:val="single" w:sz="8" w:space="0" w:color="000000"/>
            </w:tcBorders>
            <w:vAlign w:val="center"/>
          </w:tcPr>
          <w:p w14:paraId="63E4F49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r>
    </w:tbl>
    <w:p w14:paraId="347D5286" w14:textId="77777777" w:rsidR="00521FEF" w:rsidRPr="00C406BB" w:rsidRDefault="00521FEF" w:rsidP="00C406BB">
      <w:pPr>
        <w:jc w:val="both"/>
        <w:rPr>
          <w:rFonts w:ascii="Times New Roman" w:hAnsi="Times New Roman" w:cs="Times New Roman"/>
          <w:sz w:val="24"/>
          <w:szCs w:val="24"/>
        </w:rPr>
      </w:pPr>
    </w:p>
    <w:p w14:paraId="46D3A5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21: Return Ratios - Purchase Accounting Basis</w:t>
      </w:r>
    </w:p>
    <w:p w14:paraId="0E16C2DF" w14:textId="77777777" w:rsidR="00780271" w:rsidRDefault="00780271">
      <w:pPr>
        <w:rPr>
          <w:rFonts w:ascii="Times New Roman" w:hAnsi="Times New Roman" w:cs="Times New Roman"/>
          <w:sz w:val="24"/>
          <w:szCs w:val="24"/>
        </w:rPr>
      </w:pPr>
      <w:r>
        <w:rPr>
          <w:rFonts w:ascii="Times New Roman" w:hAnsi="Times New Roman" w:cs="Times New Roman"/>
          <w:sz w:val="24"/>
          <w:szCs w:val="24"/>
        </w:rPr>
        <w:br w:type="page"/>
      </w:r>
    </w:p>
    <w:p w14:paraId="408BF852" w14:textId="52C2968F"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lastRenderedPageBreak/>
        <w:t>Calculations:</w:t>
      </w:r>
    </w:p>
    <w:p w14:paraId="54C235A2" w14:textId="77777777" w:rsidR="00521FEF" w:rsidRPr="00C406BB" w:rsidRDefault="00000000" w:rsidP="00C406BB">
      <w:pPr>
        <w:numPr>
          <w:ilvl w:val="0"/>
          <w:numId w:val="19"/>
        </w:numPr>
        <w:jc w:val="both"/>
        <w:rPr>
          <w:rFonts w:ascii="Times New Roman" w:hAnsi="Times New Roman" w:cs="Times New Roman"/>
          <w:sz w:val="24"/>
          <w:szCs w:val="24"/>
        </w:rPr>
      </w:pPr>
      <w:r w:rsidRPr="00C406BB">
        <w:rPr>
          <w:rFonts w:ascii="Times New Roman" w:eastAsia="Georgia" w:hAnsi="Times New Roman" w:cs="Times New Roman"/>
          <w:sz w:val="24"/>
          <w:szCs w:val="24"/>
        </w:rPr>
        <w:t>ROA = Net Income ÷ Total Assets = ($4.7B) ÷ $203.8B = (2.3%)</w:t>
      </w:r>
    </w:p>
    <w:p w14:paraId="39906B82" w14:textId="77777777" w:rsidR="00521FEF" w:rsidRPr="00C406BB" w:rsidRDefault="00000000" w:rsidP="00C406BB">
      <w:pPr>
        <w:numPr>
          <w:ilvl w:val="0"/>
          <w:numId w:val="19"/>
        </w:numPr>
        <w:jc w:val="both"/>
        <w:rPr>
          <w:rFonts w:ascii="Times New Roman" w:hAnsi="Times New Roman" w:cs="Times New Roman"/>
          <w:sz w:val="24"/>
          <w:szCs w:val="24"/>
        </w:rPr>
      </w:pPr>
      <w:r w:rsidRPr="00C406BB">
        <w:rPr>
          <w:rFonts w:ascii="Times New Roman" w:eastAsia="Georgia" w:hAnsi="Times New Roman" w:cs="Times New Roman"/>
          <w:sz w:val="24"/>
          <w:szCs w:val="24"/>
        </w:rPr>
        <w:t>ROE = Net Income ÷ Stockholders' Equity = ($4.7B) ÷ $134.6B = (3.5%)</w:t>
      </w:r>
    </w:p>
    <w:p w14:paraId="74792407" w14:textId="77777777" w:rsidR="00521FEF" w:rsidRPr="00C406BB" w:rsidRDefault="00000000" w:rsidP="00C406BB">
      <w:pPr>
        <w:numPr>
          <w:ilvl w:val="0"/>
          <w:numId w:val="19"/>
        </w:numPr>
        <w:jc w:val="both"/>
        <w:rPr>
          <w:rFonts w:ascii="Times New Roman" w:hAnsi="Times New Roman" w:cs="Times New Roman"/>
          <w:sz w:val="24"/>
          <w:szCs w:val="24"/>
        </w:rPr>
      </w:pPr>
      <w:r w:rsidRPr="00C406BB">
        <w:rPr>
          <w:rFonts w:ascii="Times New Roman" w:eastAsia="Georgia" w:hAnsi="Times New Roman" w:cs="Times New Roman"/>
          <w:sz w:val="24"/>
          <w:szCs w:val="24"/>
        </w:rPr>
        <w:t>ROIC calculated using NOPAT (excluding amortization) ÷ Invested Capital</w:t>
      </w:r>
    </w:p>
    <w:p w14:paraId="66681D85" w14:textId="74CF9CD6"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negative returns under purchase accounting created optics challenges despite positive operational cash flow generation.</w:t>
      </w:r>
    </w:p>
    <w:p w14:paraId="6CB7D8BD" w14:textId="77777777" w:rsidR="00780271" w:rsidRDefault="00780271" w:rsidP="00C406BB">
      <w:pPr>
        <w:spacing w:before="240" w:line="271" w:lineRule="auto"/>
        <w:jc w:val="both"/>
        <w:rPr>
          <w:rFonts w:ascii="Times New Roman" w:hAnsi="Times New Roman" w:cs="Times New Roman"/>
          <w:b/>
          <w:sz w:val="24"/>
          <w:szCs w:val="24"/>
        </w:rPr>
      </w:pPr>
      <w:bookmarkStart w:id="61" w:name="bm_6_2_leverage_ratios"/>
    </w:p>
    <w:p w14:paraId="4341769F" w14:textId="1A3E8D1A" w:rsidR="00521FEF" w:rsidRPr="00C406BB" w:rsidRDefault="00000000" w:rsidP="00780271">
      <w:pPr>
        <w:pStyle w:val="Heading2"/>
      </w:pPr>
      <w:bookmarkStart w:id="62" w:name="_Toc221361498"/>
      <w:r w:rsidRPr="00C406BB">
        <w:t>6.2 Leverage Ratios</w:t>
      </w:r>
      <w:bookmarkEnd w:id="61"/>
      <w:bookmarkEnd w:id="62"/>
    </w:p>
    <w:p w14:paraId="41707C8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Debt Analysis:</w:t>
      </w:r>
    </w:p>
    <w:tbl>
      <w:tblPr>
        <w:tblStyle w:val="NormalGrid"/>
        <w:tblW w:w="0" w:type="auto"/>
        <w:jc w:val="center"/>
        <w:tblCellSpacing w:w="0" w:type="dxa"/>
        <w:tblLook w:val="04A0" w:firstRow="1" w:lastRow="0" w:firstColumn="1" w:lastColumn="0" w:noHBand="0" w:noVBand="1"/>
      </w:tblPr>
      <w:tblGrid>
        <w:gridCol w:w="3159"/>
        <w:gridCol w:w="960"/>
      </w:tblGrid>
      <w:tr w:rsidR="00521FEF" w:rsidRPr="00C406BB" w14:paraId="3B734CD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3669E9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Ratio</w:t>
            </w:r>
          </w:p>
        </w:tc>
        <w:tc>
          <w:tcPr>
            <w:tcW w:w="0" w:type="auto"/>
            <w:tcBorders>
              <w:top w:val="single" w:sz="8" w:space="0" w:color="000000"/>
              <w:bottom w:val="single" w:sz="8" w:space="0" w:color="000000"/>
              <w:right w:val="single" w:sz="8" w:space="0" w:color="000000"/>
            </w:tcBorders>
            <w:vAlign w:val="center"/>
          </w:tcPr>
          <w:p w14:paraId="62DFB6C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1CF4EB3E" w14:textId="77777777">
        <w:trPr>
          <w:cantSplit/>
          <w:tblCellSpacing w:w="0" w:type="dxa"/>
          <w:jc w:val="center"/>
        </w:trPr>
        <w:tc>
          <w:tcPr>
            <w:tcW w:w="0" w:type="auto"/>
            <w:tcBorders>
              <w:left w:val="single" w:sz="8" w:space="0" w:color="000000"/>
              <w:right w:val="single" w:sz="8" w:space="0" w:color="000000"/>
            </w:tcBorders>
            <w:vAlign w:val="center"/>
          </w:tcPr>
          <w:p w14:paraId="515824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Debt/Equity</w:t>
            </w:r>
          </w:p>
        </w:tc>
        <w:tc>
          <w:tcPr>
            <w:tcW w:w="0" w:type="auto"/>
            <w:tcBorders>
              <w:right w:val="single" w:sz="8" w:space="0" w:color="000000"/>
            </w:tcBorders>
            <w:vAlign w:val="center"/>
          </w:tcPr>
          <w:p w14:paraId="3D73C26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20.2%</w:t>
            </w:r>
          </w:p>
        </w:tc>
      </w:tr>
      <w:tr w:rsidR="00521FEF" w:rsidRPr="00C406BB" w14:paraId="4A806350" w14:textId="77777777">
        <w:trPr>
          <w:cantSplit/>
          <w:tblCellSpacing w:w="0" w:type="dxa"/>
          <w:jc w:val="center"/>
        </w:trPr>
        <w:tc>
          <w:tcPr>
            <w:tcW w:w="0" w:type="auto"/>
            <w:tcBorders>
              <w:left w:val="single" w:sz="8" w:space="0" w:color="000000"/>
              <w:right w:val="single" w:sz="8" w:space="0" w:color="000000"/>
            </w:tcBorders>
            <w:vAlign w:val="center"/>
          </w:tcPr>
          <w:p w14:paraId="7AF1617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 Debt/Assets</w:t>
            </w:r>
          </w:p>
        </w:tc>
        <w:tc>
          <w:tcPr>
            <w:tcW w:w="0" w:type="auto"/>
            <w:tcBorders>
              <w:right w:val="single" w:sz="8" w:space="0" w:color="000000"/>
            </w:tcBorders>
            <w:vAlign w:val="center"/>
          </w:tcPr>
          <w:p w14:paraId="193612E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13.3%</w:t>
            </w:r>
          </w:p>
        </w:tc>
      </w:tr>
      <w:tr w:rsidR="00521FEF" w:rsidRPr="00C406BB" w14:paraId="1D12BC65" w14:textId="77777777">
        <w:trPr>
          <w:cantSplit/>
          <w:tblCellSpacing w:w="0" w:type="dxa"/>
          <w:jc w:val="center"/>
        </w:trPr>
        <w:tc>
          <w:tcPr>
            <w:tcW w:w="0" w:type="auto"/>
            <w:tcBorders>
              <w:left w:val="single" w:sz="8" w:space="0" w:color="000000"/>
              <w:right w:val="single" w:sz="8" w:space="0" w:color="000000"/>
            </w:tcBorders>
            <w:vAlign w:val="center"/>
          </w:tcPr>
          <w:p w14:paraId="3A6ED8C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 Debt/EBITDA</w:t>
            </w:r>
          </w:p>
        </w:tc>
        <w:tc>
          <w:tcPr>
            <w:tcW w:w="0" w:type="auto"/>
            <w:tcBorders>
              <w:right w:val="single" w:sz="8" w:space="0" w:color="000000"/>
            </w:tcBorders>
            <w:vAlign w:val="center"/>
          </w:tcPr>
          <w:p w14:paraId="497EB5D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2.0x</w:t>
            </w:r>
          </w:p>
        </w:tc>
      </w:tr>
      <w:tr w:rsidR="00521FEF" w:rsidRPr="00C406BB" w14:paraId="71141D4B" w14:textId="77777777">
        <w:trPr>
          <w:cantSplit/>
          <w:tblCellSpacing w:w="0" w:type="dxa"/>
          <w:jc w:val="center"/>
        </w:trPr>
        <w:tc>
          <w:tcPr>
            <w:tcW w:w="0" w:type="auto"/>
            <w:tcBorders>
              <w:left w:val="single" w:sz="8" w:space="0" w:color="000000"/>
              <w:right w:val="single" w:sz="8" w:space="0" w:color="000000"/>
            </w:tcBorders>
            <w:vAlign w:val="center"/>
          </w:tcPr>
          <w:p w14:paraId="72D2268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Interest Coverage (EBITDA)</w:t>
            </w:r>
          </w:p>
        </w:tc>
        <w:tc>
          <w:tcPr>
            <w:tcW w:w="0" w:type="auto"/>
            <w:tcBorders>
              <w:right w:val="single" w:sz="8" w:space="0" w:color="000000"/>
            </w:tcBorders>
            <w:vAlign w:val="center"/>
          </w:tcPr>
          <w:p w14:paraId="031C55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9.4x</w:t>
            </w:r>
          </w:p>
        </w:tc>
      </w:tr>
      <w:tr w:rsidR="00521FEF" w:rsidRPr="00C406BB" w14:paraId="09D1EBD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B4AA3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Interest Coverage (EBIT)</w:t>
            </w:r>
          </w:p>
        </w:tc>
        <w:tc>
          <w:tcPr>
            <w:tcW w:w="0" w:type="auto"/>
            <w:tcBorders>
              <w:bottom w:val="single" w:sz="8" w:space="0" w:color="000000"/>
              <w:right w:val="single" w:sz="8" w:space="0" w:color="000000"/>
            </w:tcBorders>
            <w:vAlign w:val="center"/>
          </w:tcPr>
          <w:p w14:paraId="4CF2632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(4.1x)</w:t>
            </w:r>
          </w:p>
        </w:tc>
      </w:tr>
    </w:tbl>
    <w:p w14:paraId="555069F2" w14:textId="77777777" w:rsidR="00521FEF" w:rsidRPr="00C406BB" w:rsidRDefault="00521FEF" w:rsidP="00C406BB">
      <w:pPr>
        <w:jc w:val="both"/>
        <w:rPr>
          <w:rFonts w:ascii="Times New Roman" w:hAnsi="Times New Roman" w:cs="Times New Roman"/>
          <w:sz w:val="24"/>
          <w:szCs w:val="24"/>
        </w:rPr>
      </w:pPr>
    </w:p>
    <w:p w14:paraId="08FD4B8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22: Leverage Ratios</w:t>
      </w:r>
    </w:p>
    <w:p w14:paraId="784708A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Calculations:</w:t>
      </w:r>
    </w:p>
    <w:p w14:paraId="5823D89E" w14:textId="77777777" w:rsidR="00521FEF" w:rsidRPr="00C406BB" w:rsidRDefault="00000000" w:rsidP="00C406BB">
      <w:pPr>
        <w:numPr>
          <w:ilvl w:val="0"/>
          <w:numId w:val="20"/>
        </w:numPr>
        <w:jc w:val="both"/>
        <w:rPr>
          <w:rFonts w:ascii="Times New Roman" w:hAnsi="Times New Roman" w:cs="Times New Roman"/>
          <w:sz w:val="24"/>
          <w:szCs w:val="24"/>
        </w:rPr>
      </w:pPr>
      <w:r w:rsidRPr="00C406BB">
        <w:rPr>
          <w:rFonts w:ascii="Times New Roman" w:hAnsi="Times New Roman" w:cs="Times New Roman"/>
          <w:sz w:val="24"/>
          <w:szCs w:val="24"/>
        </w:rPr>
        <w:t>Total Debt: $27.2B; Equity: $134.6B; Ratio: 20.2%</w:t>
      </w:r>
    </w:p>
    <w:p w14:paraId="7239F917" w14:textId="77777777" w:rsidR="00521FEF" w:rsidRPr="00C406BB" w:rsidRDefault="00000000" w:rsidP="00C406BB">
      <w:pPr>
        <w:numPr>
          <w:ilvl w:val="0"/>
          <w:numId w:val="20"/>
        </w:numPr>
        <w:jc w:val="both"/>
        <w:rPr>
          <w:rFonts w:ascii="Times New Roman" w:hAnsi="Times New Roman" w:cs="Times New Roman"/>
          <w:sz w:val="24"/>
          <w:szCs w:val="24"/>
        </w:rPr>
      </w:pPr>
      <w:r w:rsidRPr="00C406BB">
        <w:rPr>
          <w:rFonts w:ascii="Times New Roman" w:hAnsi="Times New Roman" w:cs="Times New Roman"/>
          <w:sz w:val="24"/>
          <w:szCs w:val="24"/>
        </w:rPr>
        <w:t>Net Debt: $27.2B - $5.2B cash = $22.0B</w:t>
      </w:r>
    </w:p>
    <w:p w14:paraId="3515E370" w14:textId="77777777" w:rsidR="00521FEF" w:rsidRPr="00C406BB" w:rsidRDefault="00000000" w:rsidP="00C406BB">
      <w:pPr>
        <w:numPr>
          <w:ilvl w:val="0"/>
          <w:numId w:val="20"/>
        </w:numPr>
        <w:jc w:val="both"/>
        <w:rPr>
          <w:rFonts w:ascii="Times New Roman" w:hAnsi="Times New Roman" w:cs="Times New Roman"/>
          <w:sz w:val="24"/>
          <w:szCs w:val="24"/>
        </w:rPr>
      </w:pPr>
      <w:r w:rsidRPr="00C406BB">
        <w:rPr>
          <w:rFonts w:ascii="Times New Roman" w:eastAsia="Georgia" w:hAnsi="Times New Roman" w:cs="Times New Roman"/>
          <w:sz w:val="24"/>
          <w:szCs w:val="24"/>
        </w:rPr>
        <w:t>EBITDA (excluding amortization): $10.8B; Coverage: $10.8B ÷ $1.15B interest = 9.4x</w:t>
      </w:r>
    </w:p>
    <w:p w14:paraId="23C311BC" w14:textId="77777777" w:rsidR="00521FEF" w:rsidRPr="00C406BB" w:rsidRDefault="00000000" w:rsidP="00C406BB">
      <w:pPr>
        <w:numPr>
          <w:ilvl w:val="0"/>
          <w:numId w:val="20"/>
        </w:numPr>
        <w:jc w:val="both"/>
        <w:rPr>
          <w:rFonts w:ascii="Times New Roman" w:hAnsi="Times New Roman" w:cs="Times New Roman"/>
          <w:sz w:val="24"/>
          <w:szCs w:val="24"/>
        </w:rPr>
      </w:pPr>
      <w:r w:rsidRPr="00C406BB">
        <w:rPr>
          <w:rFonts w:ascii="Times New Roman" w:hAnsi="Times New Roman" w:cs="Times New Roman"/>
          <w:sz w:val="24"/>
          <w:szCs w:val="24"/>
        </w:rPr>
        <w:t>EBIT (including amortization): ($4.7B); Coverage: negative</w:t>
      </w:r>
    </w:p>
    <w:p w14:paraId="0D8C2F2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company maintained moderate leverage by traditional metrics, with comfortable interest coverage based on cash EBITDA. However, reported EBIT interest coverage was negative due to goodwill amortization.</w:t>
      </w:r>
    </w:p>
    <w:p w14:paraId="29262898" w14:textId="77777777" w:rsidR="00780271" w:rsidRDefault="00780271">
      <w:pPr>
        <w:rPr>
          <w:rFonts w:ascii="Times New Roman" w:hAnsi="Times New Roman" w:cs="Times New Roman"/>
          <w:b/>
          <w:sz w:val="24"/>
          <w:szCs w:val="24"/>
        </w:rPr>
      </w:pPr>
      <w:bookmarkStart w:id="63" w:name="bm_6_3_efficiency_ratios"/>
      <w:r>
        <w:rPr>
          <w:rFonts w:ascii="Times New Roman" w:hAnsi="Times New Roman" w:cs="Times New Roman"/>
          <w:b/>
          <w:sz w:val="24"/>
          <w:szCs w:val="24"/>
        </w:rPr>
        <w:br w:type="page"/>
      </w:r>
    </w:p>
    <w:p w14:paraId="55FA3E3D" w14:textId="5BB0CFF1" w:rsidR="00521FEF" w:rsidRPr="00C406BB" w:rsidRDefault="00000000" w:rsidP="00780271">
      <w:pPr>
        <w:pStyle w:val="Heading2"/>
      </w:pPr>
      <w:bookmarkStart w:id="64" w:name="_Toc221361499"/>
      <w:r w:rsidRPr="00C406BB">
        <w:lastRenderedPageBreak/>
        <w:t>6.3 Efficiency Ratios</w:t>
      </w:r>
      <w:bookmarkEnd w:id="63"/>
      <w:bookmarkEnd w:id="64"/>
    </w:p>
    <w:p w14:paraId="7C329E2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Asset Turnover Analysis:</w:t>
      </w:r>
    </w:p>
    <w:tbl>
      <w:tblPr>
        <w:tblStyle w:val="NormalGrid"/>
        <w:tblW w:w="0" w:type="auto"/>
        <w:jc w:val="center"/>
        <w:tblCellSpacing w:w="0" w:type="dxa"/>
        <w:tblLook w:val="04A0" w:firstRow="1" w:lastRow="0" w:firstColumn="1" w:lastColumn="0" w:noHBand="0" w:noVBand="1"/>
      </w:tblPr>
      <w:tblGrid>
        <w:gridCol w:w="2654"/>
        <w:gridCol w:w="1080"/>
      </w:tblGrid>
      <w:tr w:rsidR="00521FEF" w:rsidRPr="00C406BB" w14:paraId="0556063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CE9F88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Ratio</w:t>
            </w:r>
          </w:p>
        </w:tc>
        <w:tc>
          <w:tcPr>
            <w:tcW w:w="0" w:type="auto"/>
            <w:tcBorders>
              <w:top w:val="single" w:sz="8" w:space="0" w:color="000000"/>
              <w:bottom w:val="single" w:sz="8" w:space="0" w:color="000000"/>
              <w:right w:val="single" w:sz="8" w:space="0" w:color="000000"/>
            </w:tcBorders>
            <w:vAlign w:val="center"/>
          </w:tcPr>
          <w:p w14:paraId="76F08CC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3DECB985" w14:textId="77777777">
        <w:trPr>
          <w:cantSplit/>
          <w:tblCellSpacing w:w="0" w:type="dxa"/>
          <w:jc w:val="center"/>
        </w:trPr>
        <w:tc>
          <w:tcPr>
            <w:tcW w:w="0" w:type="auto"/>
            <w:tcBorders>
              <w:left w:val="single" w:sz="8" w:space="0" w:color="000000"/>
              <w:right w:val="single" w:sz="8" w:space="0" w:color="000000"/>
            </w:tcBorders>
            <w:vAlign w:val="center"/>
          </w:tcPr>
          <w:p w14:paraId="503A185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Asset Turnover</w:t>
            </w:r>
          </w:p>
        </w:tc>
        <w:tc>
          <w:tcPr>
            <w:tcW w:w="0" w:type="auto"/>
            <w:tcBorders>
              <w:right w:val="single" w:sz="8" w:space="0" w:color="000000"/>
            </w:tcBorders>
            <w:vAlign w:val="center"/>
          </w:tcPr>
          <w:p w14:paraId="5FC5AF8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0.17x</w:t>
            </w:r>
          </w:p>
        </w:tc>
      </w:tr>
      <w:tr w:rsidR="00521FEF" w:rsidRPr="00C406BB" w14:paraId="2ADE3785" w14:textId="77777777">
        <w:trPr>
          <w:cantSplit/>
          <w:tblCellSpacing w:w="0" w:type="dxa"/>
          <w:jc w:val="center"/>
        </w:trPr>
        <w:tc>
          <w:tcPr>
            <w:tcW w:w="0" w:type="auto"/>
            <w:tcBorders>
              <w:left w:val="single" w:sz="8" w:space="0" w:color="000000"/>
              <w:right w:val="single" w:sz="8" w:space="0" w:color="000000"/>
            </w:tcBorders>
            <w:vAlign w:val="center"/>
          </w:tcPr>
          <w:p w14:paraId="3D96027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Fixed Asset Turnover</w:t>
            </w:r>
          </w:p>
        </w:tc>
        <w:tc>
          <w:tcPr>
            <w:tcW w:w="0" w:type="auto"/>
            <w:tcBorders>
              <w:right w:val="single" w:sz="8" w:space="0" w:color="000000"/>
            </w:tcBorders>
            <w:vAlign w:val="center"/>
          </w:tcPr>
          <w:p w14:paraId="3EE9D00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2.24x</w:t>
            </w:r>
          </w:p>
        </w:tc>
      </w:tr>
      <w:tr w:rsidR="00521FEF" w:rsidRPr="00C406BB" w14:paraId="54AD4164" w14:textId="77777777">
        <w:trPr>
          <w:cantSplit/>
          <w:tblCellSpacing w:w="0" w:type="dxa"/>
          <w:jc w:val="center"/>
        </w:trPr>
        <w:tc>
          <w:tcPr>
            <w:tcW w:w="0" w:type="auto"/>
            <w:tcBorders>
              <w:left w:val="single" w:sz="8" w:space="0" w:color="000000"/>
              <w:right w:val="single" w:sz="8" w:space="0" w:color="000000"/>
            </w:tcBorders>
            <w:vAlign w:val="center"/>
          </w:tcPr>
          <w:p w14:paraId="2A04ABC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Receivables Turnover</w:t>
            </w:r>
          </w:p>
        </w:tc>
        <w:tc>
          <w:tcPr>
            <w:tcW w:w="0" w:type="auto"/>
            <w:tcBorders>
              <w:right w:val="single" w:sz="8" w:space="0" w:color="000000"/>
            </w:tcBorders>
            <w:vAlign w:val="center"/>
          </w:tcPr>
          <w:p w14:paraId="103ECF8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5.2x</w:t>
            </w:r>
          </w:p>
        </w:tc>
      </w:tr>
      <w:tr w:rsidR="00521FEF" w:rsidRPr="00C406BB" w14:paraId="53A4763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B28C1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Days Sales Outstanding</w:t>
            </w:r>
          </w:p>
        </w:tc>
        <w:tc>
          <w:tcPr>
            <w:tcW w:w="0" w:type="auto"/>
            <w:tcBorders>
              <w:bottom w:val="single" w:sz="8" w:space="0" w:color="000000"/>
              <w:right w:val="single" w:sz="8" w:space="0" w:color="000000"/>
            </w:tcBorders>
            <w:vAlign w:val="center"/>
          </w:tcPr>
          <w:p w14:paraId="7DB63F3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70 days</w:t>
            </w:r>
          </w:p>
        </w:tc>
      </w:tr>
    </w:tbl>
    <w:p w14:paraId="675866F6" w14:textId="77777777" w:rsidR="00521FEF" w:rsidRPr="00C406BB" w:rsidRDefault="00521FEF" w:rsidP="00C406BB">
      <w:pPr>
        <w:jc w:val="both"/>
        <w:rPr>
          <w:rFonts w:ascii="Times New Roman" w:hAnsi="Times New Roman" w:cs="Times New Roman"/>
          <w:sz w:val="24"/>
          <w:szCs w:val="24"/>
        </w:rPr>
      </w:pPr>
    </w:p>
    <w:p w14:paraId="4572C7A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23: Asset Utilization Ratios</w:t>
      </w:r>
    </w:p>
    <w:p w14:paraId="5F632FA8" w14:textId="0FD53B11"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extremely low total asset turnover (0.17x) reflected the massive goodwill and intangible asset base representing 79% of total assets. Excluding goodwill and intangibles, tangible asset turnover would approximate 0.83x - more representative of actual operating efficiency.</w:t>
      </w:r>
    </w:p>
    <w:p w14:paraId="11D91BCB" w14:textId="77777777" w:rsidR="00780271" w:rsidRDefault="00780271" w:rsidP="00C406BB">
      <w:pPr>
        <w:spacing w:before="240" w:line="271" w:lineRule="auto"/>
        <w:jc w:val="both"/>
        <w:rPr>
          <w:rFonts w:ascii="Times New Roman" w:hAnsi="Times New Roman" w:cs="Times New Roman"/>
          <w:b/>
          <w:sz w:val="24"/>
          <w:szCs w:val="24"/>
        </w:rPr>
      </w:pPr>
      <w:bookmarkStart w:id="65" w:name="bm_6_4_valuation_multiples"/>
    </w:p>
    <w:p w14:paraId="7B282AE0" w14:textId="0247A6DD" w:rsidR="00521FEF" w:rsidRPr="00C406BB" w:rsidRDefault="00000000" w:rsidP="00780271">
      <w:pPr>
        <w:pStyle w:val="Heading2"/>
      </w:pPr>
      <w:bookmarkStart w:id="66" w:name="_Toc221361500"/>
      <w:r w:rsidRPr="00C406BB">
        <w:t>6.4 Valuation Multiples</w:t>
      </w:r>
      <w:bookmarkEnd w:id="65"/>
      <w:bookmarkEnd w:id="66"/>
    </w:p>
    <w:p w14:paraId="4F01D45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Market-Based Valuation Metrics (February 2000):</w:t>
      </w:r>
    </w:p>
    <w:p w14:paraId="143B653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Assuming combined market capitalization of $280 billion (midpoint of $250-310B range during regulatory review):</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33"/>
      </w:tblGrid>
      <w:tr w:rsidR="00521FEF" w:rsidRPr="00C406BB" w14:paraId="3F07506B" w14:textId="77777777" w:rsidTr="00780271">
        <w:trPr>
          <w:cantSplit/>
          <w:tblCellSpacing w:w="0" w:type="dxa"/>
          <w:jc w:val="center"/>
        </w:trPr>
        <w:tc>
          <w:tcPr>
            <w:tcW w:w="0" w:type="auto"/>
            <w:vAlign w:val="center"/>
          </w:tcPr>
          <w:p w14:paraId="45A6F2D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Multiple</w:t>
            </w:r>
          </w:p>
        </w:tc>
        <w:tc>
          <w:tcPr>
            <w:tcW w:w="0" w:type="auto"/>
            <w:vAlign w:val="center"/>
          </w:tcPr>
          <w:p w14:paraId="30BF896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Value</w:t>
            </w:r>
          </w:p>
        </w:tc>
      </w:tr>
      <w:tr w:rsidR="00521FEF" w:rsidRPr="00C406BB" w14:paraId="4D12B5EE" w14:textId="77777777" w:rsidTr="00780271">
        <w:trPr>
          <w:cantSplit/>
          <w:tblCellSpacing w:w="0" w:type="dxa"/>
          <w:jc w:val="center"/>
        </w:trPr>
        <w:tc>
          <w:tcPr>
            <w:tcW w:w="0" w:type="auto"/>
            <w:vAlign w:val="center"/>
          </w:tcPr>
          <w:p w14:paraId="16A4F97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Price/Earnings (reported)</w:t>
            </w:r>
          </w:p>
        </w:tc>
        <w:tc>
          <w:tcPr>
            <w:tcW w:w="0" w:type="auto"/>
            <w:vAlign w:val="center"/>
          </w:tcPr>
          <w:p w14:paraId="5202B62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NM (negative earnings)</w:t>
            </w:r>
          </w:p>
        </w:tc>
      </w:tr>
      <w:tr w:rsidR="00521FEF" w:rsidRPr="00C406BB" w14:paraId="17F5D514" w14:textId="77777777" w:rsidTr="00780271">
        <w:trPr>
          <w:cantSplit/>
          <w:tblCellSpacing w:w="0" w:type="dxa"/>
          <w:jc w:val="center"/>
        </w:trPr>
        <w:tc>
          <w:tcPr>
            <w:tcW w:w="0" w:type="auto"/>
            <w:vAlign w:val="center"/>
          </w:tcPr>
          <w:p w14:paraId="61DA5B6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Price/Earnings (ex-amort.)</w:t>
            </w:r>
          </w:p>
        </w:tc>
        <w:tc>
          <w:tcPr>
            <w:tcW w:w="0" w:type="auto"/>
            <w:vAlign w:val="center"/>
          </w:tcPr>
          <w:p w14:paraId="10F1667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98.2x</w:t>
            </w:r>
          </w:p>
        </w:tc>
      </w:tr>
      <w:tr w:rsidR="00521FEF" w:rsidRPr="00C406BB" w14:paraId="547FC2B0" w14:textId="77777777" w:rsidTr="00780271">
        <w:trPr>
          <w:cantSplit/>
          <w:tblCellSpacing w:w="0" w:type="dxa"/>
          <w:jc w:val="center"/>
        </w:trPr>
        <w:tc>
          <w:tcPr>
            <w:tcW w:w="0" w:type="auto"/>
            <w:vAlign w:val="center"/>
          </w:tcPr>
          <w:p w14:paraId="4CFC29E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Price/Sales</w:t>
            </w:r>
          </w:p>
        </w:tc>
        <w:tc>
          <w:tcPr>
            <w:tcW w:w="0" w:type="auto"/>
            <w:vAlign w:val="center"/>
          </w:tcPr>
          <w:p w14:paraId="00E10B6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7.9x</w:t>
            </w:r>
          </w:p>
        </w:tc>
      </w:tr>
      <w:tr w:rsidR="00521FEF" w:rsidRPr="00C406BB" w14:paraId="2252EC6D" w14:textId="77777777" w:rsidTr="00780271">
        <w:trPr>
          <w:cantSplit/>
          <w:tblCellSpacing w:w="0" w:type="dxa"/>
          <w:jc w:val="center"/>
        </w:trPr>
        <w:tc>
          <w:tcPr>
            <w:tcW w:w="0" w:type="auto"/>
            <w:vAlign w:val="center"/>
          </w:tcPr>
          <w:p w14:paraId="445CCA5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Price/Book Value</w:t>
            </w:r>
          </w:p>
        </w:tc>
        <w:tc>
          <w:tcPr>
            <w:tcW w:w="0" w:type="auto"/>
            <w:vAlign w:val="center"/>
          </w:tcPr>
          <w:p w14:paraId="36CAEF8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2.1x</w:t>
            </w:r>
          </w:p>
        </w:tc>
      </w:tr>
      <w:tr w:rsidR="00521FEF" w:rsidRPr="00C406BB" w14:paraId="09D3EA89" w14:textId="77777777" w:rsidTr="00780271">
        <w:trPr>
          <w:cantSplit/>
          <w:tblCellSpacing w:w="0" w:type="dxa"/>
          <w:jc w:val="center"/>
        </w:trPr>
        <w:tc>
          <w:tcPr>
            <w:tcW w:w="0" w:type="auto"/>
            <w:vAlign w:val="center"/>
          </w:tcPr>
          <w:p w14:paraId="6244CCC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EV/EBITDA</w:t>
            </w:r>
          </w:p>
        </w:tc>
        <w:tc>
          <w:tcPr>
            <w:tcW w:w="0" w:type="auto"/>
            <w:vAlign w:val="center"/>
          </w:tcPr>
          <w:p w14:paraId="04714E4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28.0x</w:t>
            </w:r>
          </w:p>
        </w:tc>
      </w:tr>
      <w:tr w:rsidR="00521FEF" w:rsidRPr="00C406BB" w14:paraId="3ECF46F5" w14:textId="77777777" w:rsidTr="00780271">
        <w:trPr>
          <w:cantSplit/>
          <w:tblCellSpacing w:w="0" w:type="dxa"/>
          <w:jc w:val="center"/>
        </w:trPr>
        <w:tc>
          <w:tcPr>
            <w:tcW w:w="0" w:type="auto"/>
            <w:vAlign w:val="center"/>
          </w:tcPr>
          <w:p w14:paraId="21D931D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EV/Sales</w:t>
            </w:r>
          </w:p>
        </w:tc>
        <w:tc>
          <w:tcPr>
            <w:tcW w:w="0" w:type="auto"/>
            <w:vAlign w:val="center"/>
          </w:tcPr>
          <w:p w14:paraId="245A7F3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8.5x</w:t>
            </w:r>
          </w:p>
        </w:tc>
      </w:tr>
    </w:tbl>
    <w:p w14:paraId="30E20703" w14:textId="77777777" w:rsidR="00521FEF" w:rsidRPr="00C406BB" w:rsidRDefault="00521FEF" w:rsidP="00C406BB">
      <w:pPr>
        <w:jc w:val="both"/>
        <w:rPr>
          <w:rFonts w:ascii="Times New Roman" w:hAnsi="Times New Roman" w:cs="Times New Roman"/>
          <w:sz w:val="24"/>
          <w:szCs w:val="24"/>
        </w:rPr>
      </w:pPr>
    </w:p>
    <w:p w14:paraId="6A33C80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24: Valuation Multiples</w:t>
      </w:r>
    </w:p>
    <w:p w14:paraId="44F3B5DB" w14:textId="77777777" w:rsidR="00780271" w:rsidRDefault="00780271">
      <w:pPr>
        <w:rPr>
          <w:rFonts w:ascii="Times New Roman" w:hAnsi="Times New Roman" w:cs="Times New Roman"/>
          <w:sz w:val="24"/>
          <w:szCs w:val="24"/>
        </w:rPr>
      </w:pPr>
      <w:r>
        <w:rPr>
          <w:rFonts w:ascii="Times New Roman" w:hAnsi="Times New Roman" w:cs="Times New Roman"/>
          <w:sz w:val="24"/>
          <w:szCs w:val="24"/>
        </w:rPr>
        <w:br w:type="page"/>
      </w:r>
    </w:p>
    <w:p w14:paraId="5F8E328C" w14:textId="58FB8A41"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lastRenderedPageBreak/>
        <w:t>Calculations:</w:t>
      </w:r>
    </w:p>
    <w:p w14:paraId="6D361BEB" w14:textId="77777777" w:rsidR="00521FEF" w:rsidRPr="00C406BB" w:rsidRDefault="00000000" w:rsidP="00C406BB">
      <w:pPr>
        <w:numPr>
          <w:ilvl w:val="0"/>
          <w:numId w:val="21"/>
        </w:numPr>
        <w:jc w:val="both"/>
        <w:rPr>
          <w:rFonts w:ascii="Times New Roman" w:hAnsi="Times New Roman" w:cs="Times New Roman"/>
          <w:sz w:val="24"/>
          <w:szCs w:val="24"/>
        </w:rPr>
      </w:pPr>
      <w:r w:rsidRPr="00C406BB">
        <w:rPr>
          <w:rFonts w:ascii="Times New Roman" w:hAnsi="Times New Roman" w:cs="Times New Roman"/>
          <w:sz w:val="24"/>
          <w:szCs w:val="24"/>
        </w:rPr>
        <w:t>Market Cap: $280B</w:t>
      </w:r>
    </w:p>
    <w:p w14:paraId="4FD9F843" w14:textId="77777777" w:rsidR="00521FEF" w:rsidRPr="00C406BB" w:rsidRDefault="00000000" w:rsidP="00C406BB">
      <w:pPr>
        <w:numPr>
          <w:ilvl w:val="0"/>
          <w:numId w:val="21"/>
        </w:numPr>
        <w:jc w:val="both"/>
        <w:rPr>
          <w:rFonts w:ascii="Times New Roman" w:hAnsi="Times New Roman" w:cs="Times New Roman"/>
          <w:sz w:val="24"/>
          <w:szCs w:val="24"/>
        </w:rPr>
      </w:pPr>
      <w:r w:rsidRPr="00C406BB">
        <w:rPr>
          <w:rFonts w:ascii="Times New Roman" w:hAnsi="Times New Roman" w:cs="Times New Roman"/>
          <w:sz w:val="24"/>
          <w:szCs w:val="24"/>
        </w:rPr>
        <w:t>Enterprise Value: $280B + $22B net debt = $302B</w:t>
      </w:r>
    </w:p>
    <w:p w14:paraId="7815FFC6" w14:textId="77777777" w:rsidR="00521FEF" w:rsidRPr="00C406BB" w:rsidRDefault="00000000" w:rsidP="00C406BB">
      <w:pPr>
        <w:numPr>
          <w:ilvl w:val="0"/>
          <w:numId w:val="21"/>
        </w:numPr>
        <w:jc w:val="both"/>
        <w:rPr>
          <w:rFonts w:ascii="Times New Roman" w:hAnsi="Times New Roman" w:cs="Times New Roman"/>
          <w:sz w:val="24"/>
          <w:szCs w:val="24"/>
        </w:rPr>
      </w:pPr>
      <w:r w:rsidRPr="00C406BB">
        <w:rPr>
          <w:rFonts w:ascii="Times New Roman" w:eastAsia="Georgia" w:hAnsi="Times New Roman" w:cs="Times New Roman"/>
          <w:sz w:val="24"/>
          <w:szCs w:val="24"/>
        </w:rPr>
        <w:t>P/E (ex-amortization): $280B ÷ $2.85B operational earnings = 98.2x</w:t>
      </w:r>
    </w:p>
    <w:p w14:paraId="7F023C2C" w14:textId="77777777" w:rsidR="00521FEF" w:rsidRPr="00C406BB" w:rsidRDefault="00000000" w:rsidP="00C406BB">
      <w:pPr>
        <w:numPr>
          <w:ilvl w:val="0"/>
          <w:numId w:val="21"/>
        </w:numPr>
        <w:jc w:val="both"/>
        <w:rPr>
          <w:rFonts w:ascii="Times New Roman" w:hAnsi="Times New Roman" w:cs="Times New Roman"/>
          <w:sz w:val="24"/>
          <w:szCs w:val="24"/>
        </w:rPr>
      </w:pPr>
      <w:r w:rsidRPr="00C406BB">
        <w:rPr>
          <w:rFonts w:ascii="Times New Roman" w:eastAsia="Georgia" w:hAnsi="Times New Roman" w:cs="Times New Roman"/>
          <w:sz w:val="24"/>
          <w:szCs w:val="24"/>
        </w:rPr>
        <w:t>EV/EBITDA: $302B ÷ $10.8B = 28.0x</w:t>
      </w:r>
    </w:p>
    <w:p w14:paraId="13CB5DBF" w14:textId="77777777" w:rsidR="00521FEF" w:rsidRPr="00C406BB" w:rsidRDefault="00000000" w:rsidP="00C406BB">
      <w:pPr>
        <w:numPr>
          <w:ilvl w:val="0"/>
          <w:numId w:val="21"/>
        </w:numPr>
        <w:jc w:val="both"/>
        <w:rPr>
          <w:rFonts w:ascii="Times New Roman" w:hAnsi="Times New Roman" w:cs="Times New Roman"/>
          <w:sz w:val="24"/>
          <w:szCs w:val="24"/>
        </w:rPr>
      </w:pPr>
      <w:r w:rsidRPr="00C406BB">
        <w:rPr>
          <w:rFonts w:ascii="Times New Roman" w:eastAsia="Georgia" w:hAnsi="Times New Roman" w:cs="Times New Roman"/>
          <w:sz w:val="24"/>
          <w:szCs w:val="24"/>
        </w:rPr>
        <w:t>Price/Book: $280B ÷ $134.6B equity = 2.1x</w:t>
      </w:r>
    </w:p>
    <w:p w14:paraId="7BD8224E" w14:textId="441F7122" w:rsidR="00521FEF" w:rsidRPr="00C406BB" w:rsidRDefault="00000000" w:rsidP="00C406BB">
      <w:pPr>
        <w:spacing w:after="210"/>
        <w:jc w:val="both"/>
        <w:rPr>
          <w:rFonts w:ascii="Times New Roman" w:hAnsi="Times New Roman" w:cs="Times New Roman"/>
          <w:sz w:val="24"/>
          <w:szCs w:val="24"/>
        </w:rPr>
      </w:pPr>
      <w:r w:rsidRPr="00C406BB">
        <w:rPr>
          <w:rFonts w:ascii="Times New Roman" w:eastAsia="Georgia" w:hAnsi="Times New Roman" w:cs="Times New Roman"/>
          <w:sz w:val="24"/>
          <w:szCs w:val="24"/>
        </w:rPr>
        <w:t>These multiples reflected extremely rich valuations characteristic of the internet bubble period. For context, S&amp;P 500 median multiples in early 2000: P/E ~25x, EV/EBITDA ~12</w:t>
      </w:r>
      <w:r w:rsidR="00780271" w:rsidRPr="00C406BB">
        <w:rPr>
          <w:rFonts w:ascii="Times New Roman" w:eastAsia="Georgia" w:hAnsi="Times New Roman" w:cs="Times New Roman"/>
          <w:sz w:val="24"/>
          <w:szCs w:val="24"/>
        </w:rPr>
        <w:t>x [</w:t>
      </w:r>
      <w:r w:rsidRPr="00C406BB">
        <w:rPr>
          <w:rFonts w:ascii="Times New Roman" w:eastAsia="Georgia" w:hAnsi="Times New Roman" w:cs="Times New Roman"/>
          <w:sz w:val="24"/>
          <w:szCs w:val="24"/>
        </w:rPr>
        <w:t>22].</w:t>
      </w:r>
    </w:p>
    <w:p w14:paraId="1CDB49E3" w14:textId="77777777" w:rsidR="00780271" w:rsidRDefault="00780271" w:rsidP="00C406BB">
      <w:pPr>
        <w:spacing w:before="240" w:line="271" w:lineRule="auto"/>
        <w:jc w:val="both"/>
        <w:rPr>
          <w:rFonts w:ascii="Times New Roman" w:hAnsi="Times New Roman" w:cs="Times New Roman"/>
          <w:b/>
          <w:sz w:val="24"/>
          <w:szCs w:val="24"/>
        </w:rPr>
      </w:pPr>
      <w:bookmarkStart w:id="67" w:name="bm_6_5_comparative_industry_analysis"/>
    </w:p>
    <w:p w14:paraId="2DA8F3D6" w14:textId="054400B1" w:rsidR="00521FEF" w:rsidRPr="00C406BB" w:rsidRDefault="00000000" w:rsidP="00780271">
      <w:pPr>
        <w:pStyle w:val="Heading2"/>
      </w:pPr>
      <w:bookmarkStart w:id="68" w:name="_Toc221361501"/>
      <w:r w:rsidRPr="00C406BB">
        <w:t>6.5 Comparative Industry Analysis</w:t>
      </w:r>
      <w:bookmarkEnd w:id="67"/>
      <w:bookmarkEnd w:id="68"/>
    </w:p>
    <w:p w14:paraId="459F28F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Peer Group Comparison (Early 2000):</w:t>
      </w:r>
    </w:p>
    <w:tbl>
      <w:tblPr>
        <w:tblStyle w:val="NormalGrid"/>
        <w:tblW w:w="0" w:type="auto"/>
        <w:jc w:val="center"/>
        <w:tblCellSpacing w:w="0" w:type="dxa"/>
        <w:tblLook w:val="04A0" w:firstRow="1" w:lastRow="0" w:firstColumn="1" w:lastColumn="0" w:noHBand="0" w:noVBand="1"/>
      </w:tblPr>
      <w:tblGrid>
        <w:gridCol w:w="2200"/>
        <w:gridCol w:w="1267"/>
        <w:gridCol w:w="1607"/>
        <w:gridCol w:w="1973"/>
      </w:tblGrid>
      <w:tr w:rsidR="00521FEF" w:rsidRPr="00C406BB" w14:paraId="3E07C0E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5F4605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Company</w:t>
            </w:r>
          </w:p>
        </w:tc>
        <w:tc>
          <w:tcPr>
            <w:tcW w:w="0" w:type="auto"/>
            <w:tcBorders>
              <w:top w:val="single" w:sz="8" w:space="0" w:color="000000"/>
              <w:bottom w:val="single" w:sz="8" w:space="0" w:color="000000"/>
              <w:right w:val="single" w:sz="8" w:space="0" w:color="000000"/>
            </w:tcBorders>
            <w:vAlign w:val="center"/>
          </w:tcPr>
          <w:p w14:paraId="0B2152D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P/E Ratio</w:t>
            </w:r>
          </w:p>
        </w:tc>
        <w:tc>
          <w:tcPr>
            <w:tcW w:w="0" w:type="auto"/>
            <w:tcBorders>
              <w:top w:val="single" w:sz="8" w:space="0" w:color="000000"/>
              <w:bottom w:val="single" w:sz="8" w:space="0" w:color="000000"/>
              <w:right w:val="single" w:sz="8" w:space="0" w:color="000000"/>
            </w:tcBorders>
            <w:vAlign w:val="center"/>
          </w:tcPr>
          <w:p w14:paraId="1874868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EV/EBITDA</w:t>
            </w:r>
          </w:p>
        </w:tc>
        <w:tc>
          <w:tcPr>
            <w:tcW w:w="0" w:type="auto"/>
            <w:tcBorders>
              <w:top w:val="single" w:sz="8" w:space="0" w:color="000000"/>
              <w:bottom w:val="single" w:sz="8" w:space="0" w:color="000000"/>
              <w:right w:val="single" w:sz="8" w:space="0" w:color="000000"/>
            </w:tcBorders>
            <w:vAlign w:val="center"/>
          </w:tcPr>
          <w:p w14:paraId="495ADE1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Revenue Growth</w:t>
            </w:r>
          </w:p>
        </w:tc>
      </w:tr>
      <w:tr w:rsidR="00521FEF" w:rsidRPr="00C406BB" w14:paraId="79BDF829" w14:textId="77777777">
        <w:trPr>
          <w:cantSplit/>
          <w:tblCellSpacing w:w="0" w:type="dxa"/>
          <w:jc w:val="center"/>
        </w:trPr>
        <w:tc>
          <w:tcPr>
            <w:tcW w:w="0" w:type="auto"/>
            <w:tcBorders>
              <w:left w:val="single" w:sz="8" w:space="0" w:color="000000"/>
              <w:right w:val="single" w:sz="8" w:space="0" w:color="000000"/>
            </w:tcBorders>
            <w:vAlign w:val="center"/>
          </w:tcPr>
          <w:p w14:paraId="4A80F50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Time Warner</w:t>
            </w:r>
          </w:p>
        </w:tc>
        <w:tc>
          <w:tcPr>
            <w:tcW w:w="0" w:type="auto"/>
            <w:tcBorders>
              <w:right w:val="single" w:sz="8" w:space="0" w:color="000000"/>
            </w:tcBorders>
            <w:vAlign w:val="center"/>
          </w:tcPr>
          <w:p w14:paraId="5044D8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98.2x</w:t>
            </w:r>
          </w:p>
        </w:tc>
        <w:tc>
          <w:tcPr>
            <w:tcW w:w="0" w:type="auto"/>
            <w:tcBorders>
              <w:right w:val="single" w:sz="8" w:space="0" w:color="000000"/>
            </w:tcBorders>
            <w:vAlign w:val="center"/>
          </w:tcPr>
          <w:p w14:paraId="7C31660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28.0x</w:t>
            </w:r>
          </w:p>
        </w:tc>
        <w:tc>
          <w:tcPr>
            <w:tcW w:w="0" w:type="auto"/>
            <w:tcBorders>
              <w:right w:val="single" w:sz="8" w:space="0" w:color="000000"/>
            </w:tcBorders>
            <w:vAlign w:val="center"/>
          </w:tcPr>
          <w:p w14:paraId="0E23429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15%E</w:t>
            </w:r>
          </w:p>
        </w:tc>
      </w:tr>
      <w:tr w:rsidR="00521FEF" w:rsidRPr="00C406BB" w14:paraId="6B765749" w14:textId="77777777">
        <w:trPr>
          <w:cantSplit/>
          <w:tblCellSpacing w:w="0" w:type="dxa"/>
          <w:jc w:val="center"/>
        </w:trPr>
        <w:tc>
          <w:tcPr>
            <w:tcW w:w="0" w:type="auto"/>
            <w:tcBorders>
              <w:left w:val="single" w:sz="8" w:space="0" w:color="000000"/>
              <w:right w:val="single" w:sz="8" w:space="0" w:color="000000"/>
            </w:tcBorders>
            <w:vAlign w:val="center"/>
          </w:tcPr>
          <w:p w14:paraId="07E6394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Disney</w:t>
            </w:r>
          </w:p>
        </w:tc>
        <w:tc>
          <w:tcPr>
            <w:tcW w:w="0" w:type="auto"/>
            <w:tcBorders>
              <w:right w:val="single" w:sz="8" w:space="0" w:color="000000"/>
            </w:tcBorders>
            <w:vAlign w:val="center"/>
          </w:tcPr>
          <w:p w14:paraId="2630205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42.5x</w:t>
            </w:r>
          </w:p>
        </w:tc>
        <w:tc>
          <w:tcPr>
            <w:tcW w:w="0" w:type="auto"/>
            <w:tcBorders>
              <w:right w:val="single" w:sz="8" w:space="0" w:color="000000"/>
            </w:tcBorders>
            <w:vAlign w:val="center"/>
          </w:tcPr>
          <w:p w14:paraId="1F55E21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16.2x</w:t>
            </w:r>
          </w:p>
        </w:tc>
        <w:tc>
          <w:tcPr>
            <w:tcW w:w="0" w:type="auto"/>
            <w:tcBorders>
              <w:right w:val="single" w:sz="8" w:space="0" w:color="000000"/>
            </w:tcBorders>
            <w:vAlign w:val="center"/>
          </w:tcPr>
          <w:p w14:paraId="3CCEFAB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w:t>
            </w:r>
          </w:p>
        </w:tc>
      </w:tr>
      <w:tr w:rsidR="00521FEF" w:rsidRPr="00C406BB" w14:paraId="202695D8" w14:textId="77777777">
        <w:trPr>
          <w:cantSplit/>
          <w:tblCellSpacing w:w="0" w:type="dxa"/>
          <w:jc w:val="center"/>
        </w:trPr>
        <w:tc>
          <w:tcPr>
            <w:tcW w:w="0" w:type="auto"/>
            <w:tcBorders>
              <w:left w:val="single" w:sz="8" w:space="0" w:color="000000"/>
              <w:right w:val="single" w:sz="8" w:space="0" w:color="000000"/>
            </w:tcBorders>
            <w:vAlign w:val="center"/>
          </w:tcPr>
          <w:p w14:paraId="35FF8C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Viacom</w:t>
            </w:r>
          </w:p>
        </w:tc>
        <w:tc>
          <w:tcPr>
            <w:tcW w:w="0" w:type="auto"/>
            <w:tcBorders>
              <w:right w:val="single" w:sz="8" w:space="0" w:color="000000"/>
            </w:tcBorders>
            <w:vAlign w:val="center"/>
          </w:tcPr>
          <w:p w14:paraId="27CE07E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38.7x</w:t>
            </w:r>
          </w:p>
        </w:tc>
        <w:tc>
          <w:tcPr>
            <w:tcW w:w="0" w:type="auto"/>
            <w:tcBorders>
              <w:right w:val="single" w:sz="8" w:space="0" w:color="000000"/>
            </w:tcBorders>
            <w:vAlign w:val="center"/>
          </w:tcPr>
          <w:p w14:paraId="2611544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14.8x</w:t>
            </w:r>
          </w:p>
        </w:tc>
        <w:tc>
          <w:tcPr>
            <w:tcW w:w="0" w:type="auto"/>
            <w:tcBorders>
              <w:right w:val="single" w:sz="8" w:space="0" w:color="000000"/>
            </w:tcBorders>
            <w:vAlign w:val="center"/>
          </w:tcPr>
          <w:p w14:paraId="01D9EB5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w:t>
            </w:r>
          </w:p>
        </w:tc>
      </w:tr>
      <w:tr w:rsidR="00521FEF" w:rsidRPr="00C406BB" w14:paraId="119EB9F6" w14:textId="77777777">
        <w:trPr>
          <w:cantSplit/>
          <w:tblCellSpacing w:w="0" w:type="dxa"/>
          <w:jc w:val="center"/>
        </w:trPr>
        <w:tc>
          <w:tcPr>
            <w:tcW w:w="0" w:type="auto"/>
            <w:tcBorders>
              <w:left w:val="single" w:sz="8" w:space="0" w:color="000000"/>
              <w:right w:val="single" w:sz="8" w:space="0" w:color="000000"/>
            </w:tcBorders>
            <w:vAlign w:val="center"/>
          </w:tcPr>
          <w:p w14:paraId="034F31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News Corp</w:t>
            </w:r>
          </w:p>
        </w:tc>
        <w:tc>
          <w:tcPr>
            <w:tcW w:w="0" w:type="auto"/>
            <w:tcBorders>
              <w:right w:val="single" w:sz="8" w:space="0" w:color="000000"/>
            </w:tcBorders>
            <w:vAlign w:val="center"/>
          </w:tcPr>
          <w:p w14:paraId="101D59B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35.2x</w:t>
            </w:r>
          </w:p>
        </w:tc>
        <w:tc>
          <w:tcPr>
            <w:tcW w:w="0" w:type="auto"/>
            <w:tcBorders>
              <w:right w:val="single" w:sz="8" w:space="0" w:color="000000"/>
            </w:tcBorders>
            <w:vAlign w:val="center"/>
          </w:tcPr>
          <w:p w14:paraId="5106C1C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13.5x</w:t>
            </w:r>
          </w:p>
        </w:tc>
        <w:tc>
          <w:tcPr>
            <w:tcW w:w="0" w:type="auto"/>
            <w:tcBorders>
              <w:right w:val="single" w:sz="8" w:space="0" w:color="000000"/>
            </w:tcBorders>
            <w:vAlign w:val="center"/>
          </w:tcPr>
          <w:p w14:paraId="0B45D8E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w:t>
            </w:r>
          </w:p>
        </w:tc>
      </w:tr>
      <w:tr w:rsidR="00521FEF" w:rsidRPr="00C406BB" w14:paraId="0E9EBCC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50D40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Yahoo!</w:t>
            </w:r>
          </w:p>
        </w:tc>
        <w:tc>
          <w:tcPr>
            <w:tcW w:w="0" w:type="auto"/>
            <w:tcBorders>
              <w:bottom w:val="single" w:sz="8" w:space="0" w:color="000000"/>
              <w:right w:val="single" w:sz="8" w:space="0" w:color="000000"/>
            </w:tcBorders>
            <w:vAlign w:val="center"/>
          </w:tcPr>
          <w:p w14:paraId="64E208B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285.0x</w:t>
            </w:r>
          </w:p>
        </w:tc>
        <w:tc>
          <w:tcPr>
            <w:tcW w:w="0" w:type="auto"/>
            <w:tcBorders>
              <w:bottom w:val="single" w:sz="8" w:space="0" w:color="000000"/>
              <w:right w:val="single" w:sz="8" w:space="0" w:color="000000"/>
            </w:tcBorders>
            <w:vAlign w:val="center"/>
          </w:tcPr>
          <w:p w14:paraId="4E7488C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125.0x</w:t>
            </w:r>
          </w:p>
        </w:tc>
        <w:tc>
          <w:tcPr>
            <w:tcW w:w="0" w:type="auto"/>
            <w:tcBorders>
              <w:bottom w:val="single" w:sz="8" w:space="0" w:color="000000"/>
              <w:right w:val="single" w:sz="8" w:space="0" w:color="000000"/>
            </w:tcBorders>
            <w:vAlign w:val="center"/>
          </w:tcPr>
          <w:p w14:paraId="67B10F2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85%</w:t>
            </w:r>
          </w:p>
        </w:tc>
      </w:tr>
    </w:tbl>
    <w:p w14:paraId="7ABD234A" w14:textId="77777777" w:rsidR="00521FEF" w:rsidRPr="00C406BB" w:rsidRDefault="00521FEF" w:rsidP="00C406BB">
      <w:pPr>
        <w:jc w:val="both"/>
        <w:rPr>
          <w:rFonts w:ascii="Times New Roman" w:hAnsi="Times New Roman" w:cs="Times New Roman"/>
          <w:sz w:val="24"/>
          <w:szCs w:val="24"/>
        </w:rPr>
      </w:pPr>
    </w:p>
    <w:p w14:paraId="44FFB78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25: Peer Valuation Comparison</w:t>
      </w:r>
    </w:p>
    <w:p w14:paraId="2130BA98" w14:textId="07E719A2"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AOL Time Warner's valuation multiples positioned between traditional media companies (Disney, Viacom, News Corp) and pure internet plays (Yahoo!), reflecting its hybrid positioning. However, the premium to traditional media peers appeared unjustified given similar growth trajectories and higher execution risk</w:t>
      </w:r>
      <w:r w:rsidR="00780271">
        <w:rPr>
          <w:rFonts w:ascii="Times New Roman" w:hAnsi="Times New Roman" w:cs="Times New Roman"/>
          <w:sz w:val="24"/>
          <w:szCs w:val="24"/>
        </w:rPr>
        <w:t>.</w:t>
      </w:r>
    </w:p>
    <w:p w14:paraId="6573190E" w14:textId="2E743BA5" w:rsidR="00521FEF" w:rsidRPr="00C406BB" w:rsidRDefault="00521FEF" w:rsidP="00C406BB">
      <w:pPr>
        <w:jc w:val="both"/>
        <w:rPr>
          <w:rFonts w:ascii="Times New Roman" w:hAnsi="Times New Roman" w:cs="Times New Roman"/>
          <w:sz w:val="24"/>
          <w:szCs w:val="24"/>
        </w:rPr>
      </w:pPr>
    </w:p>
    <w:p w14:paraId="6D32BF32" w14:textId="77777777" w:rsidR="00780271" w:rsidRDefault="00780271">
      <w:pPr>
        <w:rPr>
          <w:rFonts w:ascii="Times New Roman" w:hAnsi="Times New Roman" w:cs="Times New Roman"/>
          <w:b/>
          <w:sz w:val="24"/>
          <w:szCs w:val="24"/>
        </w:rPr>
      </w:pPr>
      <w:bookmarkStart w:id="69" w:name="bm_7_valuation_analysis_and_fair_15f4da"/>
      <w:r>
        <w:rPr>
          <w:rFonts w:ascii="Times New Roman" w:hAnsi="Times New Roman" w:cs="Times New Roman"/>
          <w:b/>
          <w:sz w:val="24"/>
          <w:szCs w:val="24"/>
        </w:rPr>
        <w:br w:type="page"/>
      </w:r>
    </w:p>
    <w:p w14:paraId="0B952500" w14:textId="47CF0D01" w:rsidR="00521FEF" w:rsidRPr="00C406BB" w:rsidRDefault="00000000" w:rsidP="00780271">
      <w:pPr>
        <w:pStyle w:val="Heading1"/>
      </w:pPr>
      <w:bookmarkStart w:id="70" w:name="_Toc221361502"/>
      <w:r w:rsidRPr="00C406BB">
        <w:lastRenderedPageBreak/>
        <w:t>7. Valuation Analysis and Fair Value Assessment</w:t>
      </w:r>
      <w:bookmarkEnd w:id="69"/>
      <w:bookmarkEnd w:id="70"/>
    </w:p>
    <w:p w14:paraId="7D2B879E" w14:textId="77777777" w:rsidR="00780271" w:rsidRDefault="00780271" w:rsidP="00C406BB">
      <w:pPr>
        <w:spacing w:before="240" w:line="271" w:lineRule="auto"/>
        <w:jc w:val="both"/>
        <w:rPr>
          <w:rFonts w:ascii="Times New Roman" w:hAnsi="Times New Roman" w:cs="Times New Roman"/>
          <w:b/>
          <w:sz w:val="24"/>
          <w:szCs w:val="24"/>
        </w:rPr>
      </w:pPr>
      <w:bookmarkStart w:id="71" w:name="bm_7_1_discounted_cash_flow_analysis"/>
    </w:p>
    <w:p w14:paraId="73B92E97" w14:textId="440133C3" w:rsidR="00521FEF" w:rsidRPr="00780271" w:rsidRDefault="00000000" w:rsidP="00780271">
      <w:pPr>
        <w:pStyle w:val="Heading2"/>
      </w:pPr>
      <w:bookmarkStart w:id="72" w:name="_Toc221361503"/>
      <w:r w:rsidRPr="00C406BB">
        <w:t>7.1 Discounted Cash Flow Analysis</w:t>
      </w:r>
      <w:bookmarkEnd w:id="71"/>
      <w:bookmarkEnd w:id="72"/>
    </w:p>
    <w:p w14:paraId="223D3C8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DCF Model Assumptions:</w:t>
      </w:r>
    </w:p>
    <w:p w14:paraId="224819F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To assess intrinsic value, we construct a 10-year DCF model with the following parameters:</w:t>
      </w:r>
    </w:p>
    <w:p w14:paraId="43196D3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Revenue Projections:</w:t>
      </w:r>
    </w:p>
    <w:p w14:paraId="41802901" w14:textId="77777777" w:rsidR="00521FEF" w:rsidRPr="00C406BB" w:rsidRDefault="00000000" w:rsidP="00C406BB">
      <w:pPr>
        <w:numPr>
          <w:ilvl w:val="0"/>
          <w:numId w:val="22"/>
        </w:numPr>
        <w:jc w:val="both"/>
        <w:rPr>
          <w:rFonts w:ascii="Times New Roman" w:hAnsi="Times New Roman" w:cs="Times New Roman"/>
          <w:sz w:val="24"/>
          <w:szCs w:val="24"/>
        </w:rPr>
      </w:pPr>
      <w:r w:rsidRPr="00C406BB">
        <w:rPr>
          <w:rFonts w:ascii="Times New Roman" w:hAnsi="Times New Roman" w:cs="Times New Roman"/>
          <w:sz w:val="24"/>
          <w:szCs w:val="24"/>
        </w:rPr>
        <w:t>2001-2003: 15% annual growth (management guidance)</w:t>
      </w:r>
    </w:p>
    <w:p w14:paraId="6CB1EA85" w14:textId="77777777" w:rsidR="00521FEF" w:rsidRPr="00C406BB" w:rsidRDefault="00000000" w:rsidP="00C406BB">
      <w:pPr>
        <w:numPr>
          <w:ilvl w:val="0"/>
          <w:numId w:val="22"/>
        </w:numPr>
        <w:jc w:val="both"/>
        <w:rPr>
          <w:rFonts w:ascii="Times New Roman" w:hAnsi="Times New Roman" w:cs="Times New Roman"/>
          <w:sz w:val="24"/>
          <w:szCs w:val="24"/>
        </w:rPr>
      </w:pPr>
      <w:r w:rsidRPr="00C406BB">
        <w:rPr>
          <w:rFonts w:ascii="Times New Roman" w:hAnsi="Times New Roman" w:cs="Times New Roman"/>
          <w:sz w:val="24"/>
          <w:szCs w:val="24"/>
        </w:rPr>
        <w:t>2004-2006: 10% annual growth (maturing growth)</w:t>
      </w:r>
    </w:p>
    <w:p w14:paraId="007EE462" w14:textId="77777777" w:rsidR="00521FEF" w:rsidRPr="00C406BB" w:rsidRDefault="00000000" w:rsidP="00C406BB">
      <w:pPr>
        <w:numPr>
          <w:ilvl w:val="0"/>
          <w:numId w:val="22"/>
        </w:numPr>
        <w:jc w:val="both"/>
        <w:rPr>
          <w:rFonts w:ascii="Times New Roman" w:hAnsi="Times New Roman" w:cs="Times New Roman"/>
          <w:sz w:val="24"/>
          <w:szCs w:val="24"/>
        </w:rPr>
      </w:pPr>
      <w:r w:rsidRPr="00C406BB">
        <w:rPr>
          <w:rFonts w:ascii="Times New Roman" w:hAnsi="Times New Roman" w:cs="Times New Roman"/>
          <w:sz w:val="24"/>
          <w:szCs w:val="24"/>
        </w:rPr>
        <w:t>2007-2010: 6% annual growth (mature steady state)</w:t>
      </w:r>
    </w:p>
    <w:p w14:paraId="1F0C4504" w14:textId="77777777" w:rsidR="00521FEF" w:rsidRPr="00C406BB" w:rsidRDefault="00000000" w:rsidP="00C406BB">
      <w:pPr>
        <w:numPr>
          <w:ilvl w:val="0"/>
          <w:numId w:val="22"/>
        </w:numPr>
        <w:jc w:val="both"/>
        <w:rPr>
          <w:rFonts w:ascii="Times New Roman" w:hAnsi="Times New Roman" w:cs="Times New Roman"/>
          <w:sz w:val="24"/>
          <w:szCs w:val="24"/>
        </w:rPr>
      </w:pPr>
      <w:r w:rsidRPr="00C406BB">
        <w:rPr>
          <w:rFonts w:ascii="Times New Roman" w:hAnsi="Times New Roman" w:cs="Times New Roman"/>
          <w:sz w:val="24"/>
          <w:szCs w:val="24"/>
        </w:rPr>
        <w:t>Terminal growth rate: 3.5%</w:t>
      </w:r>
    </w:p>
    <w:p w14:paraId="34C073E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Margin Assumptions:</w:t>
      </w:r>
    </w:p>
    <w:p w14:paraId="562A8ABE" w14:textId="77777777" w:rsidR="00521FEF" w:rsidRPr="00C406BB" w:rsidRDefault="00000000" w:rsidP="00C406BB">
      <w:pPr>
        <w:numPr>
          <w:ilvl w:val="0"/>
          <w:numId w:val="23"/>
        </w:numPr>
        <w:jc w:val="both"/>
        <w:rPr>
          <w:rFonts w:ascii="Times New Roman" w:hAnsi="Times New Roman" w:cs="Times New Roman"/>
          <w:sz w:val="24"/>
          <w:szCs w:val="24"/>
        </w:rPr>
      </w:pPr>
      <w:r w:rsidRPr="00C406BB">
        <w:rPr>
          <w:rFonts w:ascii="Times New Roman" w:hAnsi="Times New Roman" w:cs="Times New Roman"/>
          <w:sz w:val="24"/>
          <w:szCs w:val="24"/>
        </w:rPr>
        <w:t>EBITDA margin: 28% (excluding goodwill amortization)</w:t>
      </w:r>
    </w:p>
    <w:p w14:paraId="391970DB" w14:textId="77777777" w:rsidR="00521FEF" w:rsidRPr="00C406BB" w:rsidRDefault="00000000" w:rsidP="00C406BB">
      <w:pPr>
        <w:numPr>
          <w:ilvl w:val="0"/>
          <w:numId w:val="23"/>
        </w:numPr>
        <w:jc w:val="both"/>
        <w:rPr>
          <w:rFonts w:ascii="Times New Roman" w:hAnsi="Times New Roman" w:cs="Times New Roman"/>
          <w:sz w:val="24"/>
          <w:szCs w:val="24"/>
        </w:rPr>
      </w:pPr>
      <w:r w:rsidRPr="00C406BB">
        <w:rPr>
          <w:rFonts w:ascii="Times New Roman" w:hAnsi="Times New Roman" w:cs="Times New Roman"/>
          <w:sz w:val="24"/>
          <w:szCs w:val="24"/>
        </w:rPr>
        <w:t>Tax rate: 35%</w:t>
      </w:r>
    </w:p>
    <w:p w14:paraId="200B4AEA" w14:textId="77777777" w:rsidR="00521FEF" w:rsidRPr="00C406BB" w:rsidRDefault="00000000" w:rsidP="00C406BB">
      <w:pPr>
        <w:numPr>
          <w:ilvl w:val="0"/>
          <w:numId w:val="23"/>
        </w:numPr>
        <w:jc w:val="both"/>
        <w:rPr>
          <w:rFonts w:ascii="Times New Roman" w:hAnsi="Times New Roman" w:cs="Times New Roman"/>
          <w:sz w:val="24"/>
          <w:szCs w:val="24"/>
        </w:rPr>
      </w:pPr>
      <w:r w:rsidRPr="00C406BB">
        <w:rPr>
          <w:rFonts w:ascii="Times New Roman" w:hAnsi="Times New Roman" w:cs="Times New Roman"/>
          <w:sz w:val="24"/>
          <w:szCs w:val="24"/>
        </w:rPr>
        <w:t>Capex: 10% of revenue (infrastructure investment)</w:t>
      </w:r>
    </w:p>
    <w:p w14:paraId="6C45C62D" w14:textId="77777777" w:rsidR="00521FEF" w:rsidRPr="00C406BB" w:rsidRDefault="00000000" w:rsidP="00C406BB">
      <w:pPr>
        <w:numPr>
          <w:ilvl w:val="0"/>
          <w:numId w:val="23"/>
        </w:numPr>
        <w:jc w:val="both"/>
        <w:rPr>
          <w:rFonts w:ascii="Times New Roman" w:hAnsi="Times New Roman" w:cs="Times New Roman"/>
          <w:sz w:val="24"/>
          <w:szCs w:val="24"/>
        </w:rPr>
      </w:pPr>
      <w:r w:rsidRPr="00C406BB">
        <w:rPr>
          <w:rFonts w:ascii="Times New Roman" w:hAnsi="Times New Roman" w:cs="Times New Roman"/>
          <w:sz w:val="24"/>
          <w:szCs w:val="24"/>
        </w:rPr>
        <w:t>Working capital: 2% revenue growth</w:t>
      </w:r>
    </w:p>
    <w:p w14:paraId="4BD09E0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Cost of Capital:</w:t>
      </w:r>
    </w:p>
    <w:p w14:paraId="1D4AC810"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hAnsi="Times New Roman" w:cs="Times New Roman"/>
          <w:sz w:val="24"/>
          <w:szCs w:val="24"/>
        </w:rPr>
        <w:t>Risk-free rate: 6.0% (10-year Treasury, early 2000)</w:t>
      </w:r>
    </w:p>
    <w:p w14:paraId="58E9C1A9"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hAnsi="Times New Roman" w:cs="Times New Roman"/>
          <w:sz w:val="24"/>
          <w:szCs w:val="24"/>
        </w:rPr>
        <w:t>Market risk premium: 5.5%</w:t>
      </w:r>
    </w:p>
    <w:p w14:paraId="1AB764E9"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hAnsi="Times New Roman" w:cs="Times New Roman"/>
          <w:sz w:val="24"/>
          <w:szCs w:val="24"/>
        </w:rPr>
        <w:t>Beta: 1.25 (between AOL's 1.5 and TW's 1.0)</w:t>
      </w:r>
    </w:p>
    <w:p w14:paraId="08A7036F"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eastAsia="Georgia" w:hAnsi="Times New Roman" w:cs="Times New Roman"/>
          <w:sz w:val="24"/>
          <w:szCs w:val="24"/>
        </w:rPr>
        <w:t>Cost of equity: 6.0% + (1.25 × 5.5%) = 12.9%</w:t>
      </w:r>
    </w:p>
    <w:p w14:paraId="0A3B6310"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hAnsi="Times New Roman" w:cs="Times New Roman"/>
          <w:sz w:val="24"/>
          <w:szCs w:val="24"/>
        </w:rPr>
        <w:t>After-tax cost of debt: 5.2%</w:t>
      </w:r>
    </w:p>
    <w:p w14:paraId="235416F5"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hAnsi="Times New Roman" w:cs="Times New Roman"/>
          <w:sz w:val="24"/>
          <w:szCs w:val="24"/>
        </w:rPr>
        <w:t>Target D/E ratio: 20%</w:t>
      </w:r>
    </w:p>
    <w:p w14:paraId="6C018D0B" w14:textId="77777777" w:rsidR="00521FEF" w:rsidRPr="00C406BB" w:rsidRDefault="00000000" w:rsidP="00C406BB">
      <w:pPr>
        <w:numPr>
          <w:ilvl w:val="0"/>
          <w:numId w:val="24"/>
        </w:numPr>
        <w:jc w:val="both"/>
        <w:rPr>
          <w:rFonts w:ascii="Times New Roman" w:hAnsi="Times New Roman" w:cs="Times New Roman"/>
          <w:sz w:val="24"/>
          <w:szCs w:val="24"/>
        </w:rPr>
      </w:pPr>
      <w:r w:rsidRPr="00C406BB">
        <w:rPr>
          <w:rFonts w:ascii="Times New Roman" w:eastAsia="Georgia" w:hAnsi="Times New Roman" w:cs="Times New Roman"/>
          <w:sz w:val="24"/>
          <w:szCs w:val="24"/>
        </w:rPr>
        <w:t>WACC: (80% × 12.9%) + (20% × 5.2%) = 11.4%</w:t>
      </w:r>
    </w:p>
    <w:p w14:paraId="020DC60C" w14:textId="77777777" w:rsidR="00780271" w:rsidRDefault="00780271">
      <w:pPr>
        <w:rPr>
          <w:rFonts w:ascii="Times New Roman" w:hAnsi="Times New Roman" w:cs="Times New Roman"/>
          <w:b/>
          <w:sz w:val="24"/>
          <w:szCs w:val="24"/>
        </w:rPr>
      </w:pPr>
      <w:r>
        <w:rPr>
          <w:rFonts w:ascii="Times New Roman" w:hAnsi="Times New Roman" w:cs="Times New Roman"/>
          <w:b/>
          <w:sz w:val="24"/>
          <w:szCs w:val="24"/>
        </w:rPr>
        <w:br w:type="page"/>
      </w:r>
    </w:p>
    <w:p w14:paraId="128CC93F" w14:textId="03AF95AD"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lastRenderedPageBreak/>
        <w:t>Free Cash Flow Projections:</w:t>
      </w:r>
    </w:p>
    <w:tbl>
      <w:tblPr>
        <w:tblStyle w:val="NormalGrid"/>
        <w:tblW w:w="0" w:type="auto"/>
        <w:jc w:val="center"/>
        <w:tblCellSpacing w:w="0" w:type="dxa"/>
        <w:tblLook w:val="04A0" w:firstRow="1" w:lastRow="0" w:firstColumn="1" w:lastColumn="0" w:noHBand="0" w:noVBand="1"/>
      </w:tblPr>
      <w:tblGrid>
        <w:gridCol w:w="1960"/>
        <w:gridCol w:w="820"/>
        <w:gridCol w:w="820"/>
        <w:gridCol w:w="820"/>
        <w:gridCol w:w="820"/>
        <w:gridCol w:w="820"/>
      </w:tblGrid>
      <w:tr w:rsidR="00521FEF" w:rsidRPr="00C406BB" w14:paraId="33EE4F1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E113F1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36AE40F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2001</w:t>
            </w:r>
          </w:p>
        </w:tc>
        <w:tc>
          <w:tcPr>
            <w:tcW w:w="0" w:type="auto"/>
            <w:tcBorders>
              <w:top w:val="single" w:sz="8" w:space="0" w:color="000000"/>
              <w:bottom w:val="single" w:sz="8" w:space="0" w:color="000000"/>
              <w:right w:val="single" w:sz="8" w:space="0" w:color="000000"/>
            </w:tcBorders>
            <w:vAlign w:val="center"/>
          </w:tcPr>
          <w:p w14:paraId="55FEA42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2002</w:t>
            </w:r>
          </w:p>
        </w:tc>
        <w:tc>
          <w:tcPr>
            <w:tcW w:w="0" w:type="auto"/>
            <w:tcBorders>
              <w:top w:val="single" w:sz="8" w:space="0" w:color="000000"/>
              <w:bottom w:val="single" w:sz="8" w:space="0" w:color="000000"/>
              <w:right w:val="single" w:sz="8" w:space="0" w:color="000000"/>
            </w:tcBorders>
            <w:vAlign w:val="center"/>
          </w:tcPr>
          <w:p w14:paraId="24ED8D3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2003</w:t>
            </w:r>
          </w:p>
        </w:tc>
        <w:tc>
          <w:tcPr>
            <w:tcW w:w="0" w:type="auto"/>
            <w:tcBorders>
              <w:top w:val="single" w:sz="8" w:space="0" w:color="000000"/>
              <w:bottom w:val="single" w:sz="8" w:space="0" w:color="000000"/>
              <w:right w:val="single" w:sz="8" w:space="0" w:color="000000"/>
            </w:tcBorders>
            <w:vAlign w:val="center"/>
          </w:tcPr>
          <w:p w14:paraId="484F77A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2004</w:t>
            </w:r>
          </w:p>
        </w:tc>
        <w:tc>
          <w:tcPr>
            <w:tcW w:w="0" w:type="auto"/>
            <w:tcBorders>
              <w:top w:val="single" w:sz="8" w:space="0" w:color="000000"/>
              <w:bottom w:val="single" w:sz="8" w:space="0" w:color="000000"/>
              <w:right w:val="single" w:sz="8" w:space="0" w:color="000000"/>
            </w:tcBorders>
            <w:vAlign w:val="center"/>
          </w:tcPr>
          <w:p w14:paraId="2BAD56F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2005</w:t>
            </w:r>
          </w:p>
        </w:tc>
      </w:tr>
      <w:tr w:rsidR="00521FEF" w:rsidRPr="00C406BB" w14:paraId="7C1B3979" w14:textId="77777777">
        <w:trPr>
          <w:cantSplit/>
          <w:tblCellSpacing w:w="0" w:type="dxa"/>
          <w:jc w:val="center"/>
        </w:trPr>
        <w:tc>
          <w:tcPr>
            <w:tcW w:w="0" w:type="auto"/>
            <w:tcBorders>
              <w:left w:val="single" w:sz="8" w:space="0" w:color="000000"/>
              <w:right w:val="single" w:sz="8" w:space="0" w:color="000000"/>
            </w:tcBorders>
            <w:vAlign w:val="center"/>
          </w:tcPr>
          <w:p w14:paraId="585E28B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Revenue ($B)</w:t>
            </w:r>
          </w:p>
        </w:tc>
        <w:tc>
          <w:tcPr>
            <w:tcW w:w="0" w:type="auto"/>
            <w:tcBorders>
              <w:right w:val="single" w:sz="8" w:space="0" w:color="000000"/>
            </w:tcBorders>
            <w:vAlign w:val="center"/>
          </w:tcPr>
          <w:p w14:paraId="2F4D914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40.7</w:t>
            </w:r>
          </w:p>
        </w:tc>
        <w:tc>
          <w:tcPr>
            <w:tcW w:w="0" w:type="auto"/>
            <w:tcBorders>
              <w:right w:val="single" w:sz="8" w:space="0" w:color="000000"/>
            </w:tcBorders>
            <w:vAlign w:val="center"/>
          </w:tcPr>
          <w:p w14:paraId="4DCB60F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46.8</w:t>
            </w:r>
          </w:p>
        </w:tc>
        <w:tc>
          <w:tcPr>
            <w:tcW w:w="0" w:type="auto"/>
            <w:tcBorders>
              <w:right w:val="single" w:sz="8" w:space="0" w:color="000000"/>
            </w:tcBorders>
            <w:vAlign w:val="center"/>
          </w:tcPr>
          <w:p w14:paraId="0E535CC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53.8</w:t>
            </w:r>
          </w:p>
        </w:tc>
        <w:tc>
          <w:tcPr>
            <w:tcW w:w="0" w:type="auto"/>
            <w:tcBorders>
              <w:right w:val="single" w:sz="8" w:space="0" w:color="000000"/>
            </w:tcBorders>
            <w:vAlign w:val="center"/>
          </w:tcPr>
          <w:p w14:paraId="2F1A82C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59.2</w:t>
            </w:r>
          </w:p>
        </w:tc>
        <w:tc>
          <w:tcPr>
            <w:tcW w:w="0" w:type="auto"/>
            <w:tcBorders>
              <w:right w:val="single" w:sz="8" w:space="0" w:color="000000"/>
            </w:tcBorders>
            <w:vAlign w:val="center"/>
          </w:tcPr>
          <w:p w14:paraId="2718C3C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65.1</w:t>
            </w:r>
          </w:p>
        </w:tc>
      </w:tr>
      <w:tr w:rsidR="00521FEF" w:rsidRPr="00C406BB" w14:paraId="17DEB0B2" w14:textId="77777777">
        <w:trPr>
          <w:cantSplit/>
          <w:tblCellSpacing w:w="0" w:type="dxa"/>
          <w:jc w:val="center"/>
        </w:trPr>
        <w:tc>
          <w:tcPr>
            <w:tcW w:w="0" w:type="auto"/>
            <w:tcBorders>
              <w:left w:val="single" w:sz="8" w:space="0" w:color="000000"/>
              <w:right w:val="single" w:sz="8" w:space="0" w:color="000000"/>
            </w:tcBorders>
            <w:vAlign w:val="center"/>
          </w:tcPr>
          <w:p w14:paraId="3B78E0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EBITDA ($B)</w:t>
            </w:r>
          </w:p>
        </w:tc>
        <w:tc>
          <w:tcPr>
            <w:tcW w:w="0" w:type="auto"/>
            <w:tcBorders>
              <w:right w:val="single" w:sz="8" w:space="0" w:color="000000"/>
            </w:tcBorders>
            <w:vAlign w:val="center"/>
          </w:tcPr>
          <w:p w14:paraId="273C022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11.4</w:t>
            </w:r>
          </w:p>
        </w:tc>
        <w:tc>
          <w:tcPr>
            <w:tcW w:w="0" w:type="auto"/>
            <w:tcBorders>
              <w:right w:val="single" w:sz="8" w:space="0" w:color="000000"/>
            </w:tcBorders>
            <w:vAlign w:val="center"/>
          </w:tcPr>
          <w:p w14:paraId="442A43D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13.1</w:t>
            </w:r>
          </w:p>
        </w:tc>
        <w:tc>
          <w:tcPr>
            <w:tcW w:w="0" w:type="auto"/>
            <w:tcBorders>
              <w:right w:val="single" w:sz="8" w:space="0" w:color="000000"/>
            </w:tcBorders>
            <w:vAlign w:val="center"/>
          </w:tcPr>
          <w:p w14:paraId="247879A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15.1</w:t>
            </w:r>
          </w:p>
        </w:tc>
        <w:tc>
          <w:tcPr>
            <w:tcW w:w="0" w:type="auto"/>
            <w:tcBorders>
              <w:right w:val="single" w:sz="8" w:space="0" w:color="000000"/>
            </w:tcBorders>
            <w:vAlign w:val="center"/>
          </w:tcPr>
          <w:p w14:paraId="3CDEBAA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16.6</w:t>
            </w:r>
          </w:p>
        </w:tc>
        <w:tc>
          <w:tcPr>
            <w:tcW w:w="0" w:type="auto"/>
            <w:tcBorders>
              <w:right w:val="single" w:sz="8" w:space="0" w:color="000000"/>
            </w:tcBorders>
            <w:vAlign w:val="center"/>
          </w:tcPr>
          <w:p w14:paraId="47AB761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18.2</w:t>
            </w:r>
          </w:p>
        </w:tc>
      </w:tr>
      <w:tr w:rsidR="00521FEF" w:rsidRPr="00C406BB" w14:paraId="48188E7A" w14:textId="77777777">
        <w:trPr>
          <w:cantSplit/>
          <w:tblCellSpacing w:w="0" w:type="dxa"/>
          <w:jc w:val="center"/>
        </w:trPr>
        <w:tc>
          <w:tcPr>
            <w:tcW w:w="0" w:type="auto"/>
            <w:tcBorders>
              <w:left w:val="single" w:sz="8" w:space="0" w:color="000000"/>
              <w:right w:val="single" w:sz="8" w:space="0" w:color="000000"/>
            </w:tcBorders>
            <w:vAlign w:val="center"/>
          </w:tcPr>
          <w:p w14:paraId="552D49B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Less: D&amp;A</w:t>
            </w:r>
          </w:p>
        </w:tc>
        <w:tc>
          <w:tcPr>
            <w:tcW w:w="0" w:type="auto"/>
            <w:tcBorders>
              <w:right w:val="single" w:sz="8" w:space="0" w:color="000000"/>
            </w:tcBorders>
            <w:vAlign w:val="center"/>
          </w:tcPr>
          <w:p w14:paraId="457111D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w:t>
            </w:r>
          </w:p>
        </w:tc>
        <w:tc>
          <w:tcPr>
            <w:tcW w:w="0" w:type="auto"/>
            <w:tcBorders>
              <w:right w:val="single" w:sz="8" w:space="0" w:color="000000"/>
            </w:tcBorders>
            <w:vAlign w:val="center"/>
          </w:tcPr>
          <w:p w14:paraId="1DC77A8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c>
          <w:tcPr>
            <w:tcW w:w="0" w:type="auto"/>
            <w:tcBorders>
              <w:right w:val="single" w:sz="8" w:space="0" w:color="000000"/>
            </w:tcBorders>
            <w:vAlign w:val="center"/>
          </w:tcPr>
          <w:p w14:paraId="08B4FAD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(3.7)</w:t>
            </w:r>
          </w:p>
        </w:tc>
        <w:tc>
          <w:tcPr>
            <w:tcW w:w="0" w:type="auto"/>
            <w:tcBorders>
              <w:right w:val="single" w:sz="8" w:space="0" w:color="000000"/>
            </w:tcBorders>
            <w:vAlign w:val="center"/>
          </w:tcPr>
          <w:p w14:paraId="2208DE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w:t>
            </w:r>
          </w:p>
        </w:tc>
        <w:tc>
          <w:tcPr>
            <w:tcW w:w="0" w:type="auto"/>
            <w:tcBorders>
              <w:right w:val="single" w:sz="8" w:space="0" w:color="000000"/>
            </w:tcBorders>
            <w:vAlign w:val="center"/>
          </w:tcPr>
          <w:p w14:paraId="49471C6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w:t>
            </w:r>
          </w:p>
        </w:tc>
      </w:tr>
      <w:tr w:rsidR="00521FEF" w:rsidRPr="00C406BB" w14:paraId="444165E7" w14:textId="77777777">
        <w:trPr>
          <w:cantSplit/>
          <w:tblCellSpacing w:w="0" w:type="dxa"/>
          <w:jc w:val="center"/>
        </w:trPr>
        <w:tc>
          <w:tcPr>
            <w:tcW w:w="0" w:type="auto"/>
            <w:tcBorders>
              <w:left w:val="single" w:sz="8" w:space="0" w:color="000000"/>
              <w:right w:val="single" w:sz="8" w:space="0" w:color="000000"/>
            </w:tcBorders>
            <w:vAlign w:val="center"/>
          </w:tcPr>
          <w:p w14:paraId="711EC4F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EBIT</w:t>
            </w:r>
          </w:p>
        </w:tc>
        <w:tc>
          <w:tcPr>
            <w:tcW w:w="0" w:type="auto"/>
            <w:tcBorders>
              <w:right w:val="single" w:sz="8" w:space="0" w:color="000000"/>
            </w:tcBorders>
            <w:vAlign w:val="center"/>
          </w:tcPr>
          <w:p w14:paraId="4477587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8.6</w:t>
            </w:r>
          </w:p>
        </w:tc>
        <w:tc>
          <w:tcPr>
            <w:tcW w:w="0" w:type="auto"/>
            <w:tcBorders>
              <w:right w:val="single" w:sz="8" w:space="0" w:color="000000"/>
            </w:tcBorders>
            <w:vAlign w:val="center"/>
          </w:tcPr>
          <w:p w14:paraId="3189257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9.9</w:t>
            </w:r>
          </w:p>
        </w:tc>
        <w:tc>
          <w:tcPr>
            <w:tcW w:w="0" w:type="auto"/>
            <w:tcBorders>
              <w:right w:val="single" w:sz="8" w:space="0" w:color="000000"/>
            </w:tcBorders>
            <w:vAlign w:val="center"/>
          </w:tcPr>
          <w:p w14:paraId="756E4E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11.4</w:t>
            </w:r>
          </w:p>
        </w:tc>
        <w:tc>
          <w:tcPr>
            <w:tcW w:w="0" w:type="auto"/>
            <w:tcBorders>
              <w:right w:val="single" w:sz="8" w:space="0" w:color="000000"/>
            </w:tcBorders>
            <w:vAlign w:val="center"/>
          </w:tcPr>
          <w:p w14:paraId="23D76D2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12.5</w:t>
            </w:r>
          </w:p>
        </w:tc>
        <w:tc>
          <w:tcPr>
            <w:tcW w:w="0" w:type="auto"/>
            <w:tcBorders>
              <w:right w:val="single" w:sz="8" w:space="0" w:color="000000"/>
            </w:tcBorders>
            <w:vAlign w:val="center"/>
          </w:tcPr>
          <w:p w14:paraId="1A83903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13.7</w:t>
            </w:r>
          </w:p>
        </w:tc>
      </w:tr>
      <w:tr w:rsidR="00521FEF" w:rsidRPr="00C406BB" w14:paraId="22E60DE1" w14:textId="77777777">
        <w:trPr>
          <w:cantSplit/>
          <w:tblCellSpacing w:w="0" w:type="dxa"/>
          <w:jc w:val="center"/>
        </w:trPr>
        <w:tc>
          <w:tcPr>
            <w:tcW w:w="0" w:type="auto"/>
            <w:tcBorders>
              <w:left w:val="single" w:sz="8" w:space="0" w:color="000000"/>
              <w:right w:val="single" w:sz="8" w:space="0" w:color="000000"/>
            </w:tcBorders>
            <w:vAlign w:val="center"/>
          </w:tcPr>
          <w:p w14:paraId="1BEF1E6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Less: Tax (35%)</w:t>
            </w:r>
          </w:p>
        </w:tc>
        <w:tc>
          <w:tcPr>
            <w:tcW w:w="0" w:type="auto"/>
            <w:tcBorders>
              <w:right w:val="single" w:sz="8" w:space="0" w:color="000000"/>
            </w:tcBorders>
            <w:vAlign w:val="center"/>
          </w:tcPr>
          <w:p w14:paraId="3F6EBD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(3.0)</w:t>
            </w:r>
          </w:p>
        </w:tc>
        <w:tc>
          <w:tcPr>
            <w:tcW w:w="0" w:type="auto"/>
            <w:tcBorders>
              <w:right w:val="single" w:sz="8" w:space="0" w:color="000000"/>
            </w:tcBorders>
            <w:vAlign w:val="center"/>
          </w:tcPr>
          <w:p w14:paraId="167BB24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w:t>
            </w:r>
          </w:p>
        </w:tc>
        <w:tc>
          <w:tcPr>
            <w:tcW w:w="0" w:type="auto"/>
            <w:tcBorders>
              <w:right w:val="single" w:sz="8" w:space="0" w:color="000000"/>
            </w:tcBorders>
            <w:vAlign w:val="center"/>
          </w:tcPr>
          <w:p w14:paraId="22735B6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(4.0)</w:t>
            </w:r>
          </w:p>
        </w:tc>
        <w:tc>
          <w:tcPr>
            <w:tcW w:w="0" w:type="auto"/>
            <w:tcBorders>
              <w:right w:val="single" w:sz="8" w:space="0" w:color="000000"/>
            </w:tcBorders>
            <w:vAlign w:val="center"/>
          </w:tcPr>
          <w:p w14:paraId="3E868A2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(4.4)</w:t>
            </w:r>
          </w:p>
        </w:tc>
        <w:tc>
          <w:tcPr>
            <w:tcW w:w="0" w:type="auto"/>
            <w:tcBorders>
              <w:right w:val="single" w:sz="8" w:space="0" w:color="000000"/>
            </w:tcBorders>
            <w:vAlign w:val="center"/>
          </w:tcPr>
          <w:p w14:paraId="4A6F178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(4.8)</w:t>
            </w:r>
          </w:p>
        </w:tc>
      </w:tr>
      <w:tr w:rsidR="00521FEF" w:rsidRPr="00C406BB" w14:paraId="7AA0A514" w14:textId="77777777">
        <w:trPr>
          <w:cantSplit/>
          <w:tblCellSpacing w:w="0" w:type="dxa"/>
          <w:jc w:val="center"/>
        </w:trPr>
        <w:tc>
          <w:tcPr>
            <w:tcW w:w="0" w:type="auto"/>
            <w:tcBorders>
              <w:left w:val="single" w:sz="8" w:space="0" w:color="000000"/>
              <w:right w:val="single" w:sz="8" w:space="0" w:color="000000"/>
            </w:tcBorders>
            <w:vAlign w:val="center"/>
          </w:tcPr>
          <w:p w14:paraId="6EAF2B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NOPAT</w:t>
            </w:r>
          </w:p>
        </w:tc>
        <w:tc>
          <w:tcPr>
            <w:tcW w:w="0" w:type="auto"/>
            <w:tcBorders>
              <w:right w:val="single" w:sz="8" w:space="0" w:color="000000"/>
            </w:tcBorders>
            <w:vAlign w:val="center"/>
          </w:tcPr>
          <w:p w14:paraId="5135365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5.6</w:t>
            </w:r>
          </w:p>
        </w:tc>
        <w:tc>
          <w:tcPr>
            <w:tcW w:w="0" w:type="auto"/>
            <w:tcBorders>
              <w:right w:val="single" w:sz="8" w:space="0" w:color="000000"/>
            </w:tcBorders>
            <w:vAlign w:val="center"/>
          </w:tcPr>
          <w:p w14:paraId="017231E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6.4</w:t>
            </w:r>
          </w:p>
        </w:tc>
        <w:tc>
          <w:tcPr>
            <w:tcW w:w="0" w:type="auto"/>
            <w:tcBorders>
              <w:right w:val="single" w:sz="8" w:space="0" w:color="000000"/>
            </w:tcBorders>
            <w:vAlign w:val="center"/>
          </w:tcPr>
          <w:p w14:paraId="14F00D6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7.4</w:t>
            </w:r>
          </w:p>
        </w:tc>
        <w:tc>
          <w:tcPr>
            <w:tcW w:w="0" w:type="auto"/>
            <w:tcBorders>
              <w:right w:val="single" w:sz="8" w:space="0" w:color="000000"/>
            </w:tcBorders>
            <w:vAlign w:val="center"/>
          </w:tcPr>
          <w:p w14:paraId="5840117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8.1</w:t>
            </w:r>
          </w:p>
        </w:tc>
        <w:tc>
          <w:tcPr>
            <w:tcW w:w="0" w:type="auto"/>
            <w:tcBorders>
              <w:right w:val="single" w:sz="8" w:space="0" w:color="000000"/>
            </w:tcBorders>
            <w:vAlign w:val="center"/>
          </w:tcPr>
          <w:p w14:paraId="2CEC26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8.9</w:t>
            </w:r>
          </w:p>
        </w:tc>
      </w:tr>
      <w:tr w:rsidR="00521FEF" w:rsidRPr="00C406BB" w14:paraId="42837FB0" w14:textId="77777777">
        <w:trPr>
          <w:cantSplit/>
          <w:tblCellSpacing w:w="0" w:type="dxa"/>
          <w:jc w:val="center"/>
        </w:trPr>
        <w:tc>
          <w:tcPr>
            <w:tcW w:w="0" w:type="auto"/>
            <w:tcBorders>
              <w:left w:val="single" w:sz="8" w:space="0" w:color="000000"/>
              <w:right w:val="single" w:sz="8" w:space="0" w:color="000000"/>
            </w:tcBorders>
            <w:vAlign w:val="center"/>
          </w:tcPr>
          <w:p w14:paraId="7FE9E30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Plus: D&amp;A</w:t>
            </w:r>
          </w:p>
        </w:tc>
        <w:tc>
          <w:tcPr>
            <w:tcW w:w="0" w:type="auto"/>
            <w:tcBorders>
              <w:right w:val="single" w:sz="8" w:space="0" w:color="000000"/>
            </w:tcBorders>
            <w:vAlign w:val="center"/>
          </w:tcPr>
          <w:p w14:paraId="4AB8746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w:t>
            </w:r>
          </w:p>
        </w:tc>
        <w:tc>
          <w:tcPr>
            <w:tcW w:w="0" w:type="auto"/>
            <w:tcBorders>
              <w:right w:val="single" w:sz="8" w:space="0" w:color="000000"/>
            </w:tcBorders>
            <w:vAlign w:val="center"/>
          </w:tcPr>
          <w:p w14:paraId="2156E8B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w:t>
            </w:r>
          </w:p>
        </w:tc>
        <w:tc>
          <w:tcPr>
            <w:tcW w:w="0" w:type="auto"/>
            <w:tcBorders>
              <w:right w:val="single" w:sz="8" w:space="0" w:color="000000"/>
            </w:tcBorders>
            <w:vAlign w:val="center"/>
          </w:tcPr>
          <w:p w14:paraId="1E2B798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3.7</w:t>
            </w:r>
          </w:p>
        </w:tc>
        <w:tc>
          <w:tcPr>
            <w:tcW w:w="0" w:type="auto"/>
            <w:tcBorders>
              <w:right w:val="single" w:sz="8" w:space="0" w:color="000000"/>
            </w:tcBorders>
            <w:vAlign w:val="center"/>
          </w:tcPr>
          <w:p w14:paraId="04E1BB8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w:t>
            </w:r>
          </w:p>
        </w:tc>
        <w:tc>
          <w:tcPr>
            <w:tcW w:w="0" w:type="auto"/>
            <w:tcBorders>
              <w:right w:val="single" w:sz="8" w:space="0" w:color="000000"/>
            </w:tcBorders>
            <w:vAlign w:val="center"/>
          </w:tcPr>
          <w:p w14:paraId="62E33C0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w:t>
            </w:r>
          </w:p>
        </w:tc>
      </w:tr>
      <w:tr w:rsidR="00521FEF" w:rsidRPr="00C406BB" w14:paraId="6A7BDED2" w14:textId="77777777">
        <w:trPr>
          <w:cantSplit/>
          <w:tblCellSpacing w:w="0" w:type="dxa"/>
          <w:jc w:val="center"/>
        </w:trPr>
        <w:tc>
          <w:tcPr>
            <w:tcW w:w="0" w:type="auto"/>
            <w:tcBorders>
              <w:left w:val="single" w:sz="8" w:space="0" w:color="000000"/>
              <w:right w:val="single" w:sz="8" w:space="0" w:color="000000"/>
            </w:tcBorders>
            <w:vAlign w:val="center"/>
          </w:tcPr>
          <w:p w14:paraId="49C648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Less: Capex</w:t>
            </w:r>
          </w:p>
        </w:tc>
        <w:tc>
          <w:tcPr>
            <w:tcW w:w="0" w:type="auto"/>
            <w:tcBorders>
              <w:right w:val="single" w:sz="8" w:space="0" w:color="000000"/>
            </w:tcBorders>
            <w:vAlign w:val="center"/>
          </w:tcPr>
          <w:p w14:paraId="56E8523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w:t>
            </w:r>
          </w:p>
        </w:tc>
        <w:tc>
          <w:tcPr>
            <w:tcW w:w="0" w:type="auto"/>
            <w:tcBorders>
              <w:right w:val="single" w:sz="8" w:space="0" w:color="000000"/>
            </w:tcBorders>
            <w:vAlign w:val="center"/>
          </w:tcPr>
          <w:p w14:paraId="29A7B31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(4.7)</w:t>
            </w:r>
          </w:p>
        </w:tc>
        <w:tc>
          <w:tcPr>
            <w:tcW w:w="0" w:type="auto"/>
            <w:tcBorders>
              <w:right w:val="single" w:sz="8" w:space="0" w:color="000000"/>
            </w:tcBorders>
            <w:vAlign w:val="center"/>
          </w:tcPr>
          <w:p w14:paraId="218E7DC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(5.4)</w:t>
            </w:r>
          </w:p>
        </w:tc>
        <w:tc>
          <w:tcPr>
            <w:tcW w:w="0" w:type="auto"/>
            <w:tcBorders>
              <w:right w:val="single" w:sz="8" w:space="0" w:color="000000"/>
            </w:tcBorders>
            <w:vAlign w:val="center"/>
          </w:tcPr>
          <w:p w14:paraId="727B2D6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(5.9)</w:t>
            </w:r>
          </w:p>
        </w:tc>
        <w:tc>
          <w:tcPr>
            <w:tcW w:w="0" w:type="auto"/>
            <w:tcBorders>
              <w:right w:val="single" w:sz="8" w:space="0" w:color="000000"/>
            </w:tcBorders>
            <w:vAlign w:val="center"/>
          </w:tcPr>
          <w:p w14:paraId="7A88BB0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(6.5)</w:t>
            </w:r>
          </w:p>
        </w:tc>
      </w:tr>
      <w:tr w:rsidR="00521FEF" w:rsidRPr="00C406BB" w14:paraId="1CBDC8E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20120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 xml:space="preserve">Less: </w:t>
            </w:r>
            <m:oMath>
              <m:r>
                <m:rPr>
                  <m:sty m:val="p"/>
                </m:rPr>
                <w:rPr>
                  <w:rFonts w:ascii="Cambria Math" w:hAnsi="Cambria Math" w:cs="Times New Roman"/>
                  <w:sz w:val="24"/>
                  <w:szCs w:val="24"/>
                </w:rPr>
                <m:t>Δ</m:t>
              </m:r>
            </m:oMath>
            <w:r w:rsidRPr="00C406BB">
              <w:rPr>
                <w:rFonts w:ascii="Times New Roman" w:hAnsi="Times New Roman" w:cs="Times New Roman"/>
                <w:sz w:val="24"/>
                <w:szCs w:val="24"/>
              </w:rPr>
              <w:t>WC</w:t>
            </w:r>
          </w:p>
        </w:tc>
        <w:tc>
          <w:tcPr>
            <w:tcW w:w="0" w:type="auto"/>
            <w:tcBorders>
              <w:bottom w:val="single" w:sz="8" w:space="0" w:color="000000"/>
              <w:right w:val="single" w:sz="8" w:space="0" w:color="000000"/>
            </w:tcBorders>
            <w:vAlign w:val="center"/>
          </w:tcPr>
          <w:p w14:paraId="42616EE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(0.3)</w:t>
            </w:r>
          </w:p>
        </w:tc>
        <w:tc>
          <w:tcPr>
            <w:tcW w:w="0" w:type="auto"/>
            <w:tcBorders>
              <w:bottom w:val="single" w:sz="8" w:space="0" w:color="000000"/>
              <w:right w:val="single" w:sz="8" w:space="0" w:color="000000"/>
            </w:tcBorders>
            <w:vAlign w:val="center"/>
          </w:tcPr>
          <w:p w14:paraId="2EE8D9F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(0.4)</w:t>
            </w:r>
          </w:p>
        </w:tc>
        <w:tc>
          <w:tcPr>
            <w:tcW w:w="0" w:type="auto"/>
            <w:tcBorders>
              <w:bottom w:val="single" w:sz="8" w:space="0" w:color="000000"/>
              <w:right w:val="single" w:sz="8" w:space="0" w:color="000000"/>
            </w:tcBorders>
            <w:vAlign w:val="center"/>
          </w:tcPr>
          <w:p w14:paraId="35FE426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(0.4)</w:t>
            </w:r>
          </w:p>
        </w:tc>
        <w:tc>
          <w:tcPr>
            <w:tcW w:w="0" w:type="auto"/>
            <w:tcBorders>
              <w:bottom w:val="single" w:sz="8" w:space="0" w:color="000000"/>
              <w:right w:val="single" w:sz="8" w:space="0" w:color="000000"/>
            </w:tcBorders>
            <w:vAlign w:val="center"/>
          </w:tcPr>
          <w:p w14:paraId="76463E4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(0.3)</w:t>
            </w:r>
          </w:p>
        </w:tc>
        <w:tc>
          <w:tcPr>
            <w:tcW w:w="0" w:type="auto"/>
            <w:tcBorders>
              <w:bottom w:val="single" w:sz="8" w:space="0" w:color="000000"/>
              <w:right w:val="single" w:sz="8" w:space="0" w:color="000000"/>
            </w:tcBorders>
            <w:vAlign w:val="center"/>
          </w:tcPr>
          <w:p w14:paraId="7FD1552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(0.4)</w:t>
            </w:r>
          </w:p>
        </w:tc>
      </w:tr>
      <w:tr w:rsidR="00521FEF" w:rsidRPr="00C406BB" w14:paraId="6D68B4E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D16E9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FCF</w:t>
            </w:r>
          </w:p>
        </w:tc>
        <w:tc>
          <w:tcPr>
            <w:tcW w:w="0" w:type="auto"/>
            <w:tcBorders>
              <w:bottom w:val="single" w:sz="8" w:space="0" w:color="000000"/>
              <w:right w:val="single" w:sz="8" w:space="0" w:color="000000"/>
            </w:tcBorders>
            <w:vAlign w:val="center"/>
          </w:tcPr>
          <w:p w14:paraId="788C1F1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4.0</w:t>
            </w:r>
          </w:p>
        </w:tc>
        <w:tc>
          <w:tcPr>
            <w:tcW w:w="0" w:type="auto"/>
            <w:tcBorders>
              <w:bottom w:val="single" w:sz="8" w:space="0" w:color="000000"/>
              <w:right w:val="single" w:sz="8" w:space="0" w:color="000000"/>
            </w:tcBorders>
            <w:vAlign w:val="center"/>
          </w:tcPr>
          <w:p w14:paraId="3291DB2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w:t>
            </w:r>
          </w:p>
        </w:tc>
        <w:tc>
          <w:tcPr>
            <w:tcW w:w="0" w:type="auto"/>
            <w:tcBorders>
              <w:bottom w:val="single" w:sz="8" w:space="0" w:color="000000"/>
              <w:right w:val="single" w:sz="8" w:space="0" w:color="000000"/>
            </w:tcBorders>
            <w:vAlign w:val="center"/>
          </w:tcPr>
          <w:p w14:paraId="2091FFC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5.3</w:t>
            </w:r>
          </w:p>
        </w:tc>
        <w:tc>
          <w:tcPr>
            <w:tcW w:w="0" w:type="auto"/>
            <w:tcBorders>
              <w:bottom w:val="single" w:sz="8" w:space="0" w:color="000000"/>
              <w:right w:val="single" w:sz="8" w:space="0" w:color="000000"/>
            </w:tcBorders>
            <w:vAlign w:val="center"/>
          </w:tcPr>
          <w:p w14:paraId="1C0E322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5.9</w:t>
            </w:r>
          </w:p>
        </w:tc>
        <w:tc>
          <w:tcPr>
            <w:tcW w:w="0" w:type="auto"/>
            <w:tcBorders>
              <w:bottom w:val="single" w:sz="8" w:space="0" w:color="000000"/>
              <w:right w:val="single" w:sz="8" w:space="0" w:color="000000"/>
            </w:tcBorders>
            <w:vAlign w:val="center"/>
          </w:tcPr>
          <w:p w14:paraId="67A62F1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6.5</w:t>
            </w:r>
          </w:p>
        </w:tc>
      </w:tr>
    </w:tbl>
    <w:p w14:paraId="64F018CB" w14:textId="77777777" w:rsidR="00521FEF" w:rsidRPr="00C406BB" w:rsidRDefault="00521FEF" w:rsidP="00C406BB">
      <w:pPr>
        <w:jc w:val="both"/>
        <w:rPr>
          <w:rFonts w:ascii="Times New Roman" w:hAnsi="Times New Roman" w:cs="Times New Roman"/>
          <w:sz w:val="24"/>
          <w:szCs w:val="24"/>
        </w:rPr>
      </w:pPr>
    </w:p>
    <w:p w14:paraId="69F403B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26: Free Cash Flow Projections ($ billions)</w:t>
      </w:r>
    </w:p>
    <w:p w14:paraId="513FEA8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Terminal Value Calculation:</w:t>
      </w:r>
    </w:p>
    <w:p w14:paraId="1C1650AF"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Terminal FCF (2011)</m:t>
          </m:r>
          <m:r>
            <m:rPr>
              <m:sty m:val="p"/>
            </m:rPr>
            <w:rPr>
              <w:rFonts w:ascii="Cambria Math" w:hAnsi="Cambria Math" w:cs="Times New Roman"/>
              <w:sz w:val="24"/>
              <w:szCs w:val="24"/>
            </w:rPr>
            <m:t>=$8.9</m:t>
          </m:r>
          <m:r>
            <w:rPr>
              <w:rFonts w:ascii="Cambria Math" w:hAnsi="Cambria Math" w:cs="Times New Roman"/>
              <w:sz w:val="24"/>
              <w:szCs w:val="24"/>
            </w:rPr>
            <m:t>B</m:t>
          </m:r>
          <m:r>
            <m:rPr>
              <m:sty m:val="p"/>
            </m:rPr>
            <w:rPr>
              <w:rFonts w:ascii="Cambria Math" w:hAnsi="Cambria Math" w:cs="Times New Roman"/>
              <w:sz w:val="24"/>
              <w:szCs w:val="24"/>
            </w:rPr>
            <m:t>×(1+3.5%)=$9.2</m:t>
          </m:r>
          <m:r>
            <w:rPr>
              <w:rFonts w:ascii="Cambria Math" w:hAnsi="Cambria Math" w:cs="Times New Roman"/>
              <w:sz w:val="24"/>
              <w:szCs w:val="24"/>
            </w:rPr>
            <m:t>B</m:t>
          </m:r>
        </m:oMath>
      </m:oMathPara>
    </w:p>
    <w:p w14:paraId="1F221029"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Terminal Value</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$9.2</m:t>
              </m:r>
              <m:r>
                <w:rPr>
                  <w:rFonts w:ascii="Cambria Math" w:hAnsi="Cambria Math" w:cs="Times New Roman"/>
                  <w:sz w:val="24"/>
                  <w:szCs w:val="24"/>
                </w:rPr>
                <m:t>B</m:t>
              </m:r>
            </m:num>
            <m:den>
              <m:r>
                <m:rPr>
                  <m:sty m:val="p"/>
                </m:rPr>
                <w:rPr>
                  <w:rFonts w:ascii="Cambria Math" w:hAnsi="Cambria Math" w:cs="Times New Roman"/>
                  <w:sz w:val="24"/>
                  <w:szCs w:val="24"/>
                </w:rPr>
                <m:t>11.4%-3.5%</m:t>
              </m:r>
            </m:den>
          </m:f>
          <m:r>
            <m:rPr>
              <m:sty m:val="p"/>
            </m:rPr>
            <w:rPr>
              <w:rFonts w:ascii="Cambria Math" w:hAnsi="Cambria Math" w:cs="Times New Roman"/>
              <w:sz w:val="24"/>
              <w:szCs w:val="24"/>
            </w:rPr>
            <m:t>=$116.5</m:t>
          </m:r>
          <m:r>
            <w:rPr>
              <w:rFonts w:ascii="Cambria Math" w:hAnsi="Cambria Math" w:cs="Times New Roman"/>
              <w:sz w:val="24"/>
              <w:szCs w:val="24"/>
            </w:rPr>
            <m:t>B</m:t>
          </m:r>
        </m:oMath>
      </m:oMathPara>
    </w:p>
    <w:p w14:paraId="78D2AC6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Present Value Calculation:</w:t>
      </w:r>
    </w:p>
    <w:tbl>
      <w:tblPr>
        <w:tblStyle w:val="NormalGrid"/>
        <w:tblW w:w="0" w:type="auto"/>
        <w:jc w:val="center"/>
        <w:tblCellSpacing w:w="0" w:type="dxa"/>
        <w:tblLook w:val="04A0" w:firstRow="1" w:lastRow="0" w:firstColumn="1" w:lastColumn="0" w:noHBand="0" w:noVBand="1"/>
      </w:tblPr>
      <w:tblGrid>
        <w:gridCol w:w="1980"/>
        <w:gridCol w:w="1267"/>
        <w:gridCol w:w="1880"/>
        <w:gridCol w:w="1147"/>
      </w:tblGrid>
      <w:tr w:rsidR="00521FEF" w:rsidRPr="00C406BB" w14:paraId="412BB5E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52D4F3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7644388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FCF ($B)</w:t>
            </w:r>
          </w:p>
        </w:tc>
        <w:tc>
          <w:tcPr>
            <w:tcW w:w="0" w:type="auto"/>
            <w:tcBorders>
              <w:top w:val="single" w:sz="8" w:space="0" w:color="000000"/>
              <w:bottom w:val="single" w:sz="8" w:space="0" w:color="000000"/>
              <w:right w:val="single" w:sz="8" w:space="0" w:color="000000"/>
            </w:tcBorders>
            <w:vAlign w:val="center"/>
          </w:tcPr>
          <w:p w14:paraId="323AA86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Discount Factor</w:t>
            </w:r>
          </w:p>
        </w:tc>
        <w:tc>
          <w:tcPr>
            <w:tcW w:w="0" w:type="auto"/>
            <w:tcBorders>
              <w:top w:val="single" w:sz="8" w:space="0" w:color="000000"/>
              <w:bottom w:val="single" w:sz="8" w:space="0" w:color="000000"/>
              <w:right w:val="single" w:sz="8" w:space="0" w:color="000000"/>
            </w:tcBorders>
            <w:vAlign w:val="center"/>
          </w:tcPr>
          <w:p w14:paraId="0F5B6B2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PV ($B)</w:t>
            </w:r>
          </w:p>
        </w:tc>
      </w:tr>
      <w:tr w:rsidR="00521FEF" w:rsidRPr="00C406BB" w14:paraId="0719589A" w14:textId="77777777">
        <w:trPr>
          <w:cantSplit/>
          <w:tblCellSpacing w:w="0" w:type="dxa"/>
          <w:jc w:val="center"/>
        </w:trPr>
        <w:tc>
          <w:tcPr>
            <w:tcW w:w="0" w:type="auto"/>
            <w:tcBorders>
              <w:left w:val="single" w:sz="8" w:space="0" w:color="000000"/>
              <w:right w:val="single" w:sz="8" w:space="0" w:color="000000"/>
            </w:tcBorders>
            <w:vAlign w:val="center"/>
          </w:tcPr>
          <w:p w14:paraId="44EE31D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2001</w:t>
            </w:r>
          </w:p>
        </w:tc>
        <w:tc>
          <w:tcPr>
            <w:tcW w:w="0" w:type="auto"/>
            <w:tcBorders>
              <w:right w:val="single" w:sz="8" w:space="0" w:color="000000"/>
            </w:tcBorders>
            <w:vAlign w:val="center"/>
          </w:tcPr>
          <w:p w14:paraId="00FBC80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4.0</w:t>
            </w:r>
          </w:p>
        </w:tc>
        <w:tc>
          <w:tcPr>
            <w:tcW w:w="0" w:type="auto"/>
            <w:tcBorders>
              <w:right w:val="single" w:sz="8" w:space="0" w:color="000000"/>
            </w:tcBorders>
            <w:vAlign w:val="center"/>
          </w:tcPr>
          <w:p w14:paraId="563649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0.898</w:t>
            </w:r>
          </w:p>
        </w:tc>
        <w:tc>
          <w:tcPr>
            <w:tcW w:w="0" w:type="auto"/>
            <w:tcBorders>
              <w:right w:val="single" w:sz="8" w:space="0" w:color="000000"/>
            </w:tcBorders>
            <w:vAlign w:val="center"/>
          </w:tcPr>
          <w:p w14:paraId="7BA514B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3.6</w:t>
            </w:r>
          </w:p>
        </w:tc>
      </w:tr>
      <w:tr w:rsidR="00521FEF" w:rsidRPr="00C406BB" w14:paraId="5E19BC59" w14:textId="77777777">
        <w:trPr>
          <w:cantSplit/>
          <w:tblCellSpacing w:w="0" w:type="dxa"/>
          <w:jc w:val="center"/>
        </w:trPr>
        <w:tc>
          <w:tcPr>
            <w:tcW w:w="0" w:type="auto"/>
            <w:tcBorders>
              <w:left w:val="single" w:sz="8" w:space="0" w:color="000000"/>
              <w:right w:val="single" w:sz="8" w:space="0" w:color="000000"/>
            </w:tcBorders>
            <w:vAlign w:val="center"/>
          </w:tcPr>
          <w:p w14:paraId="7268B96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2002</w:t>
            </w:r>
          </w:p>
        </w:tc>
        <w:tc>
          <w:tcPr>
            <w:tcW w:w="0" w:type="auto"/>
            <w:tcBorders>
              <w:right w:val="single" w:sz="8" w:space="0" w:color="000000"/>
            </w:tcBorders>
            <w:vAlign w:val="center"/>
          </w:tcPr>
          <w:p w14:paraId="369E6E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4.5</w:t>
            </w:r>
          </w:p>
        </w:tc>
        <w:tc>
          <w:tcPr>
            <w:tcW w:w="0" w:type="auto"/>
            <w:tcBorders>
              <w:right w:val="single" w:sz="8" w:space="0" w:color="000000"/>
            </w:tcBorders>
            <w:vAlign w:val="center"/>
          </w:tcPr>
          <w:p w14:paraId="76F87D6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0.806</w:t>
            </w:r>
          </w:p>
        </w:tc>
        <w:tc>
          <w:tcPr>
            <w:tcW w:w="0" w:type="auto"/>
            <w:tcBorders>
              <w:right w:val="single" w:sz="8" w:space="0" w:color="000000"/>
            </w:tcBorders>
            <w:vAlign w:val="center"/>
          </w:tcPr>
          <w:p w14:paraId="35F0487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3.6</w:t>
            </w:r>
          </w:p>
        </w:tc>
      </w:tr>
      <w:tr w:rsidR="00521FEF" w:rsidRPr="00C406BB" w14:paraId="5EE014C3" w14:textId="77777777">
        <w:trPr>
          <w:cantSplit/>
          <w:tblCellSpacing w:w="0" w:type="dxa"/>
          <w:jc w:val="center"/>
        </w:trPr>
        <w:tc>
          <w:tcPr>
            <w:tcW w:w="0" w:type="auto"/>
            <w:tcBorders>
              <w:left w:val="single" w:sz="8" w:space="0" w:color="000000"/>
              <w:right w:val="single" w:sz="8" w:space="0" w:color="000000"/>
            </w:tcBorders>
            <w:vAlign w:val="center"/>
          </w:tcPr>
          <w:p w14:paraId="1C5B937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2003</w:t>
            </w:r>
          </w:p>
        </w:tc>
        <w:tc>
          <w:tcPr>
            <w:tcW w:w="0" w:type="auto"/>
            <w:tcBorders>
              <w:right w:val="single" w:sz="8" w:space="0" w:color="000000"/>
            </w:tcBorders>
            <w:vAlign w:val="center"/>
          </w:tcPr>
          <w:p w14:paraId="00356D7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5.3</w:t>
            </w:r>
          </w:p>
        </w:tc>
        <w:tc>
          <w:tcPr>
            <w:tcW w:w="0" w:type="auto"/>
            <w:tcBorders>
              <w:right w:val="single" w:sz="8" w:space="0" w:color="000000"/>
            </w:tcBorders>
            <w:vAlign w:val="center"/>
          </w:tcPr>
          <w:p w14:paraId="1CB42B6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0.724</w:t>
            </w:r>
          </w:p>
        </w:tc>
        <w:tc>
          <w:tcPr>
            <w:tcW w:w="0" w:type="auto"/>
            <w:tcBorders>
              <w:right w:val="single" w:sz="8" w:space="0" w:color="000000"/>
            </w:tcBorders>
            <w:vAlign w:val="center"/>
          </w:tcPr>
          <w:p w14:paraId="46F2778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w:t>
            </w:r>
          </w:p>
        </w:tc>
      </w:tr>
      <w:tr w:rsidR="00521FEF" w:rsidRPr="00C406BB" w14:paraId="781FAC0C" w14:textId="77777777">
        <w:trPr>
          <w:cantSplit/>
          <w:tblCellSpacing w:w="0" w:type="dxa"/>
          <w:jc w:val="center"/>
        </w:trPr>
        <w:tc>
          <w:tcPr>
            <w:tcW w:w="0" w:type="auto"/>
            <w:tcBorders>
              <w:left w:val="single" w:sz="8" w:space="0" w:color="000000"/>
              <w:right w:val="single" w:sz="8" w:space="0" w:color="000000"/>
            </w:tcBorders>
            <w:vAlign w:val="center"/>
          </w:tcPr>
          <w:p w14:paraId="558968C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2004</w:t>
            </w:r>
          </w:p>
        </w:tc>
        <w:tc>
          <w:tcPr>
            <w:tcW w:w="0" w:type="auto"/>
            <w:tcBorders>
              <w:right w:val="single" w:sz="8" w:space="0" w:color="000000"/>
            </w:tcBorders>
            <w:vAlign w:val="center"/>
          </w:tcPr>
          <w:p w14:paraId="1386C39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5.9</w:t>
            </w:r>
          </w:p>
        </w:tc>
        <w:tc>
          <w:tcPr>
            <w:tcW w:w="0" w:type="auto"/>
            <w:tcBorders>
              <w:right w:val="single" w:sz="8" w:space="0" w:color="000000"/>
            </w:tcBorders>
            <w:vAlign w:val="center"/>
          </w:tcPr>
          <w:p w14:paraId="340A2B0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0.650</w:t>
            </w:r>
          </w:p>
        </w:tc>
        <w:tc>
          <w:tcPr>
            <w:tcW w:w="0" w:type="auto"/>
            <w:tcBorders>
              <w:right w:val="single" w:sz="8" w:space="0" w:color="000000"/>
            </w:tcBorders>
            <w:vAlign w:val="center"/>
          </w:tcPr>
          <w:p w14:paraId="0521AE1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w:t>
            </w:r>
          </w:p>
        </w:tc>
      </w:tr>
      <w:tr w:rsidR="00521FEF" w:rsidRPr="00C406BB" w14:paraId="4BACAC94" w14:textId="77777777">
        <w:trPr>
          <w:cantSplit/>
          <w:tblCellSpacing w:w="0" w:type="dxa"/>
          <w:jc w:val="center"/>
        </w:trPr>
        <w:tc>
          <w:tcPr>
            <w:tcW w:w="0" w:type="auto"/>
            <w:tcBorders>
              <w:left w:val="single" w:sz="8" w:space="0" w:color="000000"/>
              <w:right w:val="single" w:sz="8" w:space="0" w:color="000000"/>
            </w:tcBorders>
            <w:vAlign w:val="center"/>
          </w:tcPr>
          <w:p w14:paraId="72183B7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2005</w:t>
            </w:r>
          </w:p>
        </w:tc>
        <w:tc>
          <w:tcPr>
            <w:tcW w:w="0" w:type="auto"/>
            <w:tcBorders>
              <w:right w:val="single" w:sz="8" w:space="0" w:color="000000"/>
            </w:tcBorders>
            <w:vAlign w:val="center"/>
          </w:tcPr>
          <w:p w14:paraId="26AD849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6.5</w:t>
            </w:r>
          </w:p>
        </w:tc>
        <w:tc>
          <w:tcPr>
            <w:tcW w:w="0" w:type="auto"/>
            <w:tcBorders>
              <w:right w:val="single" w:sz="8" w:space="0" w:color="000000"/>
            </w:tcBorders>
            <w:vAlign w:val="center"/>
          </w:tcPr>
          <w:p w14:paraId="69C5732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0.583</w:t>
            </w:r>
          </w:p>
        </w:tc>
        <w:tc>
          <w:tcPr>
            <w:tcW w:w="0" w:type="auto"/>
            <w:tcBorders>
              <w:right w:val="single" w:sz="8" w:space="0" w:color="000000"/>
            </w:tcBorders>
            <w:vAlign w:val="center"/>
          </w:tcPr>
          <w:p w14:paraId="56DF32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w:t>
            </w:r>
          </w:p>
        </w:tc>
      </w:tr>
      <w:tr w:rsidR="00521FEF" w:rsidRPr="00C406BB" w14:paraId="310E28B7" w14:textId="77777777">
        <w:trPr>
          <w:cantSplit/>
          <w:tblCellSpacing w:w="0" w:type="dxa"/>
          <w:jc w:val="center"/>
        </w:trPr>
        <w:tc>
          <w:tcPr>
            <w:tcW w:w="0" w:type="auto"/>
            <w:tcBorders>
              <w:left w:val="single" w:sz="8" w:space="0" w:color="000000"/>
              <w:right w:val="single" w:sz="8" w:space="0" w:color="000000"/>
            </w:tcBorders>
            <w:vAlign w:val="center"/>
          </w:tcPr>
          <w:p w14:paraId="3A6575E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2006-2010</w:t>
            </w:r>
          </w:p>
        </w:tc>
        <w:tc>
          <w:tcPr>
            <w:tcW w:w="0" w:type="auto"/>
            <w:tcBorders>
              <w:right w:val="single" w:sz="8" w:space="0" w:color="000000"/>
            </w:tcBorders>
            <w:vAlign w:val="center"/>
          </w:tcPr>
          <w:p w14:paraId="61689AA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38.2</w:t>
            </w:r>
          </w:p>
        </w:tc>
        <w:tc>
          <w:tcPr>
            <w:tcW w:w="0" w:type="auto"/>
            <w:tcBorders>
              <w:right w:val="single" w:sz="8" w:space="0" w:color="000000"/>
            </w:tcBorders>
            <w:vAlign w:val="center"/>
          </w:tcPr>
          <w:p w14:paraId="05019E9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various</w:t>
            </w:r>
          </w:p>
        </w:tc>
        <w:tc>
          <w:tcPr>
            <w:tcW w:w="0" w:type="auto"/>
            <w:tcBorders>
              <w:right w:val="single" w:sz="8" w:space="0" w:color="000000"/>
            </w:tcBorders>
            <w:vAlign w:val="center"/>
          </w:tcPr>
          <w:p w14:paraId="2A2D908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19.8</w:t>
            </w:r>
          </w:p>
        </w:tc>
      </w:tr>
      <w:tr w:rsidR="00521FEF" w:rsidRPr="00C406BB" w14:paraId="349D745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3CCBA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Terminal Value</w:t>
            </w:r>
          </w:p>
        </w:tc>
        <w:tc>
          <w:tcPr>
            <w:tcW w:w="0" w:type="auto"/>
            <w:tcBorders>
              <w:bottom w:val="single" w:sz="8" w:space="0" w:color="000000"/>
              <w:right w:val="single" w:sz="8" w:space="0" w:color="000000"/>
            </w:tcBorders>
            <w:vAlign w:val="center"/>
          </w:tcPr>
          <w:p w14:paraId="425C761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116.5</w:t>
            </w:r>
          </w:p>
        </w:tc>
        <w:tc>
          <w:tcPr>
            <w:tcW w:w="0" w:type="auto"/>
            <w:tcBorders>
              <w:bottom w:val="single" w:sz="8" w:space="0" w:color="000000"/>
              <w:right w:val="single" w:sz="8" w:space="0" w:color="000000"/>
            </w:tcBorders>
            <w:vAlign w:val="center"/>
          </w:tcPr>
          <w:p w14:paraId="702C313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0.358</w:t>
            </w:r>
          </w:p>
        </w:tc>
        <w:tc>
          <w:tcPr>
            <w:tcW w:w="0" w:type="auto"/>
            <w:tcBorders>
              <w:bottom w:val="single" w:sz="8" w:space="0" w:color="000000"/>
              <w:right w:val="single" w:sz="8" w:space="0" w:color="000000"/>
            </w:tcBorders>
            <w:vAlign w:val="center"/>
          </w:tcPr>
          <w:p w14:paraId="6A680BE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41.7</w:t>
            </w:r>
          </w:p>
        </w:tc>
      </w:tr>
      <w:tr w:rsidR="00521FEF" w:rsidRPr="00C406BB" w14:paraId="236D189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85C64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Enterprise Value</w:t>
            </w:r>
          </w:p>
        </w:tc>
        <w:tc>
          <w:tcPr>
            <w:tcW w:w="0" w:type="auto"/>
            <w:tcBorders>
              <w:bottom w:val="single" w:sz="8" w:space="0" w:color="000000"/>
              <w:right w:val="single" w:sz="8" w:space="0" w:color="000000"/>
            </w:tcBorders>
            <w:vAlign w:val="center"/>
          </w:tcPr>
          <w:p w14:paraId="0214C8B2"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726416E6"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04CF654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80.1</w:t>
            </w:r>
          </w:p>
        </w:tc>
      </w:tr>
    </w:tbl>
    <w:p w14:paraId="2B55B48C" w14:textId="77777777" w:rsidR="00521FEF" w:rsidRPr="00C406BB" w:rsidRDefault="00521FEF" w:rsidP="00C406BB">
      <w:pPr>
        <w:jc w:val="both"/>
        <w:rPr>
          <w:rFonts w:ascii="Times New Roman" w:hAnsi="Times New Roman" w:cs="Times New Roman"/>
          <w:sz w:val="24"/>
          <w:szCs w:val="24"/>
        </w:rPr>
      </w:pPr>
    </w:p>
    <w:p w14:paraId="11FC283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lastRenderedPageBreak/>
        <w:t>Table 27: DCF Valuation Summary</w:t>
      </w:r>
    </w:p>
    <w:p w14:paraId="119F992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Implied Equity Value:</w:t>
      </w:r>
    </w:p>
    <w:p w14:paraId="32C33879"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Equity Value</m:t>
          </m:r>
          <m:r>
            <m:rPr>
              <m:sty m:val="p"/>
            </m:rPr>
            <w:rPr>
              <w:rFonts w:ascii="Cambria Math" w:hAnsi="Cambria Math" w:cs="Times New Roman"/>
              <w:sz w:val="24"/>
              <w:szCs w:val="24"/>
            </w:rPr>
            <m:t>=$80.1</m:t>
          </m:r>
          <m:r>
            <w:rPr>
              <w:rFonts w:ascii="Cambria Math" w:hAnsi="Cambria Math" w:cs="Times New Roman"/>
              <w:sz w:val="24"/>
              <w:szCs w:val="24"/>
            </w:rPr>
            <m:t>B</m:t>
          </m:r>
          <m:r>
            <m:rPr>
              <m:sty m:val="p"/>
            </m:rPr>
            <w:rPr>
              <w:rFonts w:ascii="Cambria Math" w:hAnsi="Cambria Math" w:cs="Times New Roman"/>
              <w:sz w:val="24"/>
              <w:szCs w:val="24"/>
            </w:rPr>
            <m:t>-$22.0</m:t>
          </m:r>
          <m:r>
            <w:rPr>
              <w:rFonts w:ascii="Cambria Math" w:hAnsi="Cambria Math" w:cs="Times New Roman"/>
              <w:sz w:val="24"/>
              <w:szCs w:val="24"/>
            </w:rPr>
            <m:t>B</m:t>
          </m:r>
          <m:r>
            <m:rPr>
              <m:nor/>
            </m:rPr>
            <w:rPr>
              <w:rFonts w:ascii="Times New Roman" w:hAnsi="Times New Roman" w:cs="Times New Roman"/>
              <w:sz w:val="24"/>
              <w:szCs w:val="24"/>
            </w:rPr>
            <m:t> net debt</m:t>
          </m:r>
          <m:r>
            <m:rPr>
              <m:sty m:val="p"/>
            </m:rPr>
            <w:rPr>
              <w:rFonts w:ascii="Cambria Math" w:hAnsi="Cambria Math" w:cs="Times New Roman"/>
              <w:sz w:val="24"/>
              <w:szCs w:val="24"/>
            </w:rPr>
            <m:t>=$58.1</m:t>
          </m:r>
          <m:r>
            <w:rPr>
              <w:rFonts w:ascii="Cambria Math" w:hAnsi="Cambria Math" w:cs="Times New Roman"/>
              <w:sz w:val="24"/>
              <w:szCs w:val="24"/>
            </w:rPr>
            <m:t>B</m:t>
          </m:r>
        </m:oMath>
      </m:oMathPara>
    </w:p>
    <w:p w14:paraId="065A427E"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Value per Share</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$58.1</m:t>
              </m:r>
              <m:r>
                <w:rPr>
                  <w:rFonts w:ascii="Cambria Math" w:hAnsi="Cambria Math" w:cs="Times New Roman"/>
                  <w:sz w:val="24"/>
                  <w:szCs w:val="24"/>
                </w:rPr>
                <m:t>B</m:t>
              </m:r>
            </m:num>
            <m:den>
              <m:r>
                <m:rPr>
                  <m:sty m:val="p"/>
                </m:rPr>
                <w:rPr>
                  <w:rFonts w:ascii="Cambria Math" w:hAnsi="Cambria Math" w:cs="Times New Roman"/>
                  <w:sz w:val="24"/>
                  <w:szCs w:val="24"/>
                </w:rPr>
                <m:t>4.5</m:t>
              </m:r>
              <m:r>
                <w:rPr>
                  <w:rFonts w:ascii="Cambria Math" w:hAnsi="Cambria Math" w:cs="Times New Roman"/>
                  <w:sz w:val="24"/>
                  <w:szCs w:val="24"/>
                </w:rPr>
                <m:t>B</m:t>
              </m:r>
              <m:r>
                <m:rPr>
                  <m:nor/>
                </m:rPr>
                <w:rPr>
                  <w:rFonts w:ascii="Times New Roman" w:hAnsi="Times New Roman" w:cs="Times New Roman"/>
                  <w:sz w:val="24"/>
                  <w:szCs w:val="24"/>
                </w:rPr>
                <m:t> shares</m:t>
              </m:r>
            </m:den>
          </m:f>
          <m:r>
            <m:rPr>
              <m:sty m:val="p"/>
            </m:rPr>
            <w:rPr>
              <w:rFonts w:ascii="Cambria Math" w:hAnsi="Cambria Math" w:cs="Times New Roman"/>
              <w:sz w:val="24"/>
              <w:szCs w:val="24"/>
            </w:rPr>
            <m:t>=$12.91</m:t>
          </m:r>
        </m:oMath>
      </m:oMathPara>
    </w:p>
    <w:p w14:paraId="4FB588A8" w14:textId="5EFCD154"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This DCF valuation of $12.91 per share compared to the February 2000 market price of approximately $57 per share suggests the stock was </w:t>
      </w:r>
      <w:r w:rsidRPr="00C406BB">
        <w:rPr>
          <w:rFonts w:ascii="Times New Roman" w:hAnsi="Times New Roman" w:cs="Times New Roman"/>
          <w:b/>
          <w:sz w:val="24"/>
          <w:szCs w:val="24"/>
        </w:rPr>
        <w:t>overvalued by 77%</w:t>
      </w:r>
      <w:r w:rsidRPr="00C406BB">
        <w:rPr>
          <w:rFonts w:ascii="Times New Roman" w:hAnsi="Times New Roman" w:cs="Times New Roman"/>
          <w:sz w:val="24"/>
          <w:szCs w:val="24"/>
        </w:rPr>
        <w:t>.</w:t>
      </w:r>
    </w:p>
    <w:p w14:paraId="199CAD29" w14:textId="77777777" w:rsidR="00780271" w:rsidRDefault="00780271" w:rsidP="00C406BB">
      <w:pPr>
        <w:spacing w:before="240" w:line="271" w:lineRule="auto"/>
        <w:jc w:val="both"/>
        <w:rPr>
          <w:rFonts w:ascii="Times New Roman" w:hAnsi="Times New Roman" w:cs="Times New Roman"/>
          <w:b/>
          <w:sz w:val="24"/>
          <w:szCs w:val="24"/>
        </w:rPr>
      </w:pPr>
      <w:bookmarkStart w:id="73" w:name="bm_7_2_comparable_company_analysis"/>
    </w:p>
    <w:p w14:paraId="0248674E" w14:textId="657376AD" w:rsidR="00521FEF" w:rsidRPr="00C406BB" w:rsidRDefault="00000000" w:rsidP="00780271">
      <w:pPr>
        <w:pStyle w:val="Heading2"/>
      </w:pPr>
      <w:bookmarkStart w:id="74" w:name="_Toc221361504"/>
      <w:r w:rsidRPr="00C406BB">
        <w:t>7.2 Comparable Company Analysis</w:t>
      </w:r>
      <w:bookmarkEnd w:id="73"/>
      <w:bookmarkEnd w:id="74"/>
    </w:p>
    <w:p w14:paraId="2EAFDFB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Trading Multiples Valuation:</w:t>
      </w:r>
    </w:p>
    <w:p w14:paraId="2C27760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Using median multiples from traditional media peer group and applying to AOL Time Warner:</w:t>
      </w:r>
    </w:p>
    <w:tbl>
      <w:tblPr>
        <w:tblStyle w:val="NormalGrid"/>
        <w:tblW w:w="0" w:type="auto"/>
        <w:jc w:val="center"/>
        <w:tblCellSpacing w:w="0" w:type="dxa"/>
        <w:tblLook w:val="04A0" w:firstRow="1" w:lastRow="0" w:firstColumn="1" w:lastColumn="0" w:noHBand="0" w:noVBand="1"/>
      </w:tblPr>
      <w:tblGrid>
        <w:gridCol w:w="1793"/>
        <w:gridCol w:w="1560"/>
        <w:gridCol w:w="1967"/>
        <w:gridCol w:w="1720"/>
      </w:tblGrid>
      <w:tr w:rsidR="00521FEF" w:rsidRPr="00C406BB" w14:paraId="6202EFF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0E7107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Multiple</w:t>
            </w:r>
          </w:p>
        </w:tc>
        <w:tc>
          <w:tcPr>
            <w:tcW w:w="0" w:type="auto"/>
            <w:tcBorders>
              <w:top w:val="single" w:sz="8" w:space="0" w:color="000000"/>
              <w:bottom w:val="single" w:sz="8" w:space="0" w:color="000000"/>
              <w:right w:val="single" w:sz="8" w:space="0" w:color="000000"/>
            </w:tcBorders>
            <w:vAlign w:val="center"/>
          </w:tcPr>
          <w:p w14:paraId="3B700B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Peer Median</w:t>
            </w:r>
          </w:p>
        </w:tc>
        <w:tc>
          <w:tcPr>
            <w:tcW w:w="0" w:type="auto"/>
            <w:tcBorders>
              <w:top w:val="single" w:sz="8" w:space="0" w:color="000000"/>
              <w:bottom w:val="single" w:sz="8" w:space="0" w:color="000000"/>
              <w:right w:val="single" w:sz="8" w:space="0" w:color="000000"/>
            </w:tcBorders>
            <w:vAlign w:val="center"/>
          </w:tcPr>
          <w:p w14:paraId="5480F45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TW Metric</w:t>
            </w:r>
          </w:p>
        </w:tc>
        <w:tc>
          <w:tcPr>
            <w:tcW w:w="0" w:type="auto"/>
            <w:tcBorders>
              <w:top w:val="single" w:sz="8" w:space="0" w:color="000000"/>
              <w:bottom w:val="single" w:sz="8" w:space="0" w:color="000000"/>
              <w:right w:val="single" w:sz="8" w:space="0" w:color="000000"/>
            </w:tcBorders>
            <w:vAlign w:val="center"/>
          </w:tcPr>
          <w:p w14:paraId="722A762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Implied Value</w:t>
            </w:r>
          </w:p>
        </w:tc>
      </w:tr>
      <w:tr w:rsidR="00521FEF" w:rsidRPr="00C406BB" w14:paraId="0D285612" w14:textId="77777777">
        <w:trPr>
          <w:cantSplit/>
          <w:tblCellSpacing w:w="0" w:type="dxa"/>
          <w:jc w:val="center"/>
        </w:trPr>
        <w:tc>
          <w:tcPr>
            <w:tcW w:w="0" w:type="auto"/>
            <w:tcBorders>
              <w:left w:val="single" w:sz="8" w:space="0" w:color="000000"/>
              <w:right w:val="single" w:sz="8" w:space="0" w:color="000000"/>
            </w:tcBorders>
            <w:vAlign w:val="center"/>
          </w:tcPr>
          <w:p w14:paraId="25BC82B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EV/Revenue</w:t>
            </w:r>
          </w:p>
        </w:tc>
        <w:tc>
          <w:tcPr>
            <w:tcW w:w="0" w:type="auto"/>
            <w:tcBorders>
              <w:right w:val="single" w:sz="8" w:space="0" w:color="000000"/>
            </w:tcBorders>
            <w:vAlign w:val="center"/>
          </w:tcPr>
          <w:p w14:paraId="4BEF71D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2.8x</w:t>
            </w:r>
          </w:p>
        </w:tc>
        <w:tc>
          <w:tcPr>
            <w:tcW w:w="0" w:type="auto"/>
            <w:tcBorders>
              <w:right w:val="single" w:sz="8" w:space="0" w:color="000000"/>
            </w:tcBorders>
            <w:vAlign w:val="center"/>
          </w:tcPr>
          <w:p w14:paraId="3BEFD46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$35.4B</w:t>
            </w:r>
          </w:p>
        </w:tc>
        <w:tc>
          <w:tcPr>
            <w:tcW w:w="0" w:type="auto"/>
            <w:tcBorders>
              <w:right w:val="single" w:sz="8" w:space="0" w:color="000000"/>
            </w:tcBorders>
            <w:vAlign w:val="center"/>
          </w:tcPr>
          <w:p w14:paraId="7AB502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$99B EV</w:t>
            </w:r>
          </w:p>
        </w:tc>
      </w:tr>
      <w:tr w:rsidR="00521FEF" w:rsidRPr="00C406BB" w14:paraId="77094BD8" w14:textId="77777777">
        <w:trPr>
          <w:cantSplit/>
          <w:tblCellSpacing w:w="0" w:type="dxa"/>
          <w:jc w:val="center"/>
        </w:trPr>
        <w:tc>
          <w:tcPr>
            <w:tcW w:w="0" w:type="auto"/>
            <w:tcBorders>
              <w:left w:val="single" w:sz="8" w:space="0" w:color="000000"/>
              <w:right w:val="single" w:sz="8" w:space="0" w:color="000000"/>
            </w:tcBorders>
            <w:vAlign w:val="center"/>
          </w:tcPr>
          <w:p w14:paraId="5F7AB18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EV/EBITDA</w:t>
            </w:r>
          </w:p>
        </w:tc>
        <w:tc>
          <w:tcPr>
            <w:tcW w:w="0" w:type="auto"/>
            <w:tcBorders>
              <w:right w:val="single" w:sz="8" w:space="0" w:color="000000"/>
            </w:tcBorders>
            <w:vAlign w:val="center"/>
          </w:tcPr>
          <w:p w14:paraId="00F867D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14.5x</w:t>
            </w:r>
          </w:p>
        </w:tc>
        <w:tc>
          <w:tcPr>
            <w:tcW w:w="0" w:type="auto"/>
            <w:tcBorders>
              <w:right w:val="single" w:sz="8" w:space="0" w:color="000000"/>
            </w:tcBorders>
            <w:vAlign w:val="center"/>
          </w:tcPr>
          <w:p w14:paraId="54B4BC5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$10.8B</w:t>
            </w:r>
          </w:p>
        </w:tc>
        <w:tc>
          <w:tcPr>
            <w:tcW w:w="0" w:type="auto"/>
            <w:tcBorders>
              <w:right w:val="single" w:sz="8" w:space="0" w:color="000000"/>
            </w:tcBorders>
            <w:vAlign w:val="center"/>
          </w:tcPr>
          <w:p w14:paraId="34A9F42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$157B EV</w:t>
            </w:r>
          </w:p>
        </w:tc>
      </w:tr>
      <w:tr w:rsidR="00521FEF" w:rsidRPr="00C406BB" w14:paraId="1084DD2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AF941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P/E (ex-amort)</w:t>
            </w:r>
          </w:p>
        </w:tc>
        <w:tc>
          <w:tcPr>
            <w:tcW w:w="0" w:type="auto"/>
            <w:tcBorders>
              <w:bottom w:val="single" w:sz="8" w:space="0" w:color="000000"/>
              <w:right w:val="single" w:sz="8" w:space="0" w:color="000000"/>
            </w:tcBorders>
            <w:vAlign w:val="center"/>
          </w:tcPr>
          <w:p w14:paraId="7CD0B1C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38.0x</w:t>
            </w:r>
          </w:p>
        </w:tc>
        <w:tc>
          <w:tcPr>
            <w:tcW w:w="0" w:type="auto"/>
            <w:tcBorders>
              <w:bottom w:val="single" w:sz="8" w:space="0" w:color="000000"/>
              <w:right w:val="single" w:sz="8" w:space="0" w:color="000000"/>
            </w:tcBorders>
            <w:vAlign w:val="center"/>
          </w:tcPr>
          <w:p w14:paraId="6D4142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$2.85B</w:t>
            </w:r>
          </w:p>
        </w:tc>
        <w:tc>
          <w:tcPr>
            <w:tcW w:w="0" w:type="auto"/>
            <w:tcBorders>
              <w:bottom w:val="single" w:sz="8" w:space="0" w:color="000000"/>
              <w:right w:val="single" w:sz="8" w:space="0" w:color="000000"/>
            </w:tcBorders>
            <w:vAlign w:val="center"/>
          </w:tcPr>
          <w:p w14:paraId="7BABFFE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$108B Equity</w:t>
            </w:r>
          </w:p>
        </w:tc>
      </w:tr>
    </w:tbl>
    <w:p w14:paraId="54258087" w14:textId="77777777" w:rsidR="00521FEF" w:rsidRPr="00C406BB" w:rsidRDefault="00521FEF" w:rsidP="00C406BB">
      <w:pPr>
        <w:jc w:val="both"/>
        <w:rPr>
          <w:rFonts w:ascii="Times New Roman" w:hAnsi="Times New Roman" w:cs="Times New Roman"/>
          <w:sz w:val="24"/>
          <w:szCs w:val="24"/>
        </w:rPr>
      </w:pPr>
    </w:p>
    <w:p w14:paraId="3DC0A6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28: Comparable Multiples Valuation</w:t>
      </w:r>
    </w:p>
    <w:p w14:paraId="22D1349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Converting EV to equity value (subtracting $22B net debt) and averaging:</w:t>
      </w:r>
    </w:p>
    <w:p w14:paraId="4EDBFBF8"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Equity Value Range</m:t>
          </m:r>
          <m:r>
            <m:rPr>
              <m:sty m:val="p"/>
            </m:rPr>
            <w:rPr>
              <w:rFonts w:ascii="Cambria Math" w:hAnsi="Cambria Math" w:cs="Times New Roman"/>
              <w:sz w:val="24"/>
              <w:szCs w:val="24"/>
            </w:rPr>
            <m:t>=$77</m:t>
          </m:r>
          <m:r>
            <w:rPr>
              <w:rFonts w:ascii="Cambria Math" w:hAnsi="Cambria Math" w:cs="Times New Roman"/>
              <w:sz w:val="24"/>
              <w:szCs w:val="24"/>
            </w:rPr>
            <m:t>B</m:t>
          </m:r>
          <m:r>
            <m:rPr>
              <m:sty m:val="p"/>
            </m:rPr>
            <w:rPr>
              <w:rFonts w:ascii="Cambria Math" w:hAnsi="Cambria Math" w:cs="Times New Roman"/>
              <w:sz w:val="24"/>
              <w:szCs w:val="24"/>
            </w:rPr>
            <m:t>-$135</m:t>
          </m:r>
          <m:r>
            <w:rPr>
              <w:rFonts w:ascii="Cambria Math" w:hAnsi="Cambria Math" w:cs="Times New Roman"/>
              <w:sz w:val="24"/>
              <w:szCs w:val="24"/>
            </w:rPr>
            <m:t>B</m:t>
          </m:r>
        </m:oMath>
      </m:oMathPara>
    </w:p>
    <w:p w14:paraId="685E34E1"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Midpoint Equity Value</m:t>
          </m:r>
          <m:r>
            <m:rPr>
              <m:sty m:val="p"/>
            </m:rPr>
            <w:rPr>
              <w:rFonts w:ascii="Cambria Math" w:hAnsi="Cambria Math" w:cs="Times New Roman"/>
              <w:sz w:val="24"/>
              <w:szCs w:val="24"/>
            </w:rPr>
            <m:t>=$106</m:t>
          </m:r>
          <m:r>
            <w:rPr>
              <w:rFonts w:ascii="Cambria Math" w:hAnsi="Cambria Math" w:cs="Times New Roman"/>
              <w:sz w:val="24"/>
              <w:szCs w:val="24"/>
            </w:rPr>
            <m:t>B</m:t>
          </m:r>
        </m:oMath>
      </m:oMathPara>
    </w:p>
    <w:p w14:paraId="011F8923"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Midpoint Value per Share</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$106</m:t>
              </m:r>
              <m:r>
                <w:rPr>
                  <w:rFonts w:ascii="Cambria Math" w:hAnsi="Cambria Math" w:cs="Times New Roman"/>
                  <w:sz w:val="24"/>
                  <w:szCs w:val="24"/>
                </w:rPr>
                <m:t>B</m:t>
              </m:r>
            </m:num>
            <m:den>
              <m:r>
                <m:rPr>
                  <m:sty m:val="p"/>
                </m:rPr>
                <w:rPr>
                  <w:rFonts w:ascii="Cambria Math" w:hAnsi="Cambria Math" w:cs="Times New Roman"/>
                  <w:sz w:val="24"/>
                  <w:szCs w:val="24"/>
                </w:rPr>
                <m:t>4.5</m:t>
              </m:r>
              <m:r>
                <w:rPr>
                  <w:rFonts w:ascii="Cambria Math" w:hAnsi="Cambria Math" w:cs="Times New Roman"/>
                  <w:sz w:val="24"/>
                  <w:szCs w:val="24"/>
                </w:rPr>
                <m:t>B</m:t>
              </m:r>
            </m:den>
          </m:f>
          <m:r>
            <m:rPr>
              <m:sty m:val="p"/>
            </m:rPr>
            <w:rPr>
              <w:rFonts w:ascii="Cambria Math" w:hAnsi="Cambria Math" w:cs="Times New Roman"/>
              <w:sz w:val="24"/>
              <w:szCs w:val="24"/>
            </w:rPr>
            <m:t>=$23.56</m:t>
          </m:r>
        </m:oMath>
      </m:oMathPara>
    </w:p>
    <w:p w14:paraId="31DCBEAF" w14:textId="126B56C2"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This comparable company analysis suggested fair value of approximately $23.56 per share, indicating the stock was </w:t>
      </w:r>
      <w:r w:rsidRPr="00C406BB">
        <w:rPr>
          <w:rFonts w:ascii="Times New Roman" w:hAnsi="Times New Roman" w:cs="Times New Roman"/>
          <w:b/>
          <w:sz w:val="24"/>
          <w:szCs w:val="24"/>
        </w:rPr>
        <w:t>overvalued by 59%</w:t>
      </w:r>
      <w:r w:rsidRPr="00C406BB">
        <w:rPr>
          <w:rFonts w:ascii="Times New Roman" w:hAnsi="Times New Roman" w:cs="Times New Roman"/>
          <w:sz w:val="24"/>
          <w:szCs w:val="24"/>
        </w:rPr>
        <w:t xml:space="preserve"> at $57 market price.</w:t>
      </w:r>
    </w:p>
    <w:p w14:paraId="7D526F78" w14:textId="77777777" w:rsidR="00780271" w:rsidRDefault="00780271">
      <w:pPr>
        <w:rPr>
          <w:rFonts w:ascii="Times New Roman" w:hAnsi="Times New Roman" w:cs="Times New Roman"/>
          <w:b/>
          <w:sz w:val="24"/>
          <w:szCs w:val="24"/>
        </w:rPr>
      </w:pPr>
      <w:bookmarkStart w:id="75" w:name="bm_7_3_precedent_transaction_analysis"/>
      <w:r>
        <w:rPr>
          <w:rFonts w:ascii="Times New Roman" w:hAnsi="Times New Roman" w:cs="Times New Roman"/>
          <w:b/>
          <w:sz w:val="24"/>
          <w:szCs w:val="24"/>
        </w:rPr>
        <w:br w:type="page"/>
      </w:r>
    </w:p>
    <w:p w14:paraId="7C8C178A" w14:textId="20EB48BE" w:rsidR="00521FEF" w:rsidRPr="00C406BB" w:rsidRDefault="00000000" w:rsidP="00780271">
      <w:pPr>
        <w:pStyle w:val="Heading2"/>
      </w:pPr>
      <w:bookmarkStart w:id="76" w:name="_Toc221361505"/>
      <w:r w:rsidRPr="00C406BB">
        <w:lastRenderedPageBreak/>
        <w:t>7.3 Precedent Transaction Analysis</w:t>
      </w:r>
      <w:bookmarkEnd w:id="75"/>
      <w:bookmarkEnd w:id="76"/>
    </w:p>
    <w:p w14:paraId="256FF7E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M&amp;A Transaction Multiples:</w:t>
      </w:r>
    </w:p>
    <w:p w14:paraId="5386A7F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Recent large media mergers provided transaction valuation benchmarks:</w:t>
      </w:r>
    </w:p>
    <w:tbl>
      <w:tblPr>
        <w:tblStyle w:val="NormalGrid"/>
        <w:tblW w:w="0" w:type="auto"/>
        <w:jc w:val="center"/>
        <w:tblCellSpacing w:w="0" w:type="dxa"/>
        <w:tblLook w:val="04A0" w:firstRow="1" w:lastRow="0" w:firstColumn="1" w:lastColumn="0" w:noHBand="0" w:noVBand="1"/>
      </w:tblPr>
      <w:tblGrid>
        <w:gridCol w:w="2107"/>
        <w:gridCol w:w="820"/>
        <w:gridCol w:w="1567"/>
        <w:gridCol w:w="1607"/>
      </w:tblGrid>
      <w:tr w:rsidR="00521FEF" w:rsidRPr="00C406BB" w14:paraId="3EC2962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FE5C3E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Transaction</w:t>
            </w:r>
          </w:p>
        </w:tc>
        <w:tc>
          <w:tcPr>
            <w:tcW w:w="0" w:type="auto"/>
            <w:tcBorders>
              <w:top w:val="single" w:sz="8" w:space="0" w:color="000000"/>
              <w:bottom w:val="single" w:sz="8" w:space="0" w:color="000000"/>
              <w:right w:val="single" w:sz="8" w:space="0" w:color="000000"/>
            </w:tcBorders>
            <w:vAlign w:val="center"/>
          </w:tcPr>
          <w:p w14:paraId="5C988E3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Year</w:t>
            </w:r>
          </w:p>
        </w:tc>
        <w:tc>
          <w:tcPr>
            <w:tcW w:w="0" w:type="auto"/>
            <w:tcBorders>
              <w:top w:val="single" w:sz="8" w:space="0" w:color="000000"/>
              <w:bottom w:val="single" w:sz="8" w:space="0" w:color="000000"/>
              <w:right w:val="single" w:sz="8" w:space="0" w:color="000000"/>
            </w:tcBorders>
            <w:vAlign w:val="center"/>
          </w:tcPr>
          <w:p w14:paraId="6393C69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EV/Revenue</w:t>
            </w:r>
          </w:p>
        </w:tc>
        <w:tc>
          <w:tcPr>
            <w:tcW w:w="0" w:type="auto"/>
            <w:tcBorders>
              <w:top w:val="single" w:sz="8" w:space="0" w:color="000000"/>
              <w:bottom w:val="single" w:sz="8" w:space="0" w:color="000000"/>
              <w:right w:val="single" w:sz="8" w:space="0" w:color="000000"/>
            </w:tcBorders>
            <w:vAlign w:val="center"/>
          </w:tcPr>
          <w:p w14:paraId="3736721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EV/EBITDA</w:t>
            </w:r>
          </w:p>
        </w:tc>
      </w:tr>
      <w:tr w:rsidR="00521FEF" w:rsidRPr="00C406BB" w14:paraId="1ACFB503" w14:textId="77777777">
        <w:trPr>
          <w:cantSplit/>
          <w:tblCellSpacing w:w="0" w:type="dxa"/>
          <w:jc w:val="center"/>
        </w:trPr>
        <w:tc>
          <w:tcPr>
            <w:tcW w:w="0" w:type="auto"/>
            <w:tcBorders>
              <w:left w:val="single" w:sz="8" w:space="0" w:color="000000"/>
              <w:right w:val="single" w:sz="8" w:space="0" w:color="000000"/>
            </w:tcBorders>
            <w:vAlign w:val="center"/>
          </w:tcPr>
          <w:p w14:paraId="4A07DEF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Viacom-CBS</w:t>
            </w:r>
          </w:p>
        </w:tc>
        <w:tc>
          <w:tcPr>
            <w:tcW w:w="0" w:type="auto"/>
            <w:tcBorders>
              <w:right w:val="single" w:sz="8" w:space="0" w:color="000000"/>
            </w:tcBorders>
            <w:vAlign w:val="center"/>
          </w:tcPr>
          <w:p w14:paraId="2B01806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1999</w:t>
            </w:r>
          </w:p>
        </w:tc>
        <w:tc>
          <w:tcPr>
            <w:tcW w:w="0" w:type="auto"/>
            <w:tcBorders>
              <w:right w:val="single" w:sz="8" w:space="0" w:color="000000"/>
            </w:tcBorders>
            <w:vAlign w:val="center"/>
          </w:tcPr>
          <w:p w14:paraId="73A88F2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4.2x</w:t>
            </w:r>
          </w:p>
        </w:tc>
        <w:tc>
          <w:tcPr>
            <w:tcW w:w="0" w:type="auto"/>
            <w:tcBorders>
              <w:right w:val="single" w:sz="8" w:space="0" w:color="000000"/>
            </w:tcBorders>
            <w:vAlign w:val="center"/>
          </w:tcPr>
          <w:p w14:paraId="2488451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18.5x</w:t>
            </w:r>
          </w:p>
        </w:tc>
      </w:tr>
      <w:tr w:rsidR="00521FEF" w:rsidRPr="00C406BB" w14:paraId="75EC42A4" w14:textId="77777777">
        <w:trPr>
          <w:cantSplit/>
          <w:tblCellSpacing w:w="0" w:type="dxa"/>
          <w:jc w:val="center"/>
        </w:trPr>
        <w:tc>
          <w:tcPr>
            <w:tcW w:w="0" w:type="auto"/>
            <w:tcBorders>
              <w:left w:val="single" w:sz="8" w:space="0" w:color="000000"/>
              <w:right w:val="single" w:sz="8" w:space="0" w:color="000000"/>
            </w:tcBorders>
            <w:vAlign w:val="center"/>
          </w:tcPr>
          <w:p w14:paraId="2D60014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AT&amp;T-</w:t>
            </w:r>
            <w:proofErr w:type="spellStart"/>
            <w:r w:rsidRPr="00C406BB">
              <w:rPr>
                <w:rFonts w:ascii="Times New Roman" w:hAnsi="Times New Roman" w:cs="Times New Roman"/>
                <w:sz w:val="24"/>
                <w:szCs w:val="24"/>
              </w:rPr>
              <w:t>MediaOne</w:t>
            </w:r>
            <w:proofErr w:type="spellEnd"/>
          </w:p>
        </w:tc>
        <w:tc>
          <w:tcPr>
            <w:tcW w:w="0" w:type="auto"/>
            <w:tcBorders>
              <w:right w:val="single" w:sz="8" w:space="0" w:color="000000"/>
            </w:tcBorders>
            <w:vAlign w:val="center"/>
          </w:tcPr>
          <w:p w14:paraId="571D6AF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1999</w:t>
            </w:r>
          </w:p>
        </w:tc>
        <w:tc>
          <w:tcPr>
            <w:tcW w:w="0" w:type="auto"/>
            <w:tcBorders>
              <w:right w:val="single" w:sz="8" w:space="0" w:color="000000"/>
            </w:tcBorders>
            <w:vAlign w:val="center"/>
          </w:tcPr>
          <w:p w14:paraId="1E9E4B3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3.8x</w:t>
            </w:r>
          </w:p>
        </w:tc>
        <w:tc>
          <w:tcPr>
            <w:tcW w:w="0" w:type="auto"/>
            <w:tcBorders>
              <w:right w:val="single" w:sz="8" w:space="0" w:color="000000"/>
            </w:tcBorders>
            <w:vAlign w:val="center"/>
          </w:tcPr>
          <w:p w14:paraId="39B87EF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16.2x</w:t>
            </w:r>
          </w:p>
        </w:tc>
      </w:tr>
      <w:tr w:rsidR="00521FEF" w:rsidRPr="00C406BB" w14:paraId="3F36C5B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C5772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Vivendi-Seagram</w:t>
            </w:r>
          </w:p>
        </w:tc>
        <w:tc>
          <w:tcPr>
            <w:tcW w:w="0" w:type="auto"/>
            <w:tcBorders>
              <w:bottom w:val="single" w:sz="8" w:space="0" w:color="000000"/>
              <w:right w:val="single" w:sz="8" w:space="0" w:color="000000"/>
            </w:tcBorders>
            <w:vAlign w:val="center"/>
          </w:tcPr>
          <w:p w14:paraId="4978EA7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2000</w:t>
            </w:r>
          </w:p>
        </w:tc>
        <w:tc>
          <w:tcPr>
            <w:tcW w:w="0" w:type="auto"/>
            <w:tcBorders>
              <w:bottom w:val="single" w:sz="8" w:space="0" w:color="000000"/>
              <w:right w:val="single" w:sz="8" w:space="0" w:color="000000"/>
            </w:tcBorders>
            <w:vAlign w:val="center"/>
          </w:tcPr>
          <w:p w14:paraId="3EC77B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3.5x</w:t>
            </w:r>
          </w:p>
        </w:tc>
        <w:tc>
          <w:tcPr>
            <w:tcW w:w="0" w:type="auto"/>
            <w:tcBorders>
              <w:bottom w:val="single" w:sz="8" w:space="0" w:color="000000"/>
              <w:right w:val="single" w:sz="8" w:space="0" w:color="000000"/>
            </w:tcBorders>
            <w:vAlign w:val="center"/>
          </w:tcPr>
          <w:p w14:paraId="05E50D2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15.8x</w:t>
            </w:r>
          </w:p>
        </w:tc>
      </w:tr>
      <w:tr w:rsidR="00521FEF" w:rsidRPr="00C406BB" w14:paraId="126CFD8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4D00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Median</w:t>
            </w:r>
          </w:p>
        </w:tc>
        <w:tc>
          <w:tcPr>
            <w:tcW w:w="0" w:type="auto"/>
            <w:tcBorders>
              <w:bottom w:val="single" w:sz="8" w:space="0" w:color="000000"/>
              <w:right w:val="single" w:sz="8" w:space="0" w:color="000000"/>
            </w:tcBorders>
            <w:vAlign w:val="center"/>
          </w:tcPr>
          <w:p w14:paraId="2C23F50A"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7A7C483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3.8x</w:t>
            </w:r>
          </w:p>
        </w:tc>
        <w:tc>
          <w:tcPr>
            <w:tcW w:w="0" w:type="auto"/>
            <w:tcBorders>
              <w:bottom w:val="single" w:sz="8" w:space="0" w:color="000000"/>
              <w:right w:val="single" w:sz="8" w:space="0" w:color="000000"/>
            </w:tcBorders>
            <w:vAlign w:val="center"/>
          </w:tcPr>
          <w:p w14:paraId="0CEA453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16.2x</w:t>
            </w:r>
          </w:p>
        </w:tc>
      </w:tr>
    </w:tbl>
    <w:p w14:paraId="7A48167C" w14:textId="77777777" w:rsidR="00521FEF" w:rsidRPr="00C406BB" w:rsidRDefault="00521FEF" w:rsidP="00C406BB">
      <w:pPr>
        <w:jc w:val="both"/>
        <w:rPr>
          <w:rFonts w:ascii="Times New Roman" w:hAnsi="Times New Roman" w:cs="Times New Roman"/>
          <w:sz w:val="24"/>
          <w:szCs w:val="24"/>
        </w:rPr>
      </w:pPr>
    </w:p>
    <w:p w14:paraId="3A93947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29: Precedent Media Transaction Multiples</w:t>
      </w:r>
    </w:p>
    <w:p w14:paraId="4AB2CDE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Applying median transaction multiples to AOL Time Warner:</w:t>
      </w:r>
    </w:p>
    <w:p w14:paraId="4892E83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EV/Revenue approach:</w:t>
      </w:r>
    </w:p>
    <w:p w14:paraId="46E488FC"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EV</m:t>
          </m:r>
          <m:r>
            <m:rPr>
              <m:sty m:val="p"/>
            </m:rPr>
            <w:rPr>
              <w:rFonts w:ascii="Cambria Math" w:hAnsi="Cambria Math" w:cs="Times New Roman"/>
              <w:sz w:val="24"/>
              <w:szCs w:val="24"/>
            </w:rPr>
            <m:t>=3.8</m:t>
          </m:r>
          <m:r>
            <w:rPr>
              <w:rFonts w:ascii="Cambria Math" w:hAnsi="Cambria Math" w:cs="Times New Roman"/>
              <w:sz w:val="24"/>
              <w:szCs w:val="24"/>
            </w:rPr>
            <m:t>x</m:t>
          </m:r>
          <m:r>
            <m:rPr>
              <m:sty m:val="p"/>
            </m:rPr>
            <w:rPr>
              <w:rFonts w:ascii="Cambria Math" w:hAnsi="Cambria Math" w:cs="Times New Roman"/>
              <w:sz w:val="24"/>
              <w:szCs w:val="24"/>
            </w:rPr>
            <m:t>×$35.4</m:t>
          </m:r>
          <m:r>
            <w:rPr>
              <w:rFonts w:ascii="Cambria Math" w:hAnsi="Cambria Math" w:cs="Times New Roman"/>
              <w:sz w:val="24"/>
              <w:szCs w:val="24"/>
            </w:rPr>
            <m:t>B</m:t>
          </m:r>
          <m:r>
            <m:rPr>
              <m:sty m:val="p"/>
            </m:rPr>
            <w:rPr>
              <w:rFonts w:ascii="Cambria Math" w:hAnsi="Cambria Math" w:cs="Times New Roman"/>
              <w:sz w:val="24"/>
              <w:szCs w:val="24"/>
            </w:rPr>
            <m:t>=$134.5</m:t>
          </m:r>
          <m:r>
            <w:rPr>
              <w:rFonts w:ascii="Cambria Math" w:hAnsi="Cambria Math" w:cs="Times New Roman"/>
              <w:sz w:val="24"/>
              <w:szCs w:val="24"/>
            </w:rPr>
            <m:t>B</m:t>
          </m:r>
        </m:oMath>
      </m:oMathPara>
    </w:p>
    <w:p w14:paraId="48680C0E"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Equity</m:t>
          </m:r>
          <m:r>
            <m:rPr>
              <m:sty m:val="p"/>
            </m:rPr>
            <w:rPr>
              <w:rFonts w:ascii="Cambria Math" w:hAnsi="Cambria Math" w:cs="Times New Roman"/>
              <w:sz w:val="24"/>
              <w:szCs w:val="24"/>
            </w:rPr>
            <m:t>=$134.5</m:t>
          </m:r>
          <m:r>
            <w:rPr>
              <w:rFonts w:ascii="Cambria Math" w:hAnsi="Cambria Math" w:cs="Times New Roman"/>
              <w:sz w:val="24"/>
              <w:szCs w:val="24"/>
            </w:rPr>
            <m:t>B</m:t>
          </m:r>
          <m:r>
            <m:rPr>
              <m:sty m:val="p"/>
            </m:rPr>
            <w:rPr>
              <w:rFonts w:ascii="Cambria Math" w:hAnsi="Cambria Math" w:cs="Times New Roman"/>
              <w:sz w:val="24"/>
              <w:szCs w:val="24"/>
            </w:rPr>
            <m:t>-$22</m:t>
          </m:r>
          <m:r>
            <w:rPr>
              <w:rFonts w:ascii="Cambria Math" w:hAnsi="Cambria Math" w:cs="Times New Roman"/>
              <w:sz w:val="24"/>
              <w:szCs w:val="24"/>
            </w:rPr>
            <m:t>B</m:t>
          </m:r>
          <m:r>
            <m:rPr>
              <m:sty m:val="p"/>
            </m:rPr>
            <w:rPr>
              <w:rFonts w:ascii="Cambria Math" w:hAnsi="Cambria Math" w:cs="Times New Roman"/>
              <w:sz w:val="24"/>
              <w:szCs w:val="24"/>
            </w:rPr>
            <m:t>=$112.5</m:t>
          </m:r>
          <m:r>
            <w:rPr>
              <w:rFonts w:ascii="Cambria Math" w:hAnsi="Cambria Math" w:cs="Times New Roman"/>
              <w:sz w:val="24"/>
              <w:szCs w:val="24"/>
            </w:rPr>
            <m:t>B</m:t>
          </m:r>
        </m:oMath>
      </m:oMathPara>
    </w:p>
    <w:p w14:paraId="5AA34D20"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Price per share</m:t>
          </m:r>
          <m:r>
            <m:rPr>
              <m:sty m:val="p"/>
            </m:rPr>
            <w:rPr>
              <w:rFonts w:ascii="Cambria Math" w:hAnsi="Cambria Math" w:cs="Times New Roman"/>
              <w:sz w:val="24"/>
              <w:szCs w:val="24"/>
            </w:rPr>
            <m:t>=$112.5</m:t>
          </m:r>
          <m:r>
            <w:rPr>
              <w:rFonts w:ascii="Cambria Math" w:hAnsi="Cambria Math" w:cs="Times New Roman"/>
              <w:sz w:val="24"/>
              <w:szCs w:val="24"/>
            </w:rPr>
            <m:t>B</m:t>
          </m:r>
          <m:r>
            <m:rPr>
              <m:sty m:val="p"/>
            </m:rPr>
            <w:rPr>
              <w:rFonts w:ascii="Cambria Math" w:hAnsi="Cambria Math" w:cs="Times New Roman"/>
              <w:sz w:val="24"/>
              <w:szCs w:val="24"/>
            </w:rPr>
            <m:t>÷4.5</m:t>
          </m:r>
          <m:r>
            <w:rPr>
              <w:rFonts w:ascii="Cambria Math" w:hAnsi="Cambria Math" w:cs="Times New Roman"/>
              <w:sz w:val="24"/>
              <w:szCs w:val="24"/>
            </w:rPr>
            <m:t>B</m:t>
          </m:r>
          <m:r>
            <m:rPr>
              <m:sty m:val="p"/>
            </m:rPr>
            <w:rPr>
              <w:rFonts w:ascii="Cambria Math" w:hAnsi="Cambria Math" w:cs="Times New Roman"/>
              <w:sz w:val="24"/>
              <w:szCs w:val="24"/>
            </w:rPr>
            <m:t>=$25.00</m:t>
          </m:r>
        </m:oMath>
      </m:oMathPara>
    </w:p>
    <w:p w14:paraId="45D2AEE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EV/EBITDA approach:</w:t>
      </w:r>
    </w:p>
    <w:p w14:paraId="3E8B9095"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EV</m:t>
          </m:r>
          <m:r>
            <m:rPr>
              <m:sty m:val="p"/>
            </m:rPr>
            <w:rPr>
              <w:rFonts w:ascii="Cambria Math" w:hAnsi="Cambria Math" w:cs="Times New Roman"/>
              <w:sz w:val="24"/>
              <w:szCs w:val="24"/>
            </w:rPr>
            <m:t>=16.2</m:t>
          </m:r>
          <m:r>
            <w:rPr>
              <w:rFonts w:ascii="Cambria Math" w:hAnsi="Cambria Math" w:cs="Times New Roman"/>
              <w:sz w:val="24"/>
              <w:szCs w:val="24"/>
            </w:rPr>
            <m:t>x</m:t>
          </m:r>
          <m:r>
            <m:rPr>
              <m:sty m:val="p"/>
            </m:rPr>
            <w:rPr>
              <w:rFonts w:ascii="Cambria Math" w:hAnsi="Cambria Math" w:cs="Times New Roman"/>
              <w:sz w:val="24"/>
              <w:szCs w:val="24"/>
            </w:rPr>
            <m:t>×$10.8</m:t>
          </m:r>
          <m:r>
            <w:rPr>
              <w:rFonts w:ascii="Cambria Math" w:hAnsi="Cambria Math" w:cs="Times New Roman"/>
              <w:sz w:val="24"/>
              <w:szCs w:val="24"/>
            </w:rPr>
            <m:t>B</m:t>
          </m:r>
          <m:r>
            <m:rPr>
              <m:sty m:val="p"/>
            </m:rPr>
            <w:rPr>
              <w:rFonts w:ascii="Cambria Math" w:hAnsi="Cambria Math" w:cs="Times New Roman"/>
              <w:sz w:val="24"/>
              <w:szCs w:val="24"/>
            </w:rPr>
            <m:t>=$175.0</m:t>
          </m:r>
          <m:r>
            <w:rPr>
              <w:rFonts w:ascii="Cambria Math" w:hAnsi="Cambria Math" w:cs="Times New Roman"/>
              <w:sz w:val="24"/>
              <w:szCs w:val="24"/>
            </w:rPr>
            <m:t>B</m:t>
          </m:r>
        </m:oMath>
      </m:oMathPara>
    </w:p>
    <w:p w14:paraId="0B36695E"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Equity</m:t>
          </m:r>
          <m:r>
            <m:rPr>
              <m:sty m:val="p"/>
            </m:rPr>
            <w:rPr>
              <w:rFonts w:ascii="Cambria Math" w:hAnsi="Cambria Math" w:cs="Times New Roman"/>
              <w:sz w:val="24"/>
              <w:szCs w:val="24"/>
            </w:rPr>
            <m:t>=$175.0</m:t>
          </m:r>
          <m:r>
            <w:rPr>
              <w:rFonts w:ascii="Cambria Math" w:hAnsi="Cambria Math" w:cs="Times New Roman"/>
              <w:sz w:val="24"/>
              <w:szCs w:val="24"/>
            </w:rPr>
            <m:t>B</m:t>
          </m:r>
          <m:r>
            <m:rPr>
              <m:sty m:val="p"/>
            </m:rPr>
            <w:rPr>
              <w:rFonts w:ascii="Cambria Math" w:hAnsi="Cambria Math" w:cs="Times New Roman"/>
              <w:sz w:val="24"/>
              <w:szCs w:val="24"/>
            </w:rPr>
            <m:t>-$22</m:t>
          </m:r>
          <m:r>
            <w:rPr>
              <w:rFonts w:ascii="Cambria Math" w:hAnsi="Cambria Math" w:cs="Times New Roman"/>
              <w:sz w:val="24"/>
              <w:szCs w:val="24"/>
            </w:rPr>
            <m:t>B</m:t>
          </m:r>
          <m:r>
            <m:rPr>
              <m:sty m:val="p"/>
            </m:rPr>
            <w:rPr>
              <w:rFonts w:ascii="Cambria Math" w:hAnsi="Cambria Math" w:cs="Times New Roman"/>
              <w:sz w:val="24"/>
              <w:szCs w:val="24"/>
            </w:rPr>
            <m:t>=$153.0</m:t>
          </m:r>
          <m:r>
            <w:rPr>
              <w:rFonts w:ascii="Cambria Math" w:hAnsi="Cambria Math" w:cs="Times New Roman"/>
              <w:sz w:val="24"/>
              <w:szCs w:val="24"/>
            </w:rPr>
            <m:t>B</m:t>
          </m:r>
        </m:oMath>
      </m:oMathPara>
    </w:p>
    <w:p w14:paraId="4174E855"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Price per share</m:t>
          </m:r>
          <m:r>
            <m:rPr>
              <m:sty m:val="p"/>
            </m:rPr>
            <w:rPr>
              <w:rFonts w:ascii="Cambria Math" w:hAnsi="Cambria Math" w:cs="Times New Roman"/>
              <w:sz w:val="24"/>
              <w:szCs w:val="24"/>
            </w:rPr>
            <m:t>=$153.0</m:t>
          </m:r>
          <m:r>
            <w:rPr>
              <w:rFonts w:ascii="Cambria Math" w:hAnsi="Cambria Math" w:cs="Times New Roman"/>
              <w:sz w:val="24"/>
              <w:szCs w:val="24"/>
            </w:rPr>
            <m:t>B</m:t>
          </m:r>
          <m:r>
            <m:rPr>
              <m:sty m:val="p"/>
            </m:rPr>
            <w:rPr>
              <w:rFonts w:ascii="Cambria Math" w:hAnsi="Cambria Math" w:cs="Times New Roman"/>
              <w:sz w:val="24"/>
              <w:szCs w:val="24"/>
            </w:rPr>
            <m:t>÷4.5</m:t>
          </m:r>
          <m:r>
            <w:rPr>
              <w:rFonts w:ascii="Cambria Math" w:hAnsi="Cambria Math" w:cs="Times New Roman"/>
              <w:sz w:val="24"/>
              <w:szCs w:val="24"/>
            </w:rPr>
            <m:t>B</m:t>
          </m:r>
          <m:r>
            <m:rPr>
              <m:sty m:val="p"/>
            </m:rPr>
            <w:rPr>
              <w:rFonts w:ascii="Cambria Math" w:hAnsi="Cambria Math" w:cs="Times New Roman"/>
              <w:sz w:val="24"/>
              <w:szCs w:val="24"/>
            </w:rPr>
            <m:t>=$34.00</m:t>
          </m:r>
        </m:oMath>
      </m:oMathPara>
    </w:p>
    <w:p w14:paraId="3D01CCA9" w14:textId="258B3E14"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Average transaction value:</w:t>
      </w:r>
      <w:r w:rsidRPr="00C406BB">
        <w:rPr>
          <w:rFonts w:ascii="Times New Roman" w:hAnsi="Times New Roman" w:cs="Times New Roman"/>
          <w:sz w:val="24"/>
          <w:szCs w:val="24"/>
        </w:rPr>
        <w:t xml:space="preserve"> $29.50 per share, suggesting </w:t>
      </w:r>
      <w:r w:rsidRPr="00C406BB">
        <w:rPr>
          <w:rFonts w:ascii="Times New Roman" w:hAnsi="Times New Roman" w:cs="Times New Roman"/>
          <w:b/>
          <w:sz w:val="24"/>
          <w:szCs w:val="24"/>
        </w:rPr>
        <w:t>48% overvaluation</w:t>
      </w:r>
      <w:r w:rsidRPr="00C406BB">
        <w:rPr>
          <w:rFonts w:ascii="Times New Roman" w:hAnsi="Times New Roman" w:cs="Times New Roman"/>
          <w:sz w:val="24"/>
          <w:szCs w:val="24"/>
        </w:rPr>
        <w:t xml:space="preserve"> at $57 market price.</w:t>
      </w:r>
    </w:p>
    <w:p w14:paraId="4D96605E" w14:textId="77777777" w:rsidR="00780271" w:rsidRDefault="00780271">
      <w:pPr>
        <w:rPr>
          <w:rFonts w:ascii="Times New Roman" w:hAnsi="Times New Roman" w:cs="Times New Roman"/>
          <w:b/>
          <w:sz w:val="24"/>
          <w:szCs w:val="24"/>
        </w:rPr>
      </w:pPr>
      <w:bookmarkStart w:id="77" w:name="bm_7_4_sum_of_the_parts_valuation"/>
      <w:r>
        <w:rPr>
          <w:rFonts w:ascii="Times New Roman" w:hAnsi="Times New Roman" w:cs="Times New Roman"/>
          <w:b/>
          <w:sz w:val="24"/>
          <w:szCs w:val="24"/>
        </w:rPr>
        <w:br w:type="page"/>
      </w:r>
    </w:p>
    <w:p w14:paraId="091549B0" w14:textId="69D93A16" w:rsidR="00521FEF" w:rsidRPr="00C406BB" w:rsidRDefault="00000000" w:rsidP="00780271">
      <w:pPr>
        <w:pStyle w:val="Heading2"/>
      </w:pPr>
      <w:bookmarkStart w:id="78" w:name="_Toc221361506"/>
      <w:r w:rsidRPr="00C406BB">
        <w:lastRenderedPageBreak/>
        <w:t>7.4 Sum-of-the-Parts Valuation</w:t>
      </w:r>
      <w:bookmarkEnd w:id="77"/>
      <w:bookmarkEnd w:id="78"/>
    </w:p>
    <w:p w14:paraId="10B893B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Segment Valuation:</w:t>
      </w:r>
    </w:p>
    <w:p w14:paraId="1406D45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Valuing each business segment using appropriate peer multiples:</w:t>
      </w:r>
    </w:p>
    <w:tbl>
      <w:tblPr>
        <w:tblStyle w:val="NormalGrid"/>
        <w:tblW w:w="0" w:type="auto"/>
        <w:jc w:val="center"/>
        <w:tblCellSpacing w:w="0" w:type="dxa"/>
        <w:tblLook w:val="04A0" w:firstRow="1" w:lastRow="0" w:firstColumn="1" w:lastColumn="0" w:noHBand="0" w:noVBand="1"/>
      </w:tblPr>
      <w:tblGrid>
        <w:gridCol w:w="1800"/>
        <w:gridCol w:w="1220"/>
        <w:gridCol w:w="1167"/>
        <w:gridCol w:w="1161"/>
        <w:gridCol w:w="1200"/>
      </w:tblGrid>
      <w:tr w:rsidR="00521FEF" w:rsidRPr="00C406BB" w14:paraId="6641D5F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50C6AF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Segment</w:t>
            </w:r>
          </w:p>
        </w:tc>
        <w:tc>
          <w:tcPr>
            <w:tcW w:w="0" w:type="auto"/>
            <w:tcBorders>
              <w:top w:val="single" w:sz="8" w:space="0" w:color="000000"/>
              <w:bottom w:val="single" w:sz="8" w:space="0" w:color="000000"/>
              <w:right w:val="single" w:sz="8" w:space="0" w:color="000000"/>
            </w:tcBorders>
            <w:vAlign w:val="center"/>
          </w:tcPr>
          <w:p w14:paraId="287148E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EBITDA</w:t>
            </w:r>
          </w:p>
        </w:tc>
        <w:tc>
          <w:tcPr>
            <w:tcW w:w="0" w:type="auto"/>
            <w:tcBorders>
              <w:top w:val="single" w:sz="8" w:space="0" w:color="000000"/>
              <w:bottom w:val="single" w:sz="8" w:space="0" w:color="000000"/>
              <w:right w:val="single" w:sz="8" w:space="0" w:color="000000"/>
            </w:tcBorders>
            <w:vAlign w:val="center"/>
          </w:tcPr>
          <w:p w14:paraId="1D0662F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Multiple</w:t>
            </w:r>
          </w:p>
        </w:tc>
        <w:tc>
          <w:tcPr>
            <w:tcW w:w="0" w:type="auto"/>
            <w:tcBorders>
              <w:top w:val="single" w:sz="8" w:space="0" w:color="000000"/>
              <w:bottom w:val="single" w:sz="8" w:space="0" w:color="000000"/>
              <w:right w:val="single" w:sz="8" w:space="0" w:color="000000"/>
            </w:tcBorders>
            <w:vAlign w:val="center"/>
          </w:tcPr>
          <w:p w14:paraId="1910700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EV</w:t>
            </w:r>
          </w:p>
        </w:tc>
        <w:tc>
          <w:tcPr>
            <w:tcW w:w="0" w:type="auto"/>
            <w:tcBorders>
              <w:top w:val="single" w:sz="8" w:space="0" w:color="000000"/>
              <w:bottom w:val="single" w:sz="8" w:space="0" w:color="000000"/>
              <w:right w:val="single" w:sz="8" w:space="0" w:color="000000"/>
            </w:tcBorders>
            <w:vAlign w:val="center"/>
          </w:tcPr>
          <w:p w14:paraId="26A6C0D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Equity</w:t>
            </w:r>
          </w:p>
        </w:tc>
      </w:tr>
      <w:tr w:rsidR="00521FEF" w:rsidRPr="00C406BB" w14:paraId="10BAC0D9" w14:textId="77777777">
        <w:trPr>
          <w:cantSplit/>
          <w:tblCellSpacing w:w="0" w:type="dxa"/>
          <w:jc w:val="center"/>
        </w:trPr>
        <w:tc>
          <w:tcPr>
            <w:tcW w:w="0" w:type="auto"/>
            <w:tcBorders>
              <w:left w:val="single" w:sz="8" w:space="0" w:color="000000"/>
              <w:right w:val="single" w:sz="8" w:space="0" w:color="000000"/>
            </w:tcBorders>
            <w:vAlign w:val="center"/>
          </w:tcPr>
          <w:p w14:paraId="06B981D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AOL Internet</w:t>
            </w:r>
          </w:p>
        </w:tc>
        <w:tc>
          <w:tcPr>
            <w:tcW w:w="0" w:type="auto"/>
            <w:tcBorders>
              <w:right w:val="single" w:sz="8" w:space="0" w:color="000000"/>
            </w:tcBorders>
            <w:vAlign w:val="center"/>
          </w:tcPr>
          <w:p w14:paraId="15B65E7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$2.9B</w:t>
            </w:r>
          </w:p>
        </w:tc>
        <w:tc>
          <w:tcPr>
            <w:tcW w:w="0" w:type="auto"/>
            <w:tcBorders>
              <w:right w:val="single" w:sz="8" w:space="0" w:color="000000"/>
            </w:tcBorders>
            <w:vAlign w:val="center"/>
          </w:tcPr>
          <w:p w14:paraId="105384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35.0x</w:t>
            </w:r>
          </w:p>
        </w:tc>
        <w:tc>
          <w:tcPr>
            <w:tcW w:w="0" w:type="auto"/>
            <w:tcBorders>
              <w:right w:val="single" w:sz="8" w:space="0" w:color="000000"/>
            </w:tcBorders>
            <w:vAlign w:val="center"/>
          </w:tcPr>
          <w:p w14:paraId="6F1F55A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$101.5B</w:t>
            </w:r>
          </w:p>
        </w:tc>
        <w:tc>
          <w:tcPr>
            <w:tcW w:w="0" w:type="auto"/>
            <w:tcBorders>
              <w:right w:val="single" w:sz="8" w:space="0" w:color="000000"/>
            </w:tcBorders>
            <w:vAlign w:val="center"/>
          </w:tcPr>
          <w:p w14:paraId="2026EF6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$101.5B</w:t>
            </w:r>
          </w:p>
        </w:tc>
      </w:tr>
      <w:tr w:rsidR="00521FEF" w:rsidRPr="00C406BB" w14:paraId="0C74C542" w14:textId="77777777">
        <w:trPr>
          <w:cantSplit/>
          <w:tblCellSpacing w:w="0" w:type="dxa"/>
          <w:jc w:val="center"/>
        </w:trPr>
        <w:tc>
          <w:tcPr>
            <w:tcW w:w="0" w:type="auto"/>
            <w:tcBorders>
              <w:left w:val="single" w:sz="8" w:space="0" w:color="000000"/>
              <w:right w:val="single" w:sz="8" w:space="0" w:color="000000"/>
            </w:tcBorders>
            <w:vAlign w:val="center"/>
          </w:tcPr>
          <w:p w14:paraId="6784FF6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Cable</w:t>
            </w:r>
          </w:p>
        </w:tc>
        <w:tc>
          <w:tcPr>
            <w:tcW w:w="0" w:type="auto"/>
            <w:tcBorders>
              <w:right w:val="single" w:sz="8" w:space="0" w:color="000000"/>
            </w:tcBorders>
            <w:vAlign w:val="center"/>
          </w:tcPr>
          <w:p w14:paraId="7447D41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$3.2B</w:t>
            </w:r>
          </w:p>
        </w:tc>
        <w:tc>
          <w:tcPr>
            <w:tcW w:w="0" w:type="auto"/>
            <w:tcBorders>
              <w:right w:val="single" w:sz="8" w:space="0" w:color="000000"/>
            </w:tcBorders>
            <w:vAlign w:val="center"/>
          </w:tcPr>
          <w:p w14:paraId="02A0218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12.0x</w:t>
            </w:r>
          </w:p>
        </w:tc>
        <w:tc>
          <w:tcPr>
            <w:tcW w:w="0" w:type="auto"/>
            <w:tcBorders>
              <w:right w:val="single" w:sz="8" w:space="0" w:color="000000"/>
            </w:tcBorders>
            <w:vAlign w:val="center"/>
          </w:tcPr>
          <w:p w14:paraId="5432906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$38.4B</w:t>
            </w:r>
          </w:p>
        </w:tc>
        <w:tc>
          <w:tcPr>
            <w:tcW w:w="0" w:type="auto"/>
            <w:tcBorders>
              <w:right w:val="single" w:sz="8" w:space="0" w:color="000000"/>
            </w:tcBorders>
            <w:vAlign w:val="center"/>
          </w:tcPr>
          <w:p w14:paraId="32DABC4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$38.4B</w:t>
            </w:r>
          </w:p>
        </w:tc>
      </w:tr>
      <w:tr w:rsidR="00521FEF" w:rsidRPr="00C406BB" w14:paraId="35A50067" w14:textId="77777777">
        <w:trPr>
          <w:cantSplit/>
          <w:tblCellSpacing w:w="0" w:type="dxa"/>
          <w:jc w:val="center"/>
        </w:trPr>
        <w:tc>
          <w:tcPr>
            <w:tcW w:w="0" w:type="auto"/>
            <w:tcBorders>
              <w:left w:val="single" w:sz="8" w:space="0" w:color="000000"/>
              <w:right w:val="single" w:sz="8" w:space="0" w:color="000000"/>
            </w:tcBorders>
            <w:vAlign w:val="center"/>
          </w:tcPr>
          <w:p w14:paraId="76C03EE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Networks</w:t>
            </w:r>
          </w:p>
        </w:tc>
        <w:tc>
          <w:tcPr>
            <w:tcW w:w="0" w:type="auto"/>
            <w:tcBorders>
              <w:right w:val="single" w:sz="8" w:space="0" w:color="000000"/>
            </w:tcBorders>
            <w:vAlign w:val="center"/>
          </w:tcPr>
          <w:p w14:paraId="483B150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$2.4B</w:t>
            </w:r>
          </w:p>
        </w:tc>
        <w:tc>
          <w:tcPr>
            <w:tcW w:w="0" w:type="auto"/>
            <w:tcBorders>
              <w:right w:val="single" w:sz="8" w:space="0" w:color="000000"/>
            </w:tcBorders>
            <w:vAlign w:val="center"/>
          </w:tcPr>
          <w:p w14:paraId="1DA20B2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15.0x</w:t>
            </w:r>
          </w:p>
        </w:tc>
        <w:tc>
          <w:tcPr>
            <w:tcW w:w="0" w:type="auto"/>
            <w:tcBorders>
              <w:right w:val="single" w:sz="8" w:space="0" w:color="000000"/>
            </w:tcBorders>
            <w:vAlign w:val="center"/>
          </w:tcPr>
          <w:p w14:paraId="6C92A2B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$36.0B</w:t>
            </w:r>
          </w:p>
        </w:tc>
        <w:tc>
          <w:tcPr>
            <w:tcW w:w="0" w:type="auto"/>
            <w:tcBorders>
              <w:right w:val="single" w:sz="8" w:space="0" w:color="000000"/>
            </w:tcBorders>
            <w:vAlign w:val="center"/>
          </w:tcPr>
          <w:p w14:paraId="5078641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$36.0B</w:t>
            </w:r>
          </w:p>
        </w:tc>
      </w:tr>
      <w:tr w:rsidR="00521FEF" w:rsidRPr="00C406BB" w14:paraId="111FF353" w14:textId="77777777">
        <w:trPr>
          <w:cantSplit/>
          <w:tblCellSpacing w:w="0" w:type="dxa"/>
          <w:jc w:val="center"/>
        </w:trPr>
        <w:tc>
          <w:tcPr>
            <w:tcW w:w="0" w:type="auto"/>
            <w:tcBorders>
              <w:left w:val="single" w:sz="8" w:space="0" w:color="000000"/>
              <w:right w:val="single" w:sz="8" w:space="0" w:color="000000"/>
            </w:tcBorders>
            <w:vAlign w:val="center"/>
          </w:tcPr>
          <w:p w14:paraId="160D49C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Filmed Ent.</w:t>
            </w:r>
          </w:p>
        </w:tc>
        <w:tc>
          <w:tcPr>
            <w:tcW w:w="0" w:type="auto"/>
            <w:tcBorders>
              <w:right w:val="single" w:sz="8" w:space="0" w:color="000000"/>
            </w:tcBorders>
            <w:vAlign w:val="center"/>
          </w:tcPr>
          <w:p w14:paraId="16D459B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$1.8B</w:t>
            </w:r>
          </w:p>
        </w:tc>
        <w:tc>
          <w:tcPr>
            <w:tcW w:w="0" w:type="auto"/>
            <w:tcBorders>
              <w:right w:val="single" w:sz="8" w:space="0" w:color="000000"/>
            </w:tcBorders>
            <w:vAlign w:val="center"/>
          </w:tcPr>
          <w:p w14:paraId="6B83B0E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12.0x</w:t>
            </w:r>
          </w:p>
        </w:tc>
        <w:tc>
          <w:tcPr>
            <w:tcW w:w="0" w:type="auto"/>
            <w:tcBorders>
              <w:right w:val="single" w:sz="8" w:space="0" w:color="000000"/>
            </w:tcBorders>
            <w:vAlign w:val="center"/>
          </w:tcPr>
          <w:p w14:paraId="36276B4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$21.6B</w:t>
            </w:r>
          </w:p>
        </w:tc>
        <w:tc>
          <w:tcPr>
            <w:tcW w:w="0" w:type="auto"/>
            <w:tcBorders>
              <w:right w:val="single" w:sz="8" w:space="0" w:color="000000"/>
            </w:tcBorders>
            <w:vAlign w:val="center"/>
          </w:tcPr>
          <w:p w14:paraId="214C8F3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$21.6B</w:t>
            </w:r>
          </w:p>
        </w:tc>
      </w:tr>
      <w:tr w:rsidR="00521FEF" w:rsidRPr="00C406BB" w14:paraId="6844D608" w14:textId="77777777">
        <w:trPr>
          <w:cantSplit/>
          <w:tblCellSpacing w:w="0" w:type="dxa"/>
          <w:jc w:val="center"/>
        </w:trPr>
        <w:tc>
          <w:tcPr>
            <w:tcW w:w="0" w:type="auto"/>
            <w:tcBorders>
              <w:left w:val="single" w:sz="8" w:space="0" w:color="000000"/>
              <w:right w:val="single" w:sz="8" w:space="0" w:color="000000"/>
            </w:tcBorders>
            <w:vAlign w:val="center"/>
          </w:tcPr>
          <w:p w14:paraId="11C67AA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Music</w:t>
            </w:r>
          </w:p>
        </w:tc>
        <w:tc>
          <w:tcPr>
            <w:tcW w:w="0" w:type="auto"/>
            <w:tcBorders>
              <w:right w:val="single" w:sz="8" w:space="0" w:color="000000"/>
            </w:tcBorders>
            <w:vAlign w:val="center"/>
          </w:tcPr>
          <w:p w14:paraId="065C987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$0.8B</w:t>
            </w:r>
          </w:p>
        </w:tc>
        <w:tc>
          <w:tcPr>
            <w:tcW w:w="0" w:type="auto"/>
            <w:tcBorders>
              <w:right w:val="single" w:sz="8" w:space="0" w:color="000000"/>
            </w:tcBorders>
            <w:vAlign w:val="center"/>
          </w:tcPr>
          <w:p w14:paraId="2952A6E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10.0x</w:t>
            </w:r>
          </w:p>
        </w:tc>
        <w:tc>
          <w:tcPr>
            <w:tcW w:w="0" w:type="auto"/>
            <w:tcBorders>
              <w:right w:val="single" w:sz="8" w:space="0" w:color="000000"/>
            </w:tcBorders>
            <w:vAlign w:val="center"/>
          </w:tcPr>
          <w:p w14:paraId="62D9242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$8.0B</w:t>
            </w:r>
          </w:p>
        </w:tc>
        <w:tc>
          <w:tcPr>
            <w:tcW w:w="0" w:type="auto"/>
            <w:tcBorders>
              <w:right w:val="single" w:sz="8" w:space="0" w:color="000000"/>
            </w:tcBorders>
            <w:vAlign w:val="center"/>
          </w:tcPr>
          <w:p w14:paraId="3F4C2C1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$8.0B</w:t>
            </w:r>
          </w:p>
        </w:tc>
      </w:tr>
      <w:tr w:rsidR="00521FEF" w:rsidRPr="00C406BB" w14:paraId="4F91998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3D3E30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Publishing</w:t>
            </w:r>
          </w:p>
        </w:tc>
        <w:tc>
          <w:tcPr>
            <w:tcW w:w="0" w:type="auto"/>
            <w:tcBorders>
              <w:bottom w:val="single" w:sz="8" w:space="0" w:color="000000"/>
              <w:right w:val="single" w:sz="8" w:space="0" w:color="000000"/>
            </w:tcBorders>
            <w:vAlign w:val="center"/>
          </w:tcPr>
          <w:p w14:paraId="62B9292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$0.7B</w:t>
            </w:r>
          </w:p>
        </w:tc>
        <w:tc>
          <w:tcPr>
            <w:tcW w:w="0" w:type="auto"/>
            <w:tcBorders>
              <w:bottom w:val="single" w:sz="8" w:space="0" w:color="000000"/>
              <w:right w:val="single" w:sz="8" w:space="0" w:color="000000"/>
            </w:tcBorders>
            <w:vAlign w:val="center"/>
          </w:tcPr>
          <w:p w14:paraId="746CC46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11.0x</w:t>
            </w:r>
          </w:p>
        </w:tc>
        <w:tc>
          <w:tcPr>
            <w:tcW w:w="0" w:type="auto"/>
            <w:tcBorders>
              <w:bottom w:val="single" w:sz="8" w:space="0" w:color="000000"/>
              <w:right w:val="single" w:sz="8" w:space="0" w:color="000000"/>
            </w:tcBorders>
            <w:vAlign w:val="center"/>
          </w:tcPr>
          <w:p w14:paraId="0BB7EB0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$7.7B</w:t>
            </w:r>
          </w:p>
        </w:tc>
        <w:tc>
          <w:tcPr>
            <w:tcW w:w="0" w:type="auto"/>
            <w:tcBorders>
              <w:bottom w:val="single" w:sz="8" w:space="0" w:color="000000"/>
              <w:right w:val="single" w:sz="8" w:space="0" w:color="000000"/>
            </w:tcBorders>
            <w:vAlign w:val="center"/>
          </w:tcPr>
          <w:p w14:paraId="29C0413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$7.7B</w:t>
            </w:r>
          </w:p>
        </w:tc>
      </w:tr>
      <w:tr w:rsidR="00521FEF" w:rsidRPr="00C406BB" w14:paraId="01F7B2A5" w14:textId="77777777">
        <w:trPr>
          <w:cantSplit/>
          <w:tblCellSpacing w:w="0" w:type="dxa"/>
          <w:jc w:val="center"/>
        </w:trPr>
        <w:tc>
          <w:tcPr>
            <w:tcW w:w="0" w:type="auto"/>
            <w:tcBorders>
              <w:left w:val="single" w:sz="8" w:space="0" w:color="000000"/>
              <w:right w:val="single" w:sz="8" w:space="0" w:color="000000"/>
            </w:tcBorders>
            <w:vAlign w:val="center"/>
          </w:tcPr>
          <w:p w14:paraId="1FBB36F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w:t>
            </w:r>
          </w:p>
        </w:tc>
        <w:tc>
          <w:tcPr>
            <w:tcW w:w="0" w:type="auto"/>
            <w:tcBorders>
              <w:right w:val="single" w:sz="8" w:space="0" w:color="000000"/>
            </w:tcBorders>
            <w:vAlign w:val="center"/>
          </w:tcPr>
          <w:p w14:paraId="6C379B28"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2C48450B" w14:textId="77777777" w:rsidR="00521FEF" w:rsidRPr="00C406BB" w:rsidRDefault="00521FEF" w:rsidP="00C406BB">
            <w:pPr>
              <w:jc w:val="both"/>
              <w:rPr>
                <w:rFonts w:ascii="Times New Roman" w:hAnsi="Times New Roman" w:cs="Times New Roman"/>
                <w:sz w:val="24"/>
                <w:szCs w:val="24"/>
              </w:rPr>
            </w:pPr>
          </w:p>
        </w:tc>
        <w:tc>
          <w:tcPr>
            <w:tcW w:w="0" w:type="auto"/>
            <w:tcBorders>
              <w:right w:val="single" w:sz="8" w:space="0" w:color="000000"/>
            </w:tcBorders>
            <w:vAlign w:val="center"/>
          </w:tcPr>
          <w:p w14:paraId="6B8D860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$213.2B</w:t>
            </w:r>
          </w:p>
        </w:tc>
        <w:tc>
          <w:tcPr>
            <w:tcW w:w="0" w:type="auto"/>
            <w:tcBorders>
              <w:right w:val="single" w:sz="8" w:space="0" w:color="000000"/>
            </w:tcBorders>
            <w:vAlign w:val="center"/>
          </w:tcPr>
          <w:p w14:paraId="2F5C460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$213.2B</w:t>
            </w:r>
          </w:p>
        </w:tc>
      </w:tr>
      <w:tr w:rsidR="00521FEF" w:rsidRPr="00C406BB" w14:paraId="08F0566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68D229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Less: Net Debt</w:t>
            </w:r>
          </w:p>
        </w:tc>
        <w:tc>
          <w:tcPr>
            <w:tcW w:w="0" w:type="auto"/>
            <w:tcBorders>
              <w:bottom w:val="single" w:sz="8" w:space="0" w:color="000000"/>
              <w:right w:val="single" w:sz="8" w:space="0" w:color="000000"/>
            </w:tcBorders>
            <w:vAlign w:val="center"/>
          </w:tcPr>
          <w:p w14:paraId="3F748247"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73B6A798"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41486F33"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12DED07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($22.0B)</w:t>
            </w:r>
          </w:p>
        </w:tc>
      </w:tr>
      <w:tr w:rsidR="00521FEF" w:rsidRPr="00C406BB" w14:paraId="6117410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72E5EF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Equity Value</w:t>
            </w:r>
          </w:p>
        </w:tc>
        <w:tc>
          <w:tcPr>
            <w:tcW w:w="0" w:type="auto"/>
            <w:tcBorders>
              <w:bottom w:val="single" w:sz="8" w:space="0" w:color="000000"/>
              <w:right w:val="single" w:sz="8" w:space="0" w:color="000000"/>
            </w:tcBorders>
            <w:vAlign w:val="center"/>
          </w:tcPr>
          <w:p w14:paraId="18FF0001"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09AFF604"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3E7DAE27"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768ED892"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$191.2B</w:t>
            </w:r>
          </w:p>
        </w:tc>
      </w:tr>
    </w:tbl>
    <w:p w14:paraId="5426FAF7" w14:textId="77777777" w:rsidR="00521FEF" w:rsidRPr="00C406BB" w:rsidRDefault="00521FEF" w:rsidP="00C406BB">
      <w:pPr>
        <w:jc w:val="both"/>
        <w:rPr>
          <w:rFonts w:ascii="Times New Roman" w:hAnsi="Times New Roman" w:cs="Times New Roman"/>
          <w:sz w:val="24"/>
          <w:szCs w:val="24"/>
        </w:rPr>
      </w:pPr>
    </w:p>
    <w:p w14:paraId="7676C9D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30: Sum-of-the-Parts Valuation</w:t>
      </w:r>
    </w:p>
    <w:p w14:paraId="462B3851" w14:textId="77777777" w:rsidR="00521FEF" w:rsidRPr="00C406BB" w:rsidRDefault="00000000" w:rsidP="00C406BB">
      <w:pPr>
        <w:spacing w:after="210"/>
        <w:jc w:val="both"/>
        <w:rPr>
          <w:rFonts w:ascii="Times New Roman" w:hAnsi="Times New Roman" w:cs="Times New Roman"/>
          <w:sz w:val="24"/>
          <w:szCs w:val="24"/>
        </w:rPr>
      </w:pPr>
      <m:oMathPara>
        <m:oMath>
          <m:r>
            <m:rPr>
              <m:nor/>
            </m:rPr>
            <w:rPr>
              <w:rFonts w:ascii="Times New Roman" w:hAnsi="Times New Roman" w:cs="Times New Roman"/>
              <w:sz w:val="24"/>
              <w:szCs w:val="24"/>
            </w:rPr>
            <m:t>Value per share</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$191.2</m:t>
              </m:r>
              <m:r>
                <w:rPr>
                  <w:rFonts w:ascii="Cambria Math" w:hAnsi="Cambria Math" w:cs="Times New Roman"/>
                  <w:sz w:val="24"/>
                  <w:szCs w:val="24"/>
                </w:rPr>
                <m:t>B</m:t>
              </m:r>
            </m:num>
            <m:den>
              <m:r>
                <m:rPr>
                  <m:sty m:val="p"/>
                </m:rPr>
                <w:rPr>
                  <w:rFonts w:ascii="Cambria Math" w:hAnsi="Cambria Math" w:cs="Times New Roman"/>
                  <w:sz w:val="24"/>
                  <w:szCs w:val="24"/>
                </w:rPr>
                <m:t>4.5</m:t>
              </m:r>
              <m:r>
                <w:rPr>
                  <w:rFonts w:ascii="Cambria Math" w:hAnsi="Cambria Math" w:cs="Times New Roman"/>
                  <w:sz w:val="24"/>
                  <w:szCs w:val="24"/>
                </w:rPr>
                <m:t>B</m:t>
              </m:r>
            </m:den>
          </m:f>
          <m:r>
            <m:rPr>
              <m:sty m:val="p"/>
            </m:rPr>
            <w:rPr>
              <w:rFonts w:ascii="Cambria Math" w:hAnsi="Cambria Math" w:cs="Times New Roman"/>
              <w:sz w:val="24"/>
              <w:szCs w:val="24"/>
            </w:rPr>
            <m:t>=$42.49</m:t>
          </m:r>
        </m:oMath>
      </m:oMathPara>
    </w:p>
    <w:p w14:paraId="031C6035" w14:textId="04E08463"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This methodology suggested fair value of $42.49 per share, indicating </w:t>
      </w:r>
      <w:r w:rsidRPr="00C406BB">
        <w:rPr>
          <w:rFonts w:ascii="Times New Roman" w:hAnsi="Times New Roman" w:cs="Times New Roman"/>
          <w:b/>
          <w:sz w:val="24"/>
          <w:szCs w:val="24"/>
        </w:rPr>
        <w:t>25% overvaluation</w:t>
      </w:r>
      <w:r w:rsidRPr="00C406BB">
        <w:rPr>
          <w:rFonts w:ascii="Times New Roman" w:hAnsi="Times New Roman" w:cs="Times New Roman"/>
          <w:sz w:val="24"/>
          <w:szCs w:val="24"/>
        </w:rPr>
        <w:t xml:space="preserve"> at $57 market price. The SOTP approach assigned premium valuation to AOL's internet business (35x EBITDA) while applying conservative multiples to traditional media segments.</w:t>
      </w:r>
    </w:p>
    <w:p w14:paraId="47147D82" w14:textId="77777777" w:rsidR="00780271" w:rsidRDefault="00780271" w:rsidP="00C406BB">
      <w:pPr>
        <w:spacing w:before="240" w:line="271" w:lineRule="auto"/>
        <w:jc w:val="both"/>
        <w:rPr>
          <w:rFonts w:ascii="Times New Roman" w:hAnsi="Times New Roman" w:cs="Times New Roman"/>
          <w:b/>
          <w:sz w:val="24"/>
          <w:szCs w:val="24"/>
        </w:rPr>
      </w:pPr>
      <w:bookmarkStart w:id="79" w:name="bm_7_5_valuation_summary_and_fair_6a17b0"/>
    </w:p>
    <w:p w14:paraId="72A3907E" w14:textId="39993F0C" w:rsidR="00521FEF" w:rsidRPr="00C406BB" w:rsidRDefault="00000000" w:rsidP="00780271">
      <w:pPr>
        <w:pStyle w:val="Heading2"/>
      </w:pPr>
      <w:bookmarkStart w:id="80" w:name="_Toc221361507"/>
      <w:r w:rsidRPr="00C406BB">
        <w:t>7.5 Valuation Summary and Fair Value Range</w:t>
      </w:r>
      <w:bookmarkEnd w:id="79"/>
      <w:bookmarkEnd w:id="80"/>
    </w:p>
    <w:p w14:paraId="07EB174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Triangulation of Valuation Methodologies:</w:t>
      </w:r>
    </w:p>
    <w:tbl>
      <w:tblPr>
        <w:tblStyle w:val="NormalGrid"/>
        <w:tblW w:w="0" w:type="auto"/>
        <w:jc w:val="center"/>
        <w:tblCellSpacing w:w="0" w:type="dxa"/>
        <w:tblLook w:val="04A0" w:firstRow="1" w:lastRow="0" w:firstColumn="1" w:lastColumn="0" w:noHBand="0" w:noVBand="1"/>
      </w:tblPr>
      <w:tblGrid>
        <w:gridCol w:w="2673"/>
        <w:gridCol w:w="1973"/>
        <w:gridCol w:w="1047"/>
      </w:tblGrid>
      <w:tr w:rsidR="00521FEF" w:rsidRPr="00C406BB" w14:paraId="218C60B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0E9DA8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Method</w:t>
            </w:r>
          </w:p>
        </w:tc>
        <w:tc>
          <w:tcPr>
            <w:tcW w:w="0" w:type="auto"/>
            <w:tcBorders>
              <w:top w:val="single" w:sz="8" w:space="0" w:color="000000"/>
              <w:bottom w:val="single" w:sz="8" w:space="0" w:color="000000"/>
              <w:right w:val="single" w:sz="8" w:space="0" w:color="000000"/>
            </w:tcBorders>
            <w:vAlign w:val="center"/>
          </w:tcPr>
          <w:p w14:paraId="0671936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Fair Value/Share</w:t>
            </w:r>
          </w:p>
        </w:tc>
        <w:tc>
          <w:tcPr>
            <w:tcW w:w="0" w:type="auto"/>
            <w:tcBorders>
              <w:top w:val="single" w:sz="8" w:space="0" w:color="000000"/>
              <w:bottom w:val="single" w:sz="8" w:space="0" w:color="000000"/>
              <w:right w:val="single" w:sz="8" w:space="0" w:color="000000"/>
            </w:tcBorders>
            <w:vAlign w:val="center"/>
          </w:tcPr>
          <w:p w14:paraId="4E2FF9B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Weight</w:t>
            </w:r>
          </w:p>
        </w:tc>
      </w:tr>
      <w:tr w:rsidR="00521FEF" w:rsidRPr="00C406BB" w14:paraId="23A6F205" w14:textId="77777777">
        <w:trPr>
          <w:cantSplit/>
          <w:tblCellSpacing w:w="0" w:type="dxa"/>
          <w:jc w:val="center"/>
        </w:trPr>
        <w:tc>
          <w:tcPr>
            <w:tcW w:w="0" w:type="auto"/>
            <w:tcBorders>
              <w:left w:val="single" w:sz="8" w:space="0" w:color="000000"/>
              <w:right w:val="single" w:sz="8" w:space="0" w:color="000000"/>
            </w:tcBorders>
            <w:vAlign w:val="center"/>
          </w:tcPr>
          <w:p w14:paraId="21660D0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DCF Analysis</w:t>
            </w:r>
          </w:p>
        </w:tc>
        <w:tc>
          <w:tcPr>
            <w:tcW w:w="0" w:type="auto"/>
            <w:tcBorders>
              <w:right w:val="single" w:sz="8" w:space="0" w:color="000000"/>
            </w:tcBorders>
            <w:vAlign w:val="center"/>
          </w:tcPr>
          <w:p w14:paraId="630F0EF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$12.91</w:t>
            </w:r>
          </w:p>
        </w:tc>
        <w:tc>
          <w:tcPr>
            <w:tcW w:w="0" w:type="auto"/>
            <w:tcBorders>
              <w:right w:val="single" w:sz="8" w:space="0" w:color="000000"/>
            </w:tcBorders>
            <w:vAlign w:val="center"/>
          </w:tcPr>
          <w:p w14:paraId="53BD63B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30%</w:t>
            </w:r>
          </w:p>
        </w:tc>
      </w:tr>
      <w:tr w:rsidR="00521FEF" w:rsidRPr="00C406BB" w14:paraId="035BDECE" w14:textId="77777777">
        <w:trPr>
          <w:cantSplit/>
          <w:tblCellSpacing w:w="0" w:type="dxa"/>
          <w:jc w:val="center"/>
        </w:trPr>
        <w:tc>
          <w:tcPr>
            <w:tcW w:w="0" w:type="auto"/>
            <w:tcBorders>
              <w:left w:val="single" w:sz="8" w:space="0" w:color="000000"/>
              <w:right w:val="single" w:sz="8" w:space="0" w:color="000000"/>
            </w:tcBorders>
            <w:vAlign w:val="center"/>
          </w:tcPr>
          <w:p w14:paraId="569F666F"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Comparable Companies</w:t>
            </w:r>
          </w:p>
        </w:tc>
        <w:tc>
          <w:tcPr>
            <w:tcW w:w="0" w:type="auto"/>
            <w:tcBorders>
              <w:right w:val="single" w:sz="8" w:space="0" w:color="000000"/>
            </w:tcBorders>
            <w:vAlign w:val="center"/>
          </w:tcPr>
          <w:p w14:paraId="3C29882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$23.56</w:t>
            </w:r>
          </w:p>
        </w:tc>
        <w:tc>
          <w:tcPr>
            <w:tcW w:w="0" w:type="auto"/>
            <w:tcBorders>
              <w:right w:val="single" w:sz="8" w:space="0" w:color="000000"/>
            </w:tcBorders>
            <w:vAlign w:val="center"/>
          </w:tcPr>
          <w:p w14:paraId="2058A26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25%</w:t>
            </w:r>
          </w:p>
        </w:tc>
      </w:tr>
      <w:tr w:rsidR="00521FEF" w:rsidRPr="00C406BB" w14:paraId="10C5622E" w14:textId="77777777">
        <w:trPr>
          <w:cantSplit/>
          <w:tblCellSpacing w:w="0" w:type="dxa"/>
          <w:jc w:val="center"/>
        </w:trPr>
        <w:tc>
          <w:tcPr>
            <w:tcW w:w="0" w:type="auto"/>
            <w:tcBorders>
              <w:left w:val="single" w:sz="8" w:space="0" w:color="000000"/>
              <w:right w:val="single" w:sz="8" w:space="0" w:color="000000"/>
            </w:tcBorders>
            <w:vAlign w:val="center"/>
          </w:tcPr>
          <w:p w14:paraId="767F48F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Precedent Transactions</w:t>
            </w:r>
          </w:p>
        </w:tc>
        <w:tc>
          <w:tcPr>
            <w:tcW w:w="0" w:type="auto"/>
            <w:tcBorders>
              <w:right w:val="single" w:sz="8" w:space="0" w:color="000000"/>
            </w:tcBorders>
            <w:vAlign w:val="center"/>
          </w:tcPr>
          <w:p w14:paraId="0C1E4A0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$29.50</w:t>
            </w:r>
          </w:p>
        </w:tc>
        <w:tc>
          <w:tcPr>
            <w:tcW w:w="0" w:type="auto"/>
            <w:tcBorders>
              <w:right w:val="single" w:sz="8" w:space="0" w:color="000000"/>
            </w:tcBorders>
            <w:vAlign w:val="center"/>
          </w:tcPr>
          <w:p w14:paraId="010AA76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w:t>
            </w:r>
          </w:p>
        </w:tc>
      </w:tr>
      <w:tr w:rsidR="00521FEF" w:rsidRPr="00C406BB" w14:paraId="03925F0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543BE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Sum-of-the-Parts</w:t>
            </w:r>
          </w:p>
        </w:tc>
        <w:tc>
          <w:tcPr>
            <w:tcW w:w="0" w:type="auto"/>
            <w:tcBorders>
              <w:bottom w:val="single" w:sz="8" w:space="0" w:color="000000"/>
              <w:right w:val="single" w:sz="8" w:space="0" w:color="000000"/>
            </w:tcBorders>
            <w:vAlign w:val="center"/>
          </w:tcPr>
          <w:p w14:paraId="5D8BE7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$42.49</w:t>
            </w:r>
          </w:p>
        </w:tc>
        <w:tc>
          <w:tcPr>
            <w:tcW w:w="0" w:type="auto"/>
            <w:tcBorders>
              <w:bottom w:val="single" w:sz="8" w:space="0" w:color="000000"/>
              <w:right w:val="single" w:sz="8" w:space="0" w:color="000000"/>
            </w:tcBorders>
            <w:vAlign w:val="center"/>
          </w:tcPr>
          <w:p w14:paraId="5B48668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25%</w:t>
            </w:r>
          </w:p>
        </w:tc>
      </w:tr>
      <w:tr w:rsidR="00521FEF" w:rsidRPr="00C406BB" w14:paraId="1E6F448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5541E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Weighted Average</w:t>
            </w:r>
          </w:p>
        </w:tc>
        <w:tc>
          <w:tcPr>
            <w:tcW w:w="0" w:type="auto"/>
            <w:tcBorders>
              <w:bottom w:val="single" w:sz="8" w:space="0" w:color="000000"/>
              <w:right w:val="single" w:sz="8" w:space="0" w:color="000000"/>
            </w:tcBorders>
            <w:vAlign w:val="center"/>
          </w:tcPr>
          <w:p w14:paraId="5ECEF08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$26.24</w:t>
            </w:r>
          </w:p>
        </w:tc>
        <w:tc>
          <w:tcPr>
            <w:tcW w:w="0" w:type="auto"/>
            <w:tcBorders>
              <w:bottom w:val="single" w:sz="8" w:space="0" w:color="000000"/>
              <w:right w:val="single" w:sz="8" w:space="0" w:color="000000"/>
            </w:tcBorders>
            <w:vAlign w:val="center"/>
          </w:tcPr>
          <w:p w14:paraId="43EE0CD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100%</w:t>
            </w:r>
          </w:p>
        </w:tc>
      </w:tr>
    </w:tbl>
    <w:p w14:paraId="2DA4161B" w14:textId="77777777" w:rsidR="00521FEF" w:rsidRPr="00C406BB" w:rsidRDefault="00521FEF" w:rsidP="00C406BB">
      <w:pPr>
        <w:jc w:val="both"/>
        <w:rPr>
          <w:rFonts w:ascii="Times New Roman" w:hAnsi="Times New Roman" w:cs="Times New Roman"/>
          <w:sz w:val="24"/>
          <w:szCs w:val="24"/>
        </w:rPr>
      </w:pPr>
    </w:p>
    <w:p w14:paraId="0AF0CC5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lastRenderedPageBreak/>
        <w:t>Table 31: Valuation Summary</w:t>
      </w:r>
    </w:p>
    <w:p w14:paraId="52DC313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Fair Value Range:</w:t>
      </w:r>
      <w:r w:rsidRPr="00C406BB">
        <w:rPr>
          <w:rFonts w:ascii="Times New Roman" w:eastAsia="Georgia" w:hAnsi="Times New Roman" w:cs="Times New Roman"/>
          <w:sz w:val="24"/>
          <w:szCs w:val="24"/>
        </w:rPr>
        <w:t xml:space="preserve"> $23-$30 per share (±15% from weighted average)</w:t>
      </w:r>
    </w:p>
    <w:p w14:paraId="6458343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Market Price (February 2000):</w:t>
      </w:r>
      <w:r w:rsidRPr="00C406BB">
        <w:rPr>
          <w:rFonts w:ascii="Times New Roman" w:hAnsi="Times New Roman" w:cs="Times New Roman"/>
          <w:sz w:val="24"/>
          <w:szCs w:val="24"/>
        </w:rPr>
        <w:t xml:space="preserve"> $57 per share</w:t>
      </w:r>
    </w:p>
    <w:p w14:paraId="26D7EEC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Overvaluation:</w:t>
      </w:r>
      <w:r w:rsidRPr="00C406BB">
        <w:rPr>
          <w:rFonts w:ascii="Times New Roman" w:hAnsi="Times New Roman" w:cs="Times New Roman"/>
          <w:sz w:val="24"/>
          <w:szCs w:val="24"/>
        </w:rPr>
        <w:t xml:space="preserve"> 95-115% above fair value range</w:t>
      </w:r>
    </w:p>
    <w:p w14:paraId="44F04F77" w14:textId="7A9232B6"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This comprehensive valuation analysis strongly suggested AOL Time Warner shares traded at substantial premium to intrinsic value, driven by internet bubble euphoria rather than fundamental business value.</w:t>
      </w:r>
    </w:p>
    <w:p w14:paraId="522555C8" w14:textId="55B06F45" w:rsidR="00521FEF" w:rsidRPr="00C406BB" w:rsidRDefault="00521FEF" w:rsidP="00C406BB">
      <w:pPr>
        <w:jc w:val="both"/>
        <w:rPr>
          <w:rFonts w:ascii="Times New Roman" w:hAnsi="Times New Roman" w:cs="Times New Roman"/>
          <w:sz w:val="24"/>
          <w:szCs w:val="24"/>
        </w:rPr>
      </w:pPr>
    </w:p>
    <w:p w14:paraId="7D58B36B" w14:textId="77777777" w:rsidR="00521FEF" w:rsidRPr="00C406BB" w:rsidRDefault="00000000" w:rsidP="00780271">
      <w:pPr>
        <w:pStyle w:val="Heading1"/>
      </w:pPr>
      <w:bookmarkStart w:id="81" w:name="bm_8_risk_assessment_and_integrat_4ec3c5"/>
      <w:bookmarkStart w:id="82" w:name="_Toc221361508"/>
      <w:r w:rsidRPr="00C406BB">
        <w:t>8. Risk Assessment and Integration Challenges</w:t>
      </w:r>
      <w:bookmarkEnd w:id="81"/>
      <w:bookmarkEnd w:id="82"/>
    </w:p>
    <w:p w14:paraId="7849E724" w14:textId="77777777" w:rsidR="00780271" w:rsidRDefault="00780271" w:rsidP="00780271">
      <w:pPr>
        <w:pStyle w:val="Heading2"/>
      </w:pPr>
      <w:bookmarkStart w:id="83" w:name="bm_8_1_strategic_and_execution_risks"/>
    </w:p>
    <w:p w14:paraId="4EE800F0" w14:textId="62F8A7CA" w:rsidR="00521FEF" w:rsidRPr="00C406BB" w:rsidRDefault="00000000" w:rsidP="00780271">
      <w:pPr>
        <w:pStyle w:val="Heading2"/>
      </w:pPr>
      <w:bookmarkStart w:id="84" w:name="_Toc221361509"/>
      <w:r w:rsidRPr="00C406BB">
        <w:t>8.1 Strategic and Execution Risks</w:t>
      </w:r>
      <w:bookmarkEnd w:id="83"/>
      <w:bookmarkEnd w:id="84"/>
    </w:p>
    <w:p w14:paraId="3578D4C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Cultural Integration Risks:</w:t>
      </w:r>
    </w:p>
    <w:p w14:paraId="778784B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merger combined two organizations with fundamentally different cultures:</w:t>
      </w:r>
    </w:p>
    <w:p w14:paraId="24FC84E8" w14:textId="77777777" w:rsidR="00521FEF" w:rsidRPr="00C406BB" w:rsidRDefault="00000000" w:rsidP="00C406BB">
      <w:pPr>
        <w:numPr>
          <w:ilvl w:val="0"/>
          <w:numId w:val="25"/>
        </w:numPr>
        <w:jc w:val="both"/>
        <w:rPr>
          <w:rFonts w:ascii="Times New Roman" w:hAnsi="Times New Roman" w:cs="Times New Roman"/>
          <w:sz w:val="24"/>
          <w:szCs w:val="24"/>
        </w:rPr>
      </w:pPr>
      <w:r w:rsidRPr="00C406BB">
        <w:rPr>
          <w:rFonts w:ascii="Times New Roman" w:hAnsi="Times New Roman" w:cs="Times New Roman"/>
          <w:b/>
          <w:sz w:val="24"/>
          <w:szCs w:val="24"/>
        </w:rPr>
        <w:t>AOL culture:</w:t>
      </w:r>
      <w:r w:rsidRPr="00C406BB">
        <w:rPr>
          <w:rFonts w:ascii="Times New Roman" w:hAnsi="Times New Roman" w:cs="Times New Roman"/>
          <w:sz w:val="24"/>
          <w:szCs w:val="24"/>
        </w:rPr>
        <w:t xml:space="preserve"> Fast-paced, entrepreneurial, internet-focused, casual</w:t>
      </w:r>
    </w:p>
    <w:p w14:paraId="068372F4" w14:textId="77777777" w:rsidR="00521FEF" w:rsidRPr="00C406BB" w:rsidRDefault="00000000" w:rsidP="00C406BB">
      <w:pPr>
        <w:numPr>
          <w:ilvl w:val="0"/>
          <w:numId w:val="25"/>
        </w:numPr>
        <w:jc w:val="both"/>
        <w:rPr>
          <w:rFonts w:ascii="Times New Roman" w:hAnsi="Times New Roman" w:cs="Times New Roman"/>
          <w:sz w:val="24"/>
          <w:szCs w:val="24"/>
        </w:rPr>
      </w:pPr>
      <w:r w:rsidRPr="00C406BB">
        <w:rPr>
          <w:rFonts w:ascii="Times New Roman" w:hAnsi="Times New Roman" w:cs="Times New Roman"/>
          <w:b/>
          <w:sz w:val="24"/>
          <w:szCs w:val="24"/>
        </w:rPr>
        <w:t>Time Warner culture:</w:t>
      </w:r>
      <w:r w:rsidRPr="00C406BB">
        <w:rPr>
          <w:rFonts w:ascii="Times New Roman" w:hAnsi="Times New Roman" w:cs="Times New Roman"/>
          <w:sz w:val="24"/>
          <w:szCs w:val="24"/>
        </w:rPr>
        <w:t xml:space="preserve"> Established, hierarchical, traditional media, corporate</w:t>
      </w:r>
    </w:p>
    <w:p w14:paraId="7BDDB6BB" w14:textId="77777777" w:rsidR="00521FEF" w:rsidRPr="00C406BB" w:rsidRDefault="00000000" w:rsidP="00C406BB">
      <w:pPr>
        <w:numPr>
          <w:ilvl w:val="0"/>
          <w:numId w:val="25"/>
        </w:numPr>
        <w:jc w:val="both"/>
        <w:rPr>
          <w:rFonts w:ascii="Times New Roman" w:hAnsi="Times New Roman" w:cs="Times New Roman"/>
          <w:sz w:val="24"/>
          <w:szCs w:val="24"/>
        </w:rPr>
      </w:pPr>
      <w:r w:rsidRPr="00C406BB">
        <w:rPr>
          <w:rFonts w:ascii="Times New Roman" w:hAnsi="Times New Roman" w:cs="Times New Roman"/>
          <w:b/>
          <w:sz w:val="24"/>
          <w:szCs w:val="24"/>
        </w:rPr>
        <w:t>Integration challenge:</w:t>
      </w:r>
      <w:r w:rsidRPr="00C406BB">
        <w:rPr>
          <w:rFonts w:ascii="Times New Roman" w:hAnsi="Times New Roman" w:cs="Times New Roman"/>
          <w:sz w:val="24"/>
          <w:szCs w:val="24"/>
        </w:rPr>
        <w:t xml:space="preserve"> Bridging 85-year age gap between internet startup (AOL founded 1985) and media conglomerate (Warner Bros. founded 1923)</w:t>
      </w:r>
    </w:p>
    <w:p w14:paraId="03B817B4" w14:textId="47F6969F"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Historical evidence from large mergers suggested 60-70% failure rate when combining disparate cultures, with integration challenges persisting 3-5 years post-</w:t>
      </w:r>
      <w:r w:rsidR="00780271" w:rsidRPr="00C406BB">
        <w:rPr>
          <w:rFonts w:ascii="Times New Roman" w:hAnsi="Times New Roman" w:cs="Times New Roman"/>
          <w:sz w:val="24"/>
          <w:szCs w:val="24"/>
        </w:rPr>
        <w:t>closing</w:t>
      </w:r>
      <w:r w:rsidRPr="00C406BB">
        <w:rPr>
          <w:rFonts w:ascii="Times New Roman" w:hAnsi="Times New Roman" w:cs="Times New Roman"/>
          <w:sz w:val="24"/>
          <w:szCs w:val="24"/>
        </w:rPr>
        <w:t>.</w:t>
      </w:r>
    </w:p>
    <w:p w14:paraId="4871F9E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Technology Integration Complexity:</w:t>
      </w:r>
    </w:p>
    <w:p w14:paraId="578DF96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Combining AOL's internet infrastructure with Time Warner's cable, content production, and distribution systems required:</w:t>
      </w:r>
    </w:p>
    <w:p w14:paraId="7CA4B083" w14:textId="77777777" w:rsidR="00521FEF" w:rsidRPr="00C406BB" w:rsidRDefault="00000000" w:rsidP="00C406BB">
      <w:pPr>
        <w:numPr>
          <w:ilvl w:val="0"/>
          <w:numId w:val="26"/>
        </w:numPr>
        <w:jc w:val="both"/>
        <w:rPr>
          <w:rFonts w:ascii="Times New Roman" w:hAnsi="Times New Roman" w:cs="Times New Roman"/>
          <w:sz w:val="24"/>
          <w:szCs w:val="24"/>
        </w:rPr>
      </w:pPr>
      <w:r w:rsidRPr="00C406BB">
        <w:rPr>
          <w:rFonts w:ascii="Times New Roman" w:hAnsi="Times New Roman" w:cs="Times New Roman"/>
          <w:sz w:val="24"/>
          <w:szCs w:val="24"/>
        </w:rPr>
        <w:t>Unifying disparate IT systems across 6 major business divisions</w:t>
      </w:r>
    </w:p>
    <w:p w14:paraId="55148D38" w14:textId="77777777" w:rsidR="00521FEF" w:rsidRPr="00C406BB" w:rsidRDefault="00000000" w:rsidP="00C406BB">
      <w:pPr>
        <w:numPr>
          <w:ilvl w:val="0"/>
          <w:numId w:val="26"/>
        </w:numPr>
        <w:jc w:val="both"/>
        <w:rPr>
          <w:rFonts w:ascii="Times New Roman" w:hAnsi="Times New Roman" w:cs="Times New Roman"/>
          <w:sz w:val="24"/>
          <w:szCs w:val="24"/>
        </w:rPr>
      </w:pPr>
      <w:r w:rsidRPr="00C406BB">
        <w:rPr>
          <w:rFonts w:ascii="Times New Roman" w:hAnsi="Times New Roman" w:cs="Times New Roman"/>
          <w:sz w:val="24"/>
          <w:szCs w:val="24"/>
        </w:rPr>
        <w:t>Integrating subscriber databases (AOL: 24M internet subscribers; TWC: 13M cable subscribers)</w:t>
      </w:r>
    </w:p>
    <w:p w14:paraId="107A924F" w14:textId="77777777" w:rsidR="00521FEF" w:rsidRPr="00C406BB" w:rsidRDefault="00000000" w:rsidP="00C406BB">
      <w:pPr>
        <w:numPr>
          <w:ilvl w:val="0"/>
          <w:numId w:val="26"/>
        </w:numPr>
        <w:jc w:val="both"/>
        <w:rPr>
          <w:rFonts w:ascii="Times New Roman" w:hAnsi="Times New Roman" w:cs="Times New Roman"/>
          <w:sz w:val="24"/>
          <w:szCs w:val="24"/>
        </w:rPr>
      </w:pPr>
      <w:r w:rsidRPr="00C406BB">
        <w:rPr>
          <w:rFonts w:ascii="Times New Roman" w:hAnsi="Times New Roman" w:cs="Times New Roman"/>
          <w:sz w:val="24"/>
          <w:szCs w:val="24"/>
        </w:rPr>
        <w:t>Coordinating content delivery across multiple platforms</w:t>
      </w:r>
    </w:p>
    <w:p w14:paraId="494BA8EE" w14:textId="77777777" w:rsidR="00521FEF" w:rsidRPr="00C406BB" w:rsidRDefault="00000000" w:rsidP="00C406BB">
      <w:pPr>
        <w:numPr>
          <w:ilvl w:val="0"/>
          <w:numId w:val="26"/>
        </w:numPr>
        <w:jc w:val="both"/>
        <w:rPr>
          <w:rFonts w:ascii="Times New Roman" w:hAnsi="Times New Roman" w:cs="Times New Roman"/>
          <w:sz w:val="24"/>
          <w:szCs w:val="24"/>
        </w:rPr>
      </w:pPr>
      <w:r w:rsidRPr="00C406BB">
        <w:rPr>
          <w:rFonts w:ascii="Times New Roman" w:hAnsi="Times New Roman" w:cs="Times New Roman"/>
          <w:sz w:val="24"/>
          <w:szCs w:val="24"/>
        </w:rPr>
        <w:t>Standardizing technology platforms and vendor relationships</w:t>
      </w:r>
    </w:p>
    <w:p w14:paraId="769C903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Estimated integration costs: $1.5-2.0 billion over three years.</w:t>
      </w:r>
    </w:p>
    <w:p w14:paraId="6F54B0E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Management and Governance Risks:</w:t>
      </w:r>
    </w:p>
    <w:p w14:paraId="1F1410A6" w14:textId="3FADD96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co-CEO structure (Steve Case from AOL, Gerald Levin from Time Warner) and divided board representation created potential for strategic gridlock and power struggles. Historical precedent suggested co-CEO structures failed 75% of the time in large mergers.</w:t>
      </w:r>
    </w:p>
    <w:p w14:paraId="5FCF6BB9" w14:textId="77777777" w:rsidR="00521FEF" w:rsidRPr="00C406BB" w:rsidRDefault="00000000" w:rsidP="00780271">
      <w:pPr>
        <w:pStyle w:val="Heading2"/>
      </w:pPr>
      <w:bookmarkStart w:id="85" w:name="bm_8_2_market_and_industry_risks"/>
      <w:bookmarkStart w:id="86" w:name="_Toc221361510"/>
      <w:r w:rsidRPr="00C406BB">
        <w:lastRenderedPageBreak/>
        <w:t>8.2 Market and Industry Risks</w:t>
      </w:r>
      <w:bookmarkEnd w:id="85"/>
      <w:bookmarkEnd w:id="86"/>
    </w:p>
    <w:p w14:paraId="3364739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Internet Advertising Market Deterioration:</w:t>
      </w:r>
    </w:p>
    <w:p w14:paraId="2FB4655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By early 2000, warning signs emerged in online advertising:</w:t>
      </w:r>
    </w:p>
    <w:p w14:paraId="369FA400" w14:textId="77777777" w:rsidR="00521FEF" w:rsidRPr="00C406BB" w:rsidRDefault="00000000" w:rsidP="00C406BB">
      <w:pPr>
        <w:numPr>
          <w:ilvl w:val="0"/>
          <w:numId w:val="27"/>
        </w:numPr>
        <w:jc w:val="both"/>
        <w:rPr>
          <w:rFonts w:ascii="Times New Roman" w:hAnsi="Times New Roman" w:cs="Times New Roman"/>
          <w:sz w:val="24"/>
          <w:szCs w:val="24"/>
        </w:rPr>
      </w:pPr>
      <w:r w:rsidRPr="00C406BB">
        <w:rPr>
          <w:rFonts w:ascii="Times New Roman" w:hAnsi="Times New Roman" w:cs="Times New Roman"/>
          <w:sz w:val="24"/>
          <w:szCs w:val="24"/>
        </w:rPr>
        <w:t>Declining CPM rates (cost per thousand impressions)</w:t>
      </w:r>
    </w:p>
    <w:p w14:paraId="25636A18" w14:textId="77777777" w:rsidR="00521FEF" w:rsidRPr="00C406BB" w:rsidRDefault="00000000" w:rsidP="00C406BB">
      <w:pPr>
        <w:numPr>
          <w:ilvl w:val="0"/>
          <w:numId w:val="27"/>
        </w:numPr>
        <w:jc w:val="both"/>
        <w:rPr>
          <w:rFonts w:ascii="Times New Roman" w:hAnsi="Times New Roman" w:cs="Times New Roman"/>
          <w:sz w:val="24"/>
          <w:szCs w:val="24"/>
        </w:rPr>
      </w:pPr>
      <w:r w:rsidRPr="00C406BB">
        <w:rPr>
          <w:rFonts w:ascii="Times New Roman" w:hAnsi="Times New Roman" w:cs="Times New Roman"/>
          <w:sz w:val="24"/>
          <w:szCs w:val="24"/>
        </w:rPr>
        <w:t>Dot-com company failures reducing advertiser base</w:t>
      </w:r>
    </w:p>
    <w:p w14:paraId="71E9E93E" w14:textId="77777777" w:rsidR="00521FEF" w:rsidRPr="00C406BB" w:rsidRDefault="00000000" w:rsidP="00C406BB">
      <w:pPr>
        <w:numPr>
          <w:ilvl w:val="0"/>
          <w:numId w:val="27"/>
        </w:numPr>
        <w:jc w:val="both"/>
        <w:rPr>
          <w:rFonts w:ascii="Times New Roman" w:hAnsi="Times New Roman" w:cs="Times New Roman"/>
          <w:sz w:val="24"/>
          <w:szCs w:val="24"/>
        </w:rPr>
      </w:pPr>
      <w:r w:rsidRPr="00C406BB">
        <w:rPr>
          <w:rFonts w:ascii="Times New Roman" w:hAnsi="Times New Roman" w:cs="Times New Roman"/>
          <w:sz w:val="24"/>
          <w:szCs w:val="24"/>
        </w:rPr>
        <w:t>Increasing skepticism about internet advertising effectiveness</w:t>
      </w:r>
    </w:p>
    <w:p w14:paraId="35A5D726" w14:textId="77777777" w:rsidR="00521FEF" w:rsidRPr="00C406BB" w:rsidRDefault="00000000" w:rsidP="00C406BB">
      <w:pPr>
        <w:numPr>
          <w:ilvl w:val="0"/>
          <w:numId w:val="27"/>
        </w:numPr>
        <w:jc w:val="both"/>
        <w:rPr>
          <w:rFonts w:ascii="Times New Roman" w:hAnsi="Times New Roman" w:cs="Times New Roman"/>
          <w:sz w:val="24"/>
          <w:szCs w:val="24"/>
        </w:rPr>
      </w:pPr>
      <w:r w:rsidRPr="00C406BB">
        <w:rPr>
          <w:rFonts w:ascii="Times New Roman" w:hAnsi="Times New Roman" w:cs="Times New Roman"/>
          <w:sz w:val="24"/>
          <w:szCs w:val="24"/>
        </w:rPr>
        <w:t>Growing inventory of unsold ad space across web properties</w:t>
      </w:r>
    </w:p>
    <w:p w14:paraId="363BAEBD" w14:textId="41793FD5"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AOL derived 20-25% of revenue from advertising, creating significant exposure to market downturn.</w:t>
      </w:r>
    </w:p>
    <w:p w14:paraId="2AAB4BA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Broadband Transition Risk:</w:t>
      </w:r>
    </w:p>
    <w:p w14:paraId="0881E19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AOL's dial-up subscriber base faced existential threat from broadband:</w:t>
      </w:r>
    </w:p>
    <w:p w14:paraId="79B93AB8" w14:textId="77777777" w:rsidR="00521FEF" w:rsidRPr="00C406BB" w:rsidRDefault="00000000" w:rsidP="00C406BB">
      <w:pPr>
        <w:numPr>
          <w:ilvl w:val="0"/>
          <w:numId w:val="28"/>
        </w:numPr>
        <w:jc w:val="both"/>
        <w:rPr>
          <w:rFonts w:ascii="Times New Roman" w:hAnsi="Times New Roman" w:cs="Times New Roman"/>
          <w:sz w:val="24"/>
          <w:szCs w:val="24"/>
        </w:rPr>
      </w:pPr>
      <w:r w:rsidRPr="00C406BB">
        <w:rPr>
          <w:rFonts w:ascii="Times New Roman" w:hAnsi="Times New Roman" w:cs="Times New Roman"/>
          <w:sz w:val="24"/>
          <w:szCs w:val="24"/>
        </w:rPr>
        <w:t>Cable modems and DSL offering 10-50x faster speeds</w:t>
      </w:r>
    </w:p>
    <w:p w14:paraId="520E9A41" w14:textId="77777777" w:rsidR="00521FEF" w:rsidRPr="00C406BB" w:rsidRDefault="00000000" w:rsidP="00C406BB">
      <w:pPr>
        <w:numPr>
          <w:ilvl w:val="0"/>
          <w:numId w:val="28"/>
        </w:numPr>
        <w:jc w:val="both"/>
        <w:rPr>
          <w:rFonts w:ascii="Times New Roman" w:hAnsi="Times New Roman" w:cs="Times New Roman"/>
          <w:sz w:val="24"/>
          <w:szCs w:val="24"/>
        </w:rPr>
      </w:pPr>
      <w:r w:rsidRPr="00C406BB">
        <w:rPr>
          <w:rFonts w:ascii="Times New Roman" w:hAnsi="Times New Roman" w:cs="Times New Roman"/>
          <w:sz w:val="24"/>
          <w:szCs w:val="24"/>
        </w:rPr>
        <w:t>AOL's proprietary software and "walled garden" approach increasingly obsolete</w:t>
      </w:r>
    </w:p>
    <w:p w14:paraId="1540A1BB" w14:textId="77777777" w:rsidR="00521FEF" w:rsidRPr="00C406BB" w:rsidRDefault="00000000" w:rsidP="00C406BB">
      <w:pPr>
        <w:numPr>
          <w:ilvl w:val="0"/>
          <w:numId w:val="28"/>
        </w:numPr>
        <w:jc w:val="both"/>
        <w:rPr>
          <w:rFonts w:ascii="Times New Roman" w:hAnsi="Times New Roman" w:cs="Times New Roman"/>
          <w:sz w:val="24"/>
          <w:szCs w:val="24"/>
        </w:rPr>
      </w:pPr>
      <w:r w:rsidRPr="00C406BB">
        <w:rPr>
          <w:rFonts w:ascii="Times New Roman" w:hAnsi="Times New Roman" w:cs="Times New Roman"/>
          <w:sz w:val="24"/>
          <w:szCs w:val="24"/>
        </w:rPr>
        <w:t>Time Warner Cable's potential cannibalization of AOL subscribers</w:t>
      </w:r>
    </w:p>
    <w:p w14:paraId="6B894EE9" w14:textId="77777777" w:rsidR="00521FEF" w:rsidRPr="00C406BB" w:rsidRDefault="00000000" w:rsidP="00C406BB">
      <w:pPr>
        <w:numPr>
          <w:ilvl w:val="0"/>
          <w:numId w:val="28"/>
        </w:numPr>
        <w:jc w:val="both"/>
        <w:rPr>
          <w:rFonts w:ascii="Times New Roman" w:hAnsi="Times New Roman" w:cs="Times New Roman"/>
          <w:sz w:val="24"/>
          <w:szCs w:val="24"/>
        </w:rPr>
      </w:pPr>
      <w:r w:rsidRPr="00C406BB">
        <w:rPr>
          <w:rFonts w:ascii="Times New Roman" w:hAnsi="Times New Roman" w:cs="Times New Roman"/>
          <w:sz w:val="24"/>
          <w:szCs w:val="24"/>
        </w:rPr>
        <w:t>Difficulty monetizing broadband subscribers at dial-up ARPU levels</w:t>
      </w:r>
    </w:p>
    <w:p w14:paraId="0DA5218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Industry analysts projected dial-up subscribers would decline 15-25% annually beginning 2001-2002.</w:t>
      </w:r>
    </w:p>
    <w:p w14:paraId="13040CA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Regulatory and Antitrust Scrutiny:</w:t>
      </w:r>
    </w:p>
    <w:p w14:paraId="1D65A5D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FTC and DOJ subjected the merger to intensive review focusing on:</w:t>
      </w:r>
    </w:p>
    <w:p w14:paraId="5F977CF9" w14:textId="77777777" w:rsidR="00521FEF" w:rsidRPr="00C406BB" w:rsidRDefault="00000000" w:rsidP="00C406BB">
      <w:pPr>
        <w:numPr>
          <w:ilvl w:val="0"/>
          <w:numId w:val="29"/>
        </w:numPr>
        <w:jc w:val="both"/>
        <w:rPr>
          <w:rFonts w:ascii="Times New Roman" w:hAnsi="Times New Roman" w:cs="Times New Roman"/>
          <w:sz w:val="24"/>
          <w:szCs w:val="24"/>
        </w:rPr>
      </w:pPr>
      <w:r w:rsidRPr="00C406BB">
        <w:rPr>
          <w:rFonts w:ascii="Times New Roman" w:hAnsi="Times New Roman" w:cs="Times New Roman"/>
          <w:sz w:val="24"/>
          <w:szCs w:val="24"/>
        </w:rPr>
        <w:t>Cable/internet bundling and access issues</w:t>
      </w:r>
    </w:p>
    <w:p w14:paraId="51A236D2" w14:textId="77777777" w:rsidR="00521FEF" w:rsidRPr="00C406BB" w:rsidRDefault="00000000" w:rsidP="00C406BB">
      <w:pPr>
        <w:numPr>
          <w:ilvl w:val="0"/>
          <w:numId w:val="29"/>
        </w:numPr>
        <w:jc w:val="both"/>
        <w:rPr>
          <w:rFonts w:ascii="Times New Roman" w:hAnsi="Times New Roman" w:cs="Times New Roman"/>
          <w:sz w:val="24"/>
          <w:szCs w:val="24"/>
        </w:rPr>
      </w:pPr>
      <w:r w:rsidRPr="00C406BB">
        <w:rPr>
          <w:rFonts w:ascii="Times New Roman" w:hAnsi="Times New Roman" w:cs="Times New Roman"/>
          <w:sz w:val="24"/>
          <w:szCs w:val="24"/>
        </w:rPr>
        <w:t>Content distribution and competitor access to Time Warner content</w:t>
      </w:r>
    </w:p>
    <w:p w14:paraId="571DF260" w14:textId="77777777" w:rsidR="00521FEF" w:rsidRPr="00C406BB" w:rsidRDefault="00000000" w:rsidP="00C406BB">
      <w:pPr>
        <w:numPr>
          <w:ilvl w:val="0"/>
          <w:numId w:val="29"/>
        </w:numPr>
        <w:jc w:val="both"/>
        <w:rPr>
          <w:rFonts w:ascii="Times New Roman" w:hAnsi="Times New Roman" w:cs="Times New Roman"/>
          <w:sz w:val="24"/>
          <w:szCs w:val="24"/>
        </w:rPr>
      </w:pPr>
      <w:r w:rsidRPr="00C406BB">
        <w:rPr>
          <w:rFonts w:ascii="Times New Roman" w:hAnsi="Times New Roman" w:cs="Times New Roman"/>
          <w:sz w:val="24"/>
          <w:szCs w:val="24"/>
        </w:rPr>
        <w:t>Vertical integration concerns (content ownership + distribution)</w:t>
      </w:r>
    </w:p>
    <w:p w14:paraId="32E82FC8" w14:textId="77777777" w:rsidR="00521FEF" w:rsidRPr="00C406BB" w:rsidRDefault="00000000" w:rsidP="00C406BB">
      <w:pPr>
        <w:numPr>
          <w:ilvl w:val="0"/>
          <w:numId w:val="29"/>
        </w:numPr>
        <w:jc w:val="both"/>
        <w:rPr>
          <w:rFonts w:ascii="Times New Roman" w:hAnsi="Times New Roman" w:cs="Times New Roman"/>
          <w:sz w:val="24"/>
          <w:szCs w:val="24"/>
        </w:rPr>
      </w:pPr>
      <w:r w:rsidRPr="00C406BB">
        <w:rPr>
          <w:rFonts w:ascii="Times New Roman" w:hAnsi="Times New Roman" w:cs="Times New Roman"/>
          <w:sz w:val="24"/>
          <w:szCs w:val="24"/>
        </w:rPr>
        <w:t>Market concentration in broadband and entertainment</w:t>
      </w:r>
    </w:p>
    <w:p w14:paraId="107DDC82" w14:textId="472626BD"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Regulatory approval required significant concessions potentially limiting synergy realization.</w:t>
      </w:r>
    </w:p>
    <w:p w14:paraId="79481385" w14:textId="77777777" w:rsidR="00780271" w:rsidRDefault="00780271" w:rsidP="00C406BB">
      <w:pPr>
        <w:spacing w:before="240" w:line="271" w:lineRule="auto"/>
        <w:jc w:val="both"/>
        <w:rPr>
          <w:rFonts w:ascii="Times New Roman" w:hAnsi="Times New Roman" w:cs="Times New Roman"/>
          <w:b/>
          <w:sz w:val="24"/>
          <w:szCs w:val="24"/>
        </w:rPr>
      </w:pPr>
      <w:bookmarkStart w:id="87" w:name="bm_8_3_financial_risks"/>
    </w:p>
    <w:p w14:paraId="2B9D50AF" w14:textId="77777777" w:rsidR="00780271" w:rsidRDefault="00780271" w:rsidP="00C406BB">
      <w:pPr>
        <w:spacing w:before="240" w:line="271" w:lineRule="auto"/>
        <w:jc w:val="both"/>
        <w:rPr>
          <w:rFonts w:ascii="Times New Roman" w:hAnsi="Times New Roman" w:cs="Times New Roman"/>
          <w:b/>
          <w:sz w:val="24"/>
          <w:szCs w:val="24"/>
        </w:rPr>
      </w:pPr>
    </w:p>
    <w:p w14:paraId="545BD1B8" w14:textId="77777777" w:rsidR="00780271" w:rsidRDefault="00780271" w:rsidP="00C406BB">
      <w:pPr>
        <w:spacing w:before="240" w:line="271" w:lineRule="auto"/>
        <w:jc w:val="both"/>
        <w:rPr>
          <w:rFonts w:ascii="Times New Roman" w:hAnsi="Times New Roman" w:cs="Times New Roman"/>
          <w:b/>
          <w:sz w:val="24"/>
          <w:szCs w:val="24"/>
        </w:rPr>
      </w:pPr>
    </w:p>
    <w:p w14:paraId="6D42603E" w14:textId="77777777" w:rsidR="00780271" w:rsidRDefault="00780271" w:rsidP="00C406BB">
      <w:pPr>
        <w:spacing w:before="240" w:line="271" w:lineRule="auto"/>
        <w:jc w:val="both"/>
        <w:rPr>
          <w:rFonts w:ascii="Times New Roman" w:hAnsi="Times New Roman" w:cs="Times New Roman"/>
          <w:b/>
          <w:sz w:val="24"/>
          <w:szCs w:val="24"/>
        </w:rPr>
      </w:pPr>
    </w:p>
    <w:p w14:paraId="2B29B418" w14:textId="77777777" w:rsidR="00780271" w:rsidRDefault="00780271" w:rsidP="00C406BB">
      <w:pPr>
        <w:spacing w:before="240" w:line="271" w:lineRule="auto"/>
        <w:jc w:val="both"/>
        <w:rPr>
          <w:rFonts w:ascii="Times New Roman" w:hAnsi="Times New Roman" w:cs="Times New Roman"/>
          <w:b/>
          <w:sz w:val="24"/>
          <w:szCs w:val="24"/>
        </w:rPr>
      </w:pPr>
    </w:p>
    <w:p w14:paraId="47811A54" w14:textId="26732A47" w:rsidR="00521FEF" w:rsidRPr="00C406BB" w:rsidRDefault="00000000" w:rsidP="00780271">
      <w:pPr>
        <w:pStyle w:val="Heading2"/>
      </w:pPr>
      <w:bookmarkStart w:id="88" w:name="_Toc221361511"/>
      <w:r w:rsidRPr="00C406BB">
        <w:lastRenderedPageBreak/>
        <w:t>8.3 Financial Risks</w:t>
      </w:r>
      <w:bookmarkEnd w:id="87"/>
      <w:bookmarkEnd w:id="88"/>
    </w:p>
    <w:p w14:paraId="3EDBDDB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Goodwill Impairment Risk:</w:t>
      </w:r>
    </w:p>
    <w:p w14:paraId="13D556C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$127 billion goodwill represented 62% of total assets and 94% of stockholders' equity. Under SFAS 142 (effective 2002), companies would be required to test goodwill annually for impairment rather than amortize systematically.</w:t>
      </w:r>
    </w:p>
    <w:p w14:paraId="7A6DD01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Impairment triggers included:</w:t>
      </w:r>
    </w:p>
    <w:p w14:paraId="61D552CE" w14:textId="77777777" w:rsidR="00521FEF" w:rsidRPr="00C406BB" w:rsidRDefault="00000000" w:rsidP="00C406BB">
      <w:pPr>
        <w:numPr>
          <w:ilvl w:val="0"/>
          <w:numId w:val="30"/>
        </w:numPr>
        <w:jc w:val="both"/>
        <w:rPr>
          <w:rFonts w:ascii="Times New Roman" w:hAnsi="Times New Roman" w:cs="Times New Roman"/>
          <w:sz w:val="24"/>
          <w:szCs w:val="24"/>
        </w:rPr>
      </w:pPr>
      <w:r w:rsidRPr="00C406BB">
        <w:rPr>
          <w:rFonts w:ascii="Times New Roman" w:hAnsi="Times New Roman" w:cs="Times New Roman"/>
          <w:sz w:val="24"/>
          <w:szCs w:val="24"/>
        </w:rPr>
        <w:t>Sustained stock price decline below book value</w:t>
      </w:r>
    </w:p>
    <w:p w14:paraId="4FD68F1D" w14:textId="77777777" w:rsidR="00521FEF" w:rsidRPr="00C406BB" w:rsidRDefault="00000000" w:rsidP="00C406BB">
      <w:pPr>
        <w:numPr>
          <w:ilvl w:val="0"/>
          <w:numId w:val="30"/>
        </w:numPr>
        <w:jc w:val="both"/>
        <w:rPr>
          <w:rFonts w:ascii="Times New Roman" w:hAnsi="Times New Roman" w:cs="Times New Roman"/>
          <w:sz w:val="24"/>
          <w:szCs w:val="24"/>
        </w:rPr>
      </w:pPr>
      <w:r w:rsidRPr="00C406BB">
        <w:rPr>
          <w:rFonts w:ascii="Times New Roman" w:hAnsi="Times New Roman" w:cs="Times New Roman"/>
          <w:sz w:val="24"/>
          <w:szCs w:val="24"/>
        </w:rPr>
        <w:t>Deterioration in segment operating performance</w:t>
      </w:r>
    </w:p>
    <w:p w14:paraId="753D230C" w14:textId="77777777" w:rsidR="00521FEF" w:rsidRPr="00C406BB" w:rsidRDefault="00000000" w:rsidP="00C406BB">
      <w:pPr>
        <w:numPr>
          <w:ilvl w:val="0"/>
          <w:numId w:val="30"/>
        </w:numPr>
        <w:jc w:val="both"/>
        <w:rPr>
          <w:rFonts w:ascii="Times New Roman" w:hAnsi="Times New Roman" w:cs="Times New Roman"/>
          <w:sz w:val="24"/>
          <w:szCs w:val="24"/>
        </w:rPr>
      </w:pPr>
      <w:r w:rsidRPr="00C406BB">
        <w:rPr>
          <w:rFonts w:ascii="Times New Roman" w:hAnsi="Times New Roman" w:cs="Times New Roman"/>
          <w:sz w:val="24"/>
          <w:szCs w:val="24"/>
        </w:rPr>
        <w:t>Market condition changes affecting business unit valuations</w:t>
      </w:r>
    </w:p>
    <w:p w14:paraId="4576898E" w14:textId="77777777" w:rsidR="00521FEF" w:rsidRPr="00C406BB" w:rsidRDefault="00000000" w:rsidP="00C406BB">
      <w:pPr>
        <w:numPr>
          <w:ilvl w:val="0"/>
          <w:numId w:val="30"/>
        </w:numPr>
        <w:jc w:val="both"/>
        <w:rPr>
          <w:rFonts w:ascii="Times New Roman" w:hAnsi="Times New Roman" w:cs="Times New Roman"/>
          <w:sz w:val="24"/>
          <w:szCs w:val="24"/>
        </w:rPr>
      </w:pPr>
      <w:r w:rsidRPr="00C406BB">
        <w:rPr>
          <w:rFonts w:ascii="Times New Roman" w:hAnsi="Times New Roman" w:cs="Times New Roman"/>
          <w:sz w:val="24"/>
          <w:szCs w:val="24"/>
        </w:rPr>
        <w:t>Failed synergy realization</w:t>
      </w:r>
    </w:p>
    <w:p w14:paraId="6F87F2B6" w14:textId="11D4A24C"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 potential impairment charge of even 25% of goodwill ($32 billion) would devastate the balance sheet and shareholder equity.</w:t>
      </w:r>
    </w:p>
    <w:p w14:paraId="4D77200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Leverage and Refinancing Risk:</w:t>
      </w:r>
    </w:p>
    <w:p w14:paraId="6E15C78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Total debt of $27.2 billion included near-term maturities:</w:t>
      </w:r>
    </w:p>
    <w:tbl>
      <w:tblPr>
        <w:tblStyle w:val="NormalGrid"/>
        <w:tblW w:w="0" w:type="auto"/>
        <w:jc w:val="center"/>
        <w:tblCellSpacing w:w="0" w:type="dxa"/>
        <w:tblLook w:val="04A0" w:firstRow="1" w:lastRow="0" w:firstColumn="1" w:lastColumn="0" w:noHBand="0" w:noVBand="1"/>
      </w:tblPr>
      <w:tblGrid>
        <w:gridCol w:w="1887"/>
        <w:gridCol w:w="2247"/>
      </w:tblGrid>
      <w:tr w:rsidR="00521FEF" w:rsidRPr="00C406BB" w14:paraId="17FD309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9444F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Maturity Period</w:t>
            </w:r>
          </w:p>
        </w:tc>
        <w:tc>
          <w:tcPr>
            <w:tcW w:w="0" w:type="auto"/>
            <w:tcBorders>
              <w:top w:val="single" w:sz="8" w:space="0" w:color="000000"/>
              <w:bottom w:val="single" w:sz="8" w:space="0" w:color="000000"/>
              <w:right w:val="single" w:sz="8" w:space="0" w:color="000000"/>
            </w:tcBorders>
            <w:vAlign w:val="center"/>
          </w:tcPr>
          <w:p w14:paraId="5727413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Amount ($ billions)</w:t>
            </w:r>
          </w:p>
        </w:tc>
      </w:tr>
      <w:tr w:rsidR="00521FEF" w:rsidRPr="00C406BB" w14:paraId="2756DDD2" w14:textId="77777777">
        <w:trPr>
          <w:cantSplit/>
          <w:tblCellSpacing w:w="0" w:type="dxa"/>
          <w:jc w:val="center"/>
        </w:trPr>
        <w:tc>
          <w:tcPr>
            <w:tcW w:w="0" w:type="auto"/>
            <w:tcBorders>
              <w:left w:val="single" w:sz="8" w:space="0" w:color="000000"/>
              <w:right w:val="single" w:sz="8" w:space="0" w:color="000000"/>
            </w:tcBorders>
            <w:vAlign w:val="center"/>
          </w:tcPr>
          <w:p w14:paraId="673D323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2000-2001</w:t>
            </w:r>
          </w:p>
        </w:tc>
        <w:tc>
          <w:tcPr>
            <w:tcW w:w="0" w:type="auto"/>
            <w:tcBorders>
              <w:right w:val="single" w:sz="8" w:space="0" w:color="000000"/>
            </w:tcBorders>
            <w:vAlign w:val="center"/>
          </w:tcPr>
          <w:p w14:paraId="31BC7EB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w:t>
            </w:r>
          </w:p>
        </w:tc>
      </w:tr>
      <w:tr w:rsidR="00521FEF" w:rsidRPr="00C406BB" w14:paraId="598D8023" w14:textId="77777777">
        <w:trPr>
          <w:cantSplit/>
          <w:tblCellSpacing w:w="0" w:type="dxa"/>
          <w:jc w:val="center"/>
        </w:trPr>
        <w:tc>
          <w:tcPr>
            <w:tcW w:w="0" w:type="auto"/>
            <w:tcBorders>
              <w:left w:val="single" w:sz="8" w:space="0" w:color="000000"/>
              <w:right w:val="single" w:sz="8" w:space="0" w:color="000000"/>
            </w:tcBorders>
            <w:vAlign w:val="center"/>
          </w:tcPr>
          <w:p w14:paraId="4A888DD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2002-2003</w:t>
            </w:r>
          </w:p>
        </w:tc>
        <w:tc>
          <w:tcPr>
            <w:tcW w:w="0" w:type="auto"/>
            <w:tcBorders>
              <w:right w:val="single" w:sz="8" w:space="0" w:color="000000"/>
            </w:tcBorders>
            <w:vAlign w:val="center"/>
          </w:tcPr>
          <w:p w14:paraId="73B7498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$6.8</w:t>
            </w:r>
          </w:p>
        </w:tc>
      </w:tr>
      <w:tr w:rsidR="00521FEF" w:rsidRPr="00C406BB" w14:paraId="72798C1D" w14:textId="77777777">
        <w:trPr>
          <w:cantSplit/>
          <w:tblCellSpacing w:w="0" w:type="dxa"/>
          <w:jc w:val="center"/>
        </w:trPr>
        <w:tc>
          <w:tcPr>
            <w:tcW w:w="0" w:type="auto"/>
            <w:tcBorders>
              <w:left w:val="single" w:sz="8" w:space="0" w:color="000000"/>
              <w:right w:val="single" w:sz="8" w:space="0" w:color="000000"/>
            </w:tcBorders>
            <w:vAlign w:val="center"/>
          </w:tcPr>
          <w:p w14:paraId="2479975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2004-2005</w:t>
            </w:r>
          </w:p>
        </w:tc>
        <w:tc>
          <w:tcPr>
            <w:tcW w:w="0" w:type="auto"/>
            <w:tcBorders>
              <w:right w:val="single" w:sz="8" w:space="0" w:color="000000"/>
            </w:tcBorders>
            <w:vAlign w:val="center"/>
          </w:tcPr>
          <w:p w14:paraId="67B05353"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$5.1</w:t>
            </w:r>
          </w:p>
        </w:tc>
      </w:tr>
      <w:tr w:rsidR="00521FEF" w:rsidRPr="00C406BB" w14:paraId="261649F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012321"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Beyond 2005</w:t>
            </w:r>
          </w:p>
        </w:tc>
        <w:tc>
          <w:tcPr>
            <w:tcW w:w="0" w:type="auto"/>
            <w:tcBorders>
              <w:bottom w:val="single" w:sz="8" w:space="0" w:color="000000"/>
              <w:right w:val="single" w:sz="8" w:space="0" w:color="000000"/>
            </w:tcBorders>
            <w:vAlign w:val="center"/>
          </w:tcPr>
          <w:p w14:paraId="12AD86B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$11.1</w:t>
            </w:r>
          </w:p>
        </w:tc>
      </w:tr>
      <w:tr w:rsidR="00521FEF" w:rsidRPr="00C406BB" w14:paraId="2CCB28F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204BA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Total</w:t>
            </w:r>
          </w:p>
        </w:tc>
        <w:tc>
          <w:tcPr>
            <w:tcW w:w="0" w:type="auto"/>
            <w:tcBorders>
              <w:bottom w:val="single" w:sz="8" w:space="0" w:color="000000"/>
              <w:right w:val="single" w:sz="8" w:space="0" w:color="000000"/>
            </w:tcBorders>
            <w:vAlign w:val="center"/>
          </w:tcPr>
          <w:p w14:paraId="3202B44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$27.2</w:t>
            </w:r>
          </w:p>
        </w:tc>
      </w:tr>
    </w:tbl>
    <w:p w14:paraId="08EF5A69" w14:textId="77777777" w:rsidR="00521FEF" w:rsidRPr="00C406BB" w:rsidRDefault="00521FEF" w:rsidP="00C406BB">
      <w:pPr>
        <w:jc w:val="both"/>
        <w:rPr>
          <w:rFonts w:ascii="Times New Roman" w:hAnsi="Times New Roman" w:cs="Times New Roman"/>
          <w:sz w:val="24"/>
          <w:szCs w:val="24"/>
        </w:rPr>
      </w:pPr>
    </w:p>
    <w:p w14:paraId="616C16F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32: Debt Maturity Schedule</w:t>
      </w:r>
    </w:p>
    <w:p w14:paraId="0ABA74C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If integration challenges impaired cash flow or credit ratings deteriorated, refinancing $11 billion in debt due 2000-2003 could prove difficult and expensive.</w:t>
      </w:r>
    </w:p>
    <w:p w14:paraId="2E1F993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Synergy Realization Risk:</w:t>
      </w:r>
    </w:p>
    <w:p w14:paraId="0D469EE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Management's $1.0-1.5 billion synergy target faced significant headwinds:</w:t>
      </w:r>
    </w:p>
    <w:p w14:paraId="694B441B" w14:textId="77777777" w:rsidR="00521FEF" w:rsidRPr="00C406BB" w:rsidRDefault="00000000" w:rsidP="00C406BB">
      <w:pPr>
        <w:numPr>
          <w:ilvl w:val="0"/>
          <w:numId w:val="31"/>
        </w:numPr>
        <w:jc w:val="both"/>
        <w:rPr>
          <w:rFonts w:ascii="Times New Roman" w:hAnsi="Times New Roman" w:cs="Times New Roman"/>
          <w:sz w:val="24"/>
          <w:szCs w:val="24"/>
        </w:rPr>
      </w:pPr>
      <w:r w:rsidRPr="00C406BB">
        <w:rPr>
          <w:rFonts w:ascii="Times New Roman" w:hAnsi="Times New Roman" w:cs="Times New Roman"/>
          <w:sz w:val="24"/>
          <w:szCs w:val="24"/>
        </w:rPr>
        <w:t>Revenue synergies dependent on cross-selling success (historically difficult)</w:t>
      </w:r>
    </w:p>
    <w:p w14:paraId="0780BC7E" w14:textId="77777777" w:rsidR="00521FEF" w:rsidRPr="00C406BB" w:rsidRDefault="00000000" w:rsidP="00C406BB">
      <w:pPr>
        <w:numPr>
          <w:ilvl w:val="0"/>
          <w:numId w:val="31"/>
        </w:numPr>
        <w:jc w:val="both"/>
        <w:rPr>
          <w:rFonts w:ascii="Times New Roman" w:hAnsi="Times New Roman" w:cs="Times New Roman"/>
          <w:sz w:val="24"/>
          <w:szCs w:val="24"/>
        </w:rPr>
      </w:pPr>
      <w:r w:rsidRPr="00C406BB">
        <w:rPr>
          <w:rFonts w:ascii="Times New Roman" w:hAnsi="Times New Roman" w:cs="Times New Roman"/>
          <w:sz w:val="24"/>
          <w:szCs w:val="24"/>
        </w:rPr>
        <w:t>Cost synergies limited by regulatory restrictions on content bundling</w:t>
      </w:r>
    </w:p>
    <w:p w14:paraId="70CBEAD6" w14:textId="77777777" w:rsidR="00521FEF" w:rsidRPr="00C406BB" w:rsidRDefault="00000000" w:rsidP="00C406BB">
      <w:pPr>
        <w:numPr>
          <w:ilvl w:val="0"/>
          <w:numId w:val="31"/>
        </w:numPr>
        <w:jc w:val="both"/>
        <w:rPr>
          <w:rFonts w:ascii="Times New Roman" w:hAnsi="Times New Roman" w:cs="Times New Roman"/>
          <w:sz w:val="24"/>
          <w:szCs w:val="24"/>
        </w:rPr>
      </w:pPr>
      <w:r w:rsidRPr="00C406BB">
        <w:rPr>
          <w:rFonts w:ascii="Times New Roman" w:hAnsi="Times New Roman" w:cs="Times New Roman"/>
          <w:sz w:val="24"/>
          <w:szCs w:val="24"/>
        </w:rPr>
        <w:t>Technology integration costs potentially offsetting savings</w:t>
      </w:r>
    </w:p>
    <w:p w14:paraId="59FD155E" w14:textId="77777777" w:rsidR="00521FEF" w:rsidRPr="00C406BB" w:rsidRDefault="00000000" w:rsidP="00C406BB">
      <w:pPr>
        <w:numPr>
          <w:ilvl w:val="0"/>
          <w:numId w:val="31"/>
        </w:numPr>
        <w:jc w:val="both"/>
        <w:rPr>
          <w:rFonts w:ascii="Times New Roman" w:hAnsi="Times New Roman" w:cs="Times New Roman"/>
          <w:sz w:val="24"/>
          <w:szCs w:val="24"/>
        </w:rPr>
      </w:pPr>
      <w:r w:rsidRPr="00C406BB">
        <w:rPr>
          <w:rFonts w:ascii="Times New Roman" w:hAnsi="Times New Roman" w:cs="Times New Roman"/>
          <w:sz w:val="24"/>
          <w:szCs w:val="24"/>
        </w:rPr>
        <w:t>Customer retention risks from service changes</w:t>
      </w:r>
    </w:p>
    <w:p w14:paraId="5D299A21" w14:textId="7057464D"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Probability of achieving synergy targets: 40-50% based on historical M&amp;A studies.</w:t>
      </w:r>
    </w:p>
    <w:p w14:paraId="200ABBCE" w14:textId="77777777" w:rsidR="00521FEF" w:rsidRPr="00C406BB" w:rsidRDefault="00000000" w:rsidP="00780271">
      <w:pPr>
        <w:pStyle w:val="Heading2"/>
      </w:pPr>
      <w:bookmarkStart w:id="89" w:name="bm_8_4_accounting_and_reporting_risks"/>
      <w:bookmarkStart w:id="90" w:name="_Toc221361512"/>
      <w:r w:rsidRPr="00C406BB">
        <w:lastRenderedPageBreak/>
        <w:t>8.4 Accounting and Reporting Risks</w:t>
      </w:r>
      <w:bookmarkEnd w:id="89"/>
      <w:bookmarkEnd w:id="90"/>
    </w:p>
    <w:p w14:paraId="56D3A32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Goodwill Accounting Changes:</w:t>
      </w:r>
    </w:p>
    <w:p w14:paraId="1027F14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Financial Accounting Standards Board (FASB) was actively considering changes to goodwill accounting (eventually issued as SFAS 142 in 2001):</w:t>
      </w:r>
    </w:p>
    <w:p w14:paraId="67601B44" w14:textId="77777777" w:rsidR="00521FEF" w:rsidRPr="00C406BB" w:rsidRDefault="00000000" w:rsidP="00C406BB">
      <w:pPr>
        <w:numPr>
          <w:ilvl w:val="0"/>
          <w:numId w:val="32"/>
        </w:numPr>
        <w:jc w:val="both"/>
        <w:rPr>
          <w:rFonts w:ascii="Times New Roman" w:hAnsi="Times New Roman" w:cs="Times New Roman"/>
          <w:sz w:val="24"/>
          <w:szCs w:val="24"/>
        </w:rPr>
      </w:pPr>
      <w:r w:rsidRPr="00C406BB">
        <w:rPr>
          <w:rFonts w:ascii="Times New Roman" w:hAnsi="Times New Roman" w:cs="Times New Roman"/>
          <w:sz w:val="24"/>
          <w:szCs w:val="24"/>
        </w:rPr>
        <w:t>Elimination of systematic amortization</w:t>
      </w:r>
    </w:p>
    <w:p w14:paraId="6D02DDD0" w14:textId="77777777" w:rsidR="00521FEF" w:rsidRPr="00C406BB" w:rsidRDefault="00000000" w:rsidP="00C406BB">
      <w:pPr>
        <w:numPr>
          <w:ilvl w:val="0"/>
          <w:numId w:val="32"/>
        </w:numPr>
        <w:jc w:val="both"/>
        <w:rPr>
          <w:rFonts w:ascii="Times New Roman" w:hAnsi="Times New Roman" w:cs="Times New Roman"/>
          <w:sz w:val="24"/>
          <w:szCs w:val="24"/>
        </w:rPr>
      </w:pPr>
      <w:r w:rsidRPr="00C406BB">
        <w:rPr>
          <w:rFonts w:ascii="Times New Roman" w:hAnsi="Times New Roman" w:cs="Times New Roman"/>
          <w:sz w:val="24"/>
          <w:szCs w:val="24"/>
        </w:rPr>
        <w:t>Annual impairment testing requirement</w:t>
      </w:r>
    </w:p>
    <w:p w14:paraId="220453CC" w14:textId="77777777" w:rsidR="00521FEF" w:rsidRPr="00C406BB" w:rsidRDefault="00000000" w:rsidP="00C406BB">
      <w:pPr>
        <w:numPr>
          <w:ilvl w:val="0"/>
          <w:numId w:val="32"/>
        </w:numPr>
        <w:jc w:val="both"/>
        <w:rPr>
          <w:rFonts w:ascii="Times New Roman" w:hAnsi="Times New Roman" w:cs="Times New Roman"/>
          <w:sz w:val="24"/>
          <w:szCs w:val="24"/>
        </w:rPr>
      </w:pPr>
      <w:r w:rsidRPr="00C406BB">
        <w:rPr>
          <w:rFonts w:ascii="Times New Roman" w:hAnsi="Times New Roman" w:cs="Times New Roman"/>
          <w:sz w:val="24"/>
          <w:szCs w:val="24"/>
        </w:rPr>
        <w:t>Potential for large one-time impairment charges</w:t>
      </w:r>
    </w:p>
    <w:p w14:paraId="1B0F8DDB" w14:textId="77777777" w:rsidR="00521FEF" w:rsidRPr="00C406BB" w:rsidRDefault="00000000" w:rsidP="00C406BB">
      <w:pPr>
        <w:numPr>
          <w:ilvl w:val="0"/>
          <w:numId w:val="32"/>
        </w:numPr>
        <w:jc w:val="both"/>
        <w:rPr>
          <w:rFonts w:ascii="Times New Roman" w:hAnsi="Times New Roman" w:cs="Times New Roman"/>
          <w:sz w:val="24"/>
          <w:szCs w:val="24"/>
        </w:rPr>
      </w:pPr>
      <w:r w:rsidRPr="00C406BB">
        <w:rPr>
          <w:rFonts w:ascii="Times New Roman" w:hAnsi="Times New Roman" w:cs="Times New Roman"/>
          <w:sz w:val="24"/>
          <w:szCs w:val="24"/>
        </w:rPr>
        <w:t>Increased earnings volatility</w:t>
      </w:r>
    </w:p>
    <w:p w14:paraId="3EC1CEBE" w14:textId="56497C2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While eliminating ongoing amortization would boost reported earnings, it increased risk of massive future write-downs.</w:t>
      </w:r>
    </w:p>
    <w:p w14:paraId="2C25341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Pro Forma Reporting Concerns:</w:t>
      </w:r>
    </w:p>
    <w:p w14:paraId="2A4CA48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Management's emphasis on non-GAAP metrics (EBITDA, operating earnings excluding amortization) risked:</w:t>
      </w:r>
    </w:p>
    <w:p w14:paraId="5951D6FE" w14:textId="77777777" w:rsidR="00521FEF" w:rsidRPr="00C406BB" w:rsidRDefault="00000000" w:rsidP="00C406BB">
      <w:pPr>
        <w:numPr>
          <w:ilvl w:val="0"/>
          <w:numId w:val="33"/>
        </w:numPr>
        <w:jc w:val="both"/>
        <w:rPr>
          <w:rFonts w:ascii="Times New Roman" w:hAnsi="Times New Roman" w:cs="Times New Roman"/>
          <w:sz w:val="24"/>
          <w:szCs w:val="24"/>
        </w:rPr>
      </w:pPr>
      <w:r w:rsidRPr="00C406BB">
        <w:rPr>
          <w:rFonts w:ascii="Times New Roman" w:hAnsi="Times New Roman" w:cs="Times New Roman"/>
          <w:sz w:val="24"/>
          <w:szCs w:val="24"/>
        </w:rPr>
        <w:t>Obscuring true economic performance</w:t>
      </w:r>
    </w:p>
    <w:p w14:paraId="33B1AE55" w14:textId="77777777" w:rsidR="00521FEF" w:rsidRPr="00C406BB" w:rsidRDefault="00000000" w:rsidP="00C406BB">
      <w:pPr>
        <w:numPr>
          <w:ilvl w:val="0"/>
          <w:numId w:val="33"/>
        </w:numPr>
        <w:jc w:val="both"/>
        <w:rPr>
          <w:rFonts w:ascii="Times New Roman" w:hAnsi="Times New Roman" w:cs="Times New Roman"/>
          <w:sz w:val="24"/>
          <w:szCs w:val="24"/>
        </w:rPr>
      </w:pPr>
      <w:r w:rsidRPr="00C406BB">
        <w:rPr>
          <w:rFonts w:ascii="Times New Roman" w:hAnsi="Times New Roman" w:cs="Times New Roman"/>
          <w:sz w:val="24"/>
          <w:szCs w:val="24"/>
        </w:rPr>
        <w:t>Investor confusion about actual profitability</w:t>
      </w:r>
    </w:p>
    <w:p w14:paraId="4279C779" w14:textId="77777777" w:rsidR="00521FEF" w:rsidRPr="00C406BB" w:rsidRDefault="00000000" w:rsidP="00C406BB">
      <w:pPr>
        <w:numPr>
          <w:ilvl w:val="0"/>
          <w:numId w:val="33"/>
        </w:numPr>
        <w:jc w:val="both"/>
        <w:rPr>
          <w:rFonts w:ascii="Times New Roman" w:hAnsi="Times New Roman" w:cs="Times New Roman"/>
          <w:sz w:val="24"/>
          <w:szCs w:val="24"/>
        </w:rPr>
      </w:pPr>
      <w:r w:rsidRPr="00C406BB">
        <w:rPr>
          <w:rFonts w:ascii="Times New Roman" w:hAnsi="Times New Roman" w:cs="Times New Roman"/>
          <w:sz w:val="24"/>
          <w:szCs w:val="24"/>
        </w:rPr>
        <w:t>Regulatory scrutiny of earnings presentation</w:t>
      </w:r>
    </w:p>
    <w:p w14:paraId="54E64991" w14:textId="77777777" w:rsidR="00521FEF" w:rsidRPr="00C406BB" w:rsidRDefault="00000000" w:rsidP="00C406BB">
      <w:pPr>
        <w:numPr>
          <w:ilvl w:val="0"/>
          <w:numId w:val="33"/>
        </w:numPr>
        <w:jc w:val="both"/>
        <w:rPr>
          <w:rFonts w:ascii="Times New Roman" w:hAnsi="Times New Roman" w:cs="Times New Roman"/>
          <w:sz w:val="24"/>
          <w:szCs w:val="24"/>
        </w:rPr>
      </w:pPr>
      <w:r w:rsidRPr="00C406BB">
        <w:rPr>
          <w:rFonts w:ascii="Times New Roman" w:hAnsi="Times New Roman" w:cs="Times New Roman"/>
          <w:sz w:val="24"/>
          <w:szCs w:val="24"/>
        </w:rPr>
        <w:t>Credibility concerns if reported GAAP results consistently disappointed</w:t>
      </w:r>
    </w:p>
    <w:p w14:paraId="21A12D00" w14:textId="5C2CD9F4" w:rsidR="00521FEF" w:rsidRDefault="00521FEF" w:rsidP="00C406BB">
      <w:pPr>
        <w:jc w:val="both"/>
        <w:rPr>
          <w:rFonts w:ascii="Times New Roman" w:hAnsi="Times New Roman" w:cs="Times New Roman"/>
          <w:sz w:val="24"/>
          <w:szCs w:val="24"/>
        </w:rPr>
      </w:pPr>
    </w:p>
    <w:p w14:paraId="37537FAA" w14:textId="77777777" w:rsidR="00780271" w:rsidRPr="00C406BB" w:rsidRDefault="00780271" w:rsidP="00C406BB">
      <w:pPr>
        <w:jc w:val="both"/>
        <w:rPr>
          <w:rFonts w:ascii="Times New Roman" w:hAnsi="Times New Roman" w:cs="Times New Roman"/>
          <w:sz w:val="24"/>
          <w:szCs w:val="24"/>
        </w:rPr>
      </w:pPr>
    </w:p>
    <w:p w14:paraId="3F480D00" w14:textId="77777777" w:rsidR="00521FEF" w:rsidRPr="00C406BB" w:rsidRDefault="00000000" w:rsidP="00780271">
      <w:pPr>
        <w:pStyle w:val="Heading2"/>
      </w:pPr>
      <w:bookmarkStart w:id="91" w:name="bm_9_investment_recommendation_an_40a97b"/>
      <w:bookmarkStart w:id="92" w:name="_Toc221361513"/>
      <w:r w:rsidRPr="00C406BB">
        <w:t>9. Investment Recommendation and Conclusion</w:t>
      </w:r>
      <w:bookmarkEnd w:id="91"/>
      <w:bookmarkEnd w:id="92"/>
    </w:p>
    <w:p w14:paraId="4A279516" w14:textId="77777777" w:rsidR="00521FEF" w:rsidRPr="00C406BB" w:rsidRDefault="00000000" w:rsidP="00780271">
      <w:pPr>
        <w:pStyle w:val="Heading2"/>
      </w:pPr>
      <w:bookmarkStart w:id="93" w:name="bm_9_1_investment_decision_framework"/>
      <w:bookmarkStart w:id="94" w:name="_Toc221361514"/>
      <w:r w:rsidRPr="00C406BB">
        <w:t>9.1 Investment Decision Framework</w:t>
      </w:r>
      <w:bookmarkEnd w:id="93"/>
      <w:bookmarkEnd w:id="94"/>
    </w:p>
    <w:p w14:paraId="6B8F4FE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To determine whether to buy, sell, or hold AOL Time Warner shares at $57 (February 2000 price), we evaluate across multiple dimensions:</w:t>
      </w:r>
    </w:p>
    <w:p w14:paraId="73F8FB6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Valuation Analysis:</w:t>
      </w:r>
    </w:p>
    <w:tbl>
      <w:tblPr>
        <w:tblStyle w:val="NormalGrid"/>
        <w:tblW w:w="0" w:type="auto"/>
        <w:jc w:val="center"/>
        <w:tblCellSpacing w:w="0" w:type="dxa"/>
        <w:tblLook w:val="04A0" w:firstRow="1" w:lastRow="0" w:firstColumn="1" w:lastColumn="0" w:noHBand="0" w:noVBand="1"/>
      </w:tblPr>
      <w:tblGrid>
        <w:gridCol w:w="2673"/>
        <w:gridCol w:w="1360"/>
        <w:gridCol w:w="1587"/>
      </w:tblGrid>
      <w:tr w:rsidR="00521FEF" w:rsidRPr="00C406BB" w14:paraId="0CB34DF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D177F5"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Metric</w:t>
            </w:r>
          </w:p>
        </w:tc>
        <w:tc>
          <w:tcPr>
            <w:tcW w:w="0" w:type="auto"/>
            <w:tcBorders>
              <w:top w:val="single" w:sz="8" w:space="0" w:color="000000"/>
              <w:bottom w:val="single" w:sz="8" w:space="0" w:color="000000"/>
              <w:right w:val="single" w:sz="8" w:space="0" w:color="000000"/>
            </w:tcBorders>
            <w:vAlign w:val="center"/>
          </w:tcPr>
          <w:p w14:paraId="4BF3CE3D"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Fair Value</w:t>
            </w:r>
          </w:p>
        </w:tc>
        <w:tc>
          <w:tcPr>
            <w:tcW w:w="0" w:type="auto"/>
            <w:tcBorders>
              <w:top w:val="single" w:sz="8" w:space="0" w:color="000000"/>
              <w:bottom w:val="single" w:sz="8" w:space="0" w:color="000000"/>
              <w:right w:val="single" w:sz="8" w:space="0" w:color="000000"/>
            </w:tcBorders>
            <w:vAlign w:val="center"/>
          </w:tcPr>
          <w:p w14:paraId="633BEB0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Market Price</w:t>
            </w:r>
          </w:p>
        </w:tc>
      </w:tr>
      <w:tr w:rsidR="00521FEF" w:rsidRPr="00C406BB" w14:paraId="16117549" w14:textId="77777777">
        <w:trPr>
          <w:cantSplit/>
          <w:tblCellSpacing w:w="0" w:type="dxa"/>
          <w:jc w:val="center"/>
        </w:trPr>
        <w:tc>
          <w:tcPr>
            <w:tcW w:w="0" w:type="auto"/>
            <w:tcBorders>
              <w:left w:val="single" w:sz="8" w:space="0" w:color="000000"/>
              <w:right w:val="single" w:sz="8" w:space="0" w:color="000000"/>
            </w:tcBorders>
            <w:vAlign w:val="center"/>
          </w:tcPr>
          <w:p w14:paraId="55C2FD4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DCF Valuation</w:t>
            </w:r>
          </w:p>
        </w:tc>
        <w:tc>
          <w:tcPr>
            <w:tcW w:w="0" w:type="auto"/>
            <w:tcBorders>
              <w:right w:val="single" w:sz="8" w:space="0" w:color="000000"/>
            </w:tcBorders>
            <w:vAlign w:val="center"/>
          </w:tcPr>
          <w:p w14:paraId="347C8DD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$12.91</w:t>
            </w:r>
          </w:p>
        </w:tc>
        <w:tc>
          <w:tcPr>
            <w:tcW w:w="0" w:type="auto"/>
            <w:tcBorders>
              <w:right w:val="single" w:sz="8" w:space="0" w:color="000000"/>
            </w:tcBorders>
            <w:vAlign w:val="center"/>
          </w:tcPr>
          <w:p w14:paraId="295AA8FB"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$57.00</w:t>
            </w:r>
          </w:p>
        </w:tc>
      </w:tr>
      <w:tr w:rsidR="00521FEF" w:rsidRPr="00C406BB" w14:paraId="44CB0EA0" w14:textId="77777777">
        <w:trPr>
          <w:cantSplit/>
          <w:tblCellSpacing w:w="0" w:type="dxa"/>
          <w:jc w:val="center"/>
        </w:trPr>
        <w:tc>
          <w:tcPr>
            <w:tcW w:w="0" w:type="auto"/>
            <w:tcBorders>
              <w:left w:val="single" w:sz="8" w:space="0" w:color="000000"/>
              <w:right w:val="single" w:sz="8" w:space="0" w:color="000000"/>
            </w:tcBorders>
            <w:vAlign w:val="center"/>
          </w:tcPr>
          <w:p w14:paraId="36CD2BAA"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Comparable Companies</w:t>
            </w:r>
          </w:p>
        </w:tc>
        <w:tc>
          <w:tcPr>
            <w:tcW w:w="0" w:type="auto"/>
            <w:tcBorders>
              <w:right w:val="single" w:sz="8" w:space="0" w:color="000000"/>
            </w:tcBorders>
            <w:vAlign w:val="center"/>
          </w:tcPr>
          <w:p w14:paraId="7810F0C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$23.56</w:t>
            </w:r>
          </w:p>
        </w:tc>
        <w:tc>
          <w:tcPr>
            <w:tcW w:w="0" w:type="auto"/>
            <w:tcBorders>
              <w:right w:val="single" w:sz="8" w:space="0" w:color="000000"/>
            </w:tcBorders>
            <w:vAlign w:val="center"/>
          </w:tcPr>
          <w:p w14:paraId="3CF2AC5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$57.00</w:t>
            </w:r>
          </w:p>
        </w:tc>
      </w:tr>
      <w:tr w:rsidR="00521FEF" w:rsidRPr="00C406BB" w14:paraId="1622057C" w14:textId="77777777">
        <w:trPr>
          <w:cantSplit/>
          <w:tblCellSpacing w:w="0" w:type="dxa"/>
          <w:jc w:val="center"/>
        </w:trPr>
        <w:tc>
          <w:tcPr>
            <w:tcW w:w="0" w:type="auto"/>
            <w:tcBorders>
              <w:left w:val="single" w:sz="8" w:space="0" w:color="000000"/>
              <w:right w:val="single" w:sz="8" w:space="0" w:color="000000"/>
            </w:tcBorders>
            <w:vAlign w:val="center"/>
          </w:tcPr>
          <w:p w14:paraId="3CFCFBB9"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Precedent Transactions</w:t>
            </w:r>
          </w:p>
        </w:tc>
        <w:tc>
          <w:tcPr>
            <w:tcW w:w="0" w:type="auto"/>
            <w:tcBorders>
              <w:right w:val="single" w:sz="8" w:space="0" w:color="000000"/>
            </w:tcBorders>
            <w:vAlign w:val="center"/>
          </w:tcPr>
          <w:p w14:paraId="5051BBC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$29.50</w:t>
            </w:r>
          </w:p>
        </w:tc>
        <w:tc>
          <w:tcPr>
            <w:tcW w:w="0" w:type="auto"/>
            <w:tcBorders>
              <w:right w:val="single" w:sz="8" w:space="0" w:color="000000"/>
            </w:tcBorders>
            <w:vAlign w:val="center"/>
          </w:tcPr>
          <w:p w14:paraId="6A9CA2E4"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$57.00</w:t>
            </w:r>
          </w:p>
        </w:tc>
      </w:tr>
      <w:tr w:rsidR="00521FEF" w:rsidRPr="00C406BB" w14:paraId="6EE5AE7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3914CE"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Sum-of-the-Parts</w:t>
            </w:r>
          </w:p>
        </w:tc>
        <w:tc>
          <w:tcPr>
            <w:tcW w:w="0" w:type="auto"/>
            <w:tcBorders>
              <w:bottom w:val="single" w:sz="8" w:space="0" w:color="000000"/>
              <w:right w:val="single" w:sz="8" w:space="0" w:color="000000"/>
            </w:tcBorders>
            <w:vAlign w:val="center"/>
          </w:tcPr>
          <w:p w14:paraId="52DFE38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$42.49</w:t>
            </w:r>
          </w:p>
        </w:tc>
        <w:tc>
          <w:tcPr>
            <w:tcW w:w="0" w:type="auto"/>
            <w:tcBorders>
              <w:bottom w:val="single" w:sz="8" w:space="0" w:color="000000"/>
              <w:right w:val="single" w:sz="8" w:space="0" w:color="000000"/>
            </w:tcBorders>
            <w:vAlign w:val="center"/>
          </w:tcPr>
          <w:p w14:paraId="722775F8"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$57.00</w:t>
            </w:r>
          </w:p>
        </w:tc>
      </w:tr>
      <w:tr w:rsidR="00521FEF" w:rsidRPr="00C406BB" w14:paraId="4939AB3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620EEC"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Weighted Average</w:t>
            </w:r>
          </w:p>
        </w:tc>
        <w:tc>
          <w:tcPr>
            <w:tcW w:w="0" w:type="auto"/>
            <w:tcBorders>
              <w:bottom w:val="single" w:sz="8" w:space="0" w:color="000000"/>
              <w:right w:val="single" w:sz="8" w:space="0" w:color="000000"/>
            </w:tcBorders>
            <w:vAlign w:val="center"/>
          </w:tcPr>
          <w:p w14:paraId="58E366E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$26.24</w:t>
            </w:r>
          </w:p>
        </w:tc>
        <w:tc>
          <w:tcPr>
            <w:tcW w:w="0" w:type="auto"/>
            <w:tcBorders>
              <w:bottom w:val="single" w:sz="8" w:space="0" w:color="000000"/>
              <w:right w:val="single" w:sz="8" w:space="0" w:color="000000"/>
            </w:tcBorders>
            <w:vAlign w:val="center"/>
          </w:tcPr>
          <w:p w14:paraId="26EF6670"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$57.00</w:t>
            </w:r>
          </w:p>
        </w:tc>
      </w:tr>
      <w:tr w:rsidR="00521FEF" w:rsidRPr="00C406BB" w14:paraId="443802B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69E5E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Overvaluation</w:t>
            </w:r>
          </w:p>
        </w:tc>
        <w:tc>
          <w:tcPr>
            <w:tcW w:w="0" w:type="auto"/>
            <w:tcBorders>
              <w:bottom w:val="single" w:sz="8" w:space="0" w:color="000000"/>
              <w:right w:val="single" w:sz="8" w:space="0" w:color="000000"/>
            </w:tcBorders>
            <w:vAlign w:val="center"/>
          </w:tcPr>
          <w:p w14:paraId="2DA573A2" w14:textId="77777777" w:rsidR="00521FEF" w:rsidRPr="00C406BB" w:rsidRDefault="00521FEF" w:rsidP="00C406BB">
            <w:pPr>
              <w:jc w:val="both"/>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14:paraId="3F51E7D7"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117%</w:t>
            </w:r>
          </w:p>
        </w:tc>
      </w:tr>
    </w:tbl>
    <w:p w14:paraId="33CCF7A1" w14:textId="77777777" w:rsidR="00521FEF" w:rsidRPr="00C406BB" w:rsidRDefault="00521FEF" w:rsidP="00C406BB">
      <w:pPr>
        <w:jc w:val="both"/>
        <w:rPr>
          <w:rFonts w:ascii="Times New Roman" w:hAnsi="Times New Roman" w:cs="Times New Roman"/>
          <w:sz w:val="24"/>
          <w:szCs w:val="24"/>
        </w:rPr>
      </w:pPr>
    </w:p>
    <w:p w14:paraId="5944AA76" w14:textId="77777777" w:rsidR="00521FEF" w:rsidRPr="00C406BB" w:rsidRDefault="00000000" w:rsidP="00C406BB">
      <w:pPr>
        <w:jc w:val="both"/>
        <w:rPr>
          <w:rFonts w:ascii="Times New Roman" w:hAnsi="Times New Roman" w:cs="Times New Roman"/>
          <w:sz w:val="24"/>
          <w:szCs w:val="24"/>
        </w:rPr>
      </w:pPr>
      <w:r w:rsidRPr="00C406BB">
        <w:rPr>
          <w:rFonts w:ascii="Times New Roman" w:hAnsi="Times New Roman" w:cs="Times New Roman"/>
          <w:sz w:val="24"/>
          <w:szCs w:val="24"/>
        </w:rPr>
        <w:t>Table 33: Valuation vs. Market Price</w:t>
      </w:r>
    </w:p>
    <w:p w14:paraId="3A4C5BF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Risk-Adjusted Return Analysis:</w:t>
      </w:r>
    </w:p>
    <w:p w14:paraId="1E6FF5A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Bull Case Scenario (20% probability):</w:t>
      </w:r>
    </w:p>
    <w:p w14:paraId="4830F8D7" w14:textId="77777777" w:rsidR="00521FEF" w:rsidRPr="00C406BB" w:rsidRDefault="00000000" w:rsidP="00C406BB">
      <w:pPr>
        <w:numPr>
          <w:ilvl w:val="0"/>
          <w:numId w:val="34"/>
        </w:numPr>
        <w:jc w:val="both"/>
        <w:rPr>
          <w:rFonts w:ascii="Times New Roman" w:hAnsi="Times New Roman" w:cs="Times New Roman"/>
          <w:sz w:val="24"/>
          <w:szCs w:val="24"/>
        </w:rPr>
      </w:pPr>
      <w:r w:rsidRPr="00C406BB">
        <w:rPr>
          <w:rFonts w:ascii="Times New Roman" w:hAnsi="Times New Roman" w:cs="Times New Roman"/>
          <w:sz w:val="24"/>
          <w:szCs w:val="24"/>
        </w:rPr>
        <w:t>Successful integration achieved by 2002</w:t>
      </w:r>
    </w:p>
    <w:p w14:paraId="19C727C6" w14:textId="77777777" w:rsidR="00521FEF" w:rsidRPr="00C406BB" w:rsidRDefault="00000000" w:rsidP="00C406BB">
      <w:pPr>
        <w:numPr>
          <w:ilvl w:val="0"/>
          <w:numId w:val="34"/>
        </w:numPr>
        <w:jc w:val="both"/>
        <w:rPr>
          <w:rFonts w:ascii="Times New Roman" w:hAnsi="Times New Roman" w:cs="Times New Roman"/>
          <w:sz w:val="24"/>
          <w:szCs w:val="24"/>
        </w:rPr>
      </w:pPr>
      <w:r w:rsidRPr="00C406BB">
        <w:rPr>
          <w:rFonts w:ascii="Times New Roman" w:hAnsi="Times New Roman" w:cs="Times New Roman"/>
          <w:sz w:val="24"/>
          <w:szCs w:val="24"/>
        </w:rPr>
        <w:t>Synergies exceed $1.5B annually</w:t>
      </w:r>
    </w:p>
    <w:p w14:paraId="084D9E57" w14:textId="77777777" w:rsidR="00521FEF" w:rsidRPr="00C406BB" w:rsidRDefault="00000000" w:rsidP="00C406BB">
      <w:pPr>
        <w:numPr>
          <w:ilvl w:val="0"/>
          <w:numId w:val="34"/>
        </w:numPr>
        <w:jc w:val="both"/>
        <w:rPr>
          <w:rFonts w:ascii="Times New Roman" w:hAnsi="Times New Roman" w:cs="Times New Roman"/>
          <w:sz w:val="24"/>
          <w:szCs w:val="24"/>
        </w:rPr>
      </w:pPr>
      <w:r w:rsidRPr="00C406BB">
        <w:rPr>
          <w:rFonts w:ascii="Times New Roman" w:hAnsi="Times New Roman" w:cs="Times New Roman"/>
          <w:sz w:val="24"/>
          <w:szCs w:val="24"/>
        </w:rPr>
        <w:t>Broadband transition managed effectively</w:t>
      </w:r>
    </w:p>
    <w:p w14:paraId="24C0270E" w14:textId="77777777" w:rsidR="00521FEF" w:rsidRPr="00C406BB" w:rsidRDefault="00000000" w:rsidP="00C406BB">
      <w:pPr>
        <w:numPr>
          <w:ilvl w:val="0"/>
          <w:numId w:val="34"/>
        </w:numPr>
        <w:jc w:val="both"/>
        <w:rPr>
          <w:rFonts w:ascii="Times New Roman" w:hAnsi="Times New Roman" w:cs="Times New Roman"/>
          <w:sz w:val="24"/>
          <w:szCs w:val="24"/>
        </w:rPr>
      </w:pPr>
      <w:r w:rsidRPr="00C406BB">
        <w:rPr>
          <w:rFonts w:ascii="Times New Roman" w:hAnsi="Times New Roman" w:cs="Times New Roman"/>
          <w:sz w:val="24"/>
          <w:szCs w:val="24"/>
        </w:rPr>
        <w:t>Stock reaches $85 by 2002 (+49% return)</w:t>
      </w:r>
    </w:p>
    <w:p w14:paraId="7AA7077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Base Case Scenario (40% probability):</w:t>
      </w:r>
    </w:p>
    <w:p w14:paraId="74D58590" w14:textId="77777777" w:rsidR="00521FEF" w:rsidRPr="00C406BB" w:rsidRDefault="00000000" w:rsidP="00C406BB">
      <w:pPr>
        <w:numPr>
          <w:ilvl w:val="0"/>
          <w:numId w:val="35"/>
        </w:numPr>
        <w:jc w:val="both"/>
        <w:rPr>
          <w:rFonts w:ascii="Times New Roman" w:hAnsi="Times New Roman" w:cs="Times New Roman"/>
          <w:sz w:val="24"/>
          <w:szCs w:val="24"/>
        </w:rPr>
      </w:pPr>
      <w:r w:rsidRPr="00C406BB">
        <w:rPr>
          <w:rFonts w:ascii="Times New Roman" w:hAnsi="Times New Roman" w:cs="Times New Roman"/>
          <w:sz w:val="24"/>
          <w:szCs w:val="24"/>
        </w:rPr>
        <w:t>Moderate integration success</w:t>
      </w:r>
    </w:p>
    <w:p w14:paraId="3E71EDC2" w14:textId="77777777" w:rsidR="00521FEF" w:rsidRPr="00C406BB" w:rsidRDefault="00000000" w:rsidP="00C406BB">
      <w:pPr>
        <w:numPr>
          <w:ilvl w:val="0"/>
          <w:numId w:val="35"/>
        </w:numPr>
        <w:jc w:val="both"/>
        <w:rPr>
          <w:rFonts w:ascii="Times New Roman" w:hAnsi="Times New Roman" w:cs="Times New Roman"/>
          <w:sz w:val="24"/>
          <w:szCs w:val="24"/>
        </w:rPr>
      </w:pPr>
      <w:r w:rsidRPr="00C406BB">
        <w:rPr>
          <w:rFonts w:ascii="Times New Roman" w:hAnsi="Times New Roman" w:cs="Times New Roman"/>
          <w:sz w:val="24"/>
          <w:szCs w:val="24"/>
        </w:rPr>
        <w:t>Synergies reach $800M annually</w:t>
      </w:r>
    </w:p>
    <w:p w14:paraId="33BAFC7A" w14:textId="77777777" w:rsidR="00521FEF" w:rsidRPr="00C406BB" w:rsidRDefault="00000000" w:rsidP="00C406BB">
      <w:pPr>
        <w:numPr>
          <w:ilvl w:val="0"/>
          <w:numId w:val="35"/>
        </w:numPr>
        <w:jc w:val="both"/>
        <w:rPr>
          <w:rFonts w:ascii="Times New Roman" w:hAnsi="Times New Roman" w:cs="Times New Roman"/>
          <w:sz w:val="24"/>
          <w:szCs w:val="24"/>
        </w:rPr>
      </w:pPr>
      <w:r w:rsidRPr="00C406BB">
        <w:rPr>
          <w:rFonts w:ascii="Times New Roman" w:hAnsi="Times New Roman" w:cs="Times New Roman"/>
          <w:sz w:val="24"/>
          <w:szCs w:val="24"/>
        </w:rPr>
        <w:t>Some market share erosion in dial-up</w:t>
      </w:r>
    </w:p>
    <w:p w14:paraId="2774955C" w14:textId="77777777" w:rsidR="00521FEF" w:rsidRPr="00C406BB" w:rsidRDefault="00000000" w:rsidP="00C406BB">
      <w:pPr>
        <w:numPr>
          <w:ilvl w:val="0"/>
          <w:numId w:val="35"/>
        </w:numPr>
        <w:jc w:val="both"/>
        <w:rPr>
          <w:rFonts w:ascii="Times New Roman" w:hAnsi="Times New Roman" w:cs="Times New Roman"/>
          <w:sz w:val="24"/>
          <w:szCs w:val="24"/>
        </w:rPr>
      </w:pPr>
      <w:r w:rsidRPr="00C406BB">
        <w:rPr>
          <w:rFonts w:ascii="Times New Roman" w:hAnsi="Times New Roman" w:cs="Times New Roman"/>
          <w:sz w:val="24"/>
          <w:szCs w:val="24"/>
        </w:rPr>
        <w:t>Stock reaches $45 by 2002 (-21% return)</w:t>
      </w:r>
    </w:p>
    <w:p w14:paraId="3E92B76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Bear Case Scenario (40% probability):</w:t>
      </w:r>
    </w:p>
    <w:p w14:paraId="1D91A642" w14:textId="77777777" w:rsidR="00521FEF" w:rsidRPr="00C406BB" w:rsidRDefault="00000000" w:rsidP="00C406BB">
      <w:pPr>
        <w:numPr>
          <w:ilvl w:val="0"/>
          <w:numId w:val="36"/>
        </w:numPr>
        <w:jc w:val="both"/>
        <w:rPr>
          <w:rFonts w:ascii="Times New Roman" w:hAnsi="Times New Roman" w:cs="Times New Roman"/>
          <w:sz w:val="24"/>
          <w:szCs w:val="24"/>
        </w:rPr>
      </w:pPr>
      <w:r w:rsidRPr="00C406BB">
        <w:rPr>
          <w:rFonts w:ascii="Times New Roman" w:hAnsi="Times New Roman" w:cs="Times New Roman"/>
          <w:sz w:val="24"/>
          <w:szCs w:val="24"/>
        </w:rPr>
        <w:t>Integration difficulties delay synergy realization</w:t>
      </w:r>
    </w:p>
    <w:p w14:paraId="77A3F748" w14:textId="77777777" w:rsidR="00521FEF" w:rsidRPr="00C406BB" w:rsidRDefault="00000000" w:rsidP="00C406BB">
      <w:pPr>
        <w:numPr>
          <w:ilvl w:val="0"/>
          <w:numId w:val="36"/>
        </w:numPr>
        <w:jc w:val="both"/>
        <w:rPr>
          <w:rFonts w:ascii="Times New Roman" w:hAnsi="Times New Roman" w:cs="Times New Roman"/>
          <w:sz w:val="24"/>
          <w:szCs w:val="24"/>
        </w:rPr>
      </w:pPr>
      <w:r w:rsidRPr="00C406BB">
        <w:rPr>
          <w:rFonts w:ascii="Times New Roman" w:hAnsi="Times New Roman" w:cs="Times New Roman"/>
          <w:sz w:val="24"/>
          <w:szCs w:val="24"/>
        </w:rPr>
        <w:t>Advertising market downturn accelerates</w:t>
      </w:r>
    </w:p>
    <w:p w14:paraId="68528608" w14:textId="77777777" w:rsidR="00521FEF" w:rsidRPr="00C406BB" w:rsidRDefault="00000000" w:rsidP="00C406BB">
      <w:pPr>
        <w:numPr>
          <w:ilvl w:val="0"/>
          <w:numId w:val="36"/>
        </w:numPr>
        <w:jc w:val="both"/>
        <w:rPr>
          <w:rFonts w:ascii="Times New Roman" w:hAnsi="Times New Roman" w:cs="Times New Roman"/>
          <w:sz w:val="24"/>
          <w:szCs w:val="24"/>
        </w:rPr>
      </w:pPr>
      <w:r w:rsidRPr="00C406BB">
        <w:rPr>
          <w:rFonts w:ascii="Times New Roman" w:hAnsi="Times New Roman" w:cs="Times New Roman"/>
          <w:sz w:val="24"/>
          <w:szCs w:val="24"/>
        </w:rPr>
        <w:t>Broadband cannibalization faster than expected</w:t>
      </w:r>
    </w:p>
    <w:p w14:paraId="40ECCAEE" w14:textId="77777777" w:rsidR="00521FEF" w:rsidRPr="00C406BB" w:rsidRDefault="00000000" w:rsidP="00C406BB">
      <w:pPr>
        <w:numPr>
          <w:ilvl w:val="0"/>
          <w:numId w:val="36"/>
        </w:numPr>
        <w:jc w:val="both"/>
        <w:rPr>
          <w:rFonts w:ascii="Times New Roman" w:hAnsi="Times New Roman" w:cs="Times New Roman"/>
          <w:sz w:val="24"/>
          <w:szCs w:val="24"/>
        </w:rPr>
      </w:pPr>
      <w:r w:rsidRPr="00C406BB">
        <w:rPr>
          <w:rFonts w:ascii="Times New Roman" w:hAnsi="Times New Roman" w:cs="Times New Roman"/>
          <w:sz w:val="24"/>
          <w:szCs w:val="24"/>
        </w:rPr>
        <w:t>Stock reaches $25 by 2002 (-56% return)</w:t>
      </w:r>
    </w:p>
    <w:p w14:paraId="5731E72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Expected Return:</w:t>
      </w:r>
    </w:p>
    <w:p w14:paraId="307C8839" w14:textId="77777777" w:rsidR="00521FEF" w:rsidRPr="00C406BB" w:rsidRDefault="00000000" w:rsidP="00C406BB">
      <w:pPr>
        <w:spacing w:after="210"/>
        <w:jc w:val="both"/>
        <w:rPr>
          <w:rFonts w:ascii="Times New Roman" w:hAnsi="Times New Roman" w:cs="Times New Roman"/>
          <w:sz w:val="24"/>
          <w:szCs w:val="24"/>
        </w:rPr>
      </w:pPr>
      <m:oMathPara>
        <m:oMath>
          <m:r>
            <m:rPr>
              <m:sty m:val="p"/>
            </m:rPr>
            <w:rPr>
              <w:rFonts w:ascii="Cambria Math" w:hAnsi="Cambria Math" w:cs="Times New Roman"/>
              <w:sz w:val="24"/>
              <w:szCs w:val="24"/>
            </w:rPr>
            <m:t>(0.20×49%)+(0.40×-21%)+(0.40×-56%)=-21%</m:t>
          </m:r>
        </m:oMath>
      </m:oMathPara>
    </w:p>
    <w:p w14:paraId="3482C52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negative expected return combined with substantial downside risk creates unfavorable risk-reward profile.</w:t>
      </w:r>
    </w:p>
    <w:p w14:paraId="02DD976F" w14:textId="77777777" w:rsidR="00780271" w:rsidRDefault="00780271" w:rsidP="00C406BB">
      <w:pPr>
        <w:spacing w:before="240" w:line="271" w:lineRule="auto"/>
        <w:jc w:val="both"/>
        <w:rPr>
          <w:rFonts w:ascii="Times New Roman" w:hAnsi="Times New Roman" w:cs="Times New Roman"/>
          <w:b/>
          <w:sz w:val="24"/>
          <w:szCs w:val="24"/>
        </w:rPr>
      </w:pPr>
      <w:bookmarkStart w:id="95" w:name="bm_9_2_investment_thesis_bear_case"/>
    </w:p>
    <w:p w14:paraId="17D15556" w14:textId="6E1A528B" w:rsidR="00521FEF" w:rsidRPr="00C406BB" w:rsidRDefault="00000000" w:rsidP="00780271">
      <w:pPr>
        <w:pStyle w:val="Heading2"/>
      </w:pPr>
      <w:bookmarkStart w:id="96" w:name="_Toc221361515"/>
      <w:r w:rsidRPr="00C406BB">
        <w:t>9.2 Investment Thesis: Bear Case</w:t>
      </w:r>
      <w:bookmarkEnd w:id="95"/>
      <w:bookmarkEnd w:id="96"/>
    </w:p>
    <w:p w14:paraId="54C38F9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Primary Concerns Supporting SELL Recommendation:</w:t>
      </w:r>
    </w:p>
    <w:p w14:paraId="6D699642"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1. Extreme Valuation Multiple Compression Risk</w:t>
      </w:r>
    </w:p>
    <w:p w14:paraId="06B6577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At 98x forward P/E (excluding amortization) and 28x EV/EBITDA, AOL Time Warner traded at unsustainable multiples relative to:</w:t>
      </w:r>
    </w:p>
    <w:p w14:paraId="1C4642E1" w14:textId="77777777" w:rsidR="00521FEF" w:rsidRPr="00C406BB" w:rsidRDefault="00000000" w:rsidP="00C406BB">
      <w:pPr>
        <w:numPr>
          <w:ilvl w:val="0"/>
          <w:numId w:val="37"/>
        </w:numPr>
        <w:jc w:val="both"/>
        <w:rPr>
          <w:rFonts w:ascii="Times New Roman" w:hAnsi="Times New Roman" w:cs="Times New Roman"/>
          <w:sz w:val="24"/>
          <w:szCs w:val="24"/>
        </w:rPr>
      </w:pPr>
      <w:r w:rsidRPr="00C406BB">
        <w:rPr>
          <w:rFonts w:ascii="Times New Roman" w:hAnsi="Times New Roman" w:cs="Times New Roman"/>
          <w:sz w:val="24"/>
          <w:szCs w:val="24"/>
        </w:rPr>
        <w:t>Historical media company valuations (12-18x EBITDA)</w:t>
      </w:r>
    </w:p>
    <w:p w14:paraId="4E8072A0" w14:textId="77777777" w:rsidR="00521FEF" w:rsidRPr="00C406BB" w:rsidRDefault="00000000" w:rsidP="00C406BB">
      <w:pPr>
        <w:numPr>
          <w:ilvl w:val="0"/>
          <w:numId w:val="37"/>
        </w:numPr>
        <w:jc w:val="both"/>
        <w:rPr>
          <w:rFonts w:ascii="Times New Roman" w:hAnsi="Times New Roman" w:cs="Times New Roman"/>
          <w:sz w:val="24"/>
          <w:szCs w:val="24"/>
        </w:rPr>
      </w:pPr>
      <w:r w:rsidRPr="00C406BB">
        <w:rPr>
          <w:rFonts w:ascii="Times New Roman" w:hAnsi="Times New Roman" w:cs="Times New Roman"/>
          <w:sz w:val="24"/>
          <w:szCs w:val="24"/>
        </w:rPr>
        <w:t>Projected growth rates (15% revenue vs. 100%+ required to justify P/E)</w:t>
      </w:r>
    </w:p>
    <w:p w14:paraId="30BA4981" w14:textId="77777777" w:rsidR="00521FEF" w:rsidRPr="00C406BB" w:rsidRDefault="00000000" w:rsidP="00C406BB">
      <w:pPr>
        <w:numPr>
          <w:ilvl w:val="0"/>
          <w:numId w:val="37"/>
        </w:numPr>
        <w:jc w:val="both"/>
        <w:rPr>
          <w:rFonts w:ascii="Times New Roman" w:hAnsi="Times New Roman" w:cs="Times New Roman"/>
          <w:sz w:val="24"/>
          <w:szCs w:val="24"/>
        </w:rPr>
      </w:pPr>
      <w:r w:rsidRPr="00C406BB">
        <w:rPr>
          <w:rFonts w:ascii="Times New Roman" w:hAnsi="Times New Roman" w:cs="Times New Roman"/>
          <w:sz w:val="24"/>
          <w:szCs w:val="24"/>
        </w:rPr>
        <w:lastRenderedPageBreak/>
        <w:t>Cash flow generation capabilities</w:t>
      </w:r>
    </w:p>
    <w:p w14:paraId="75A2AA7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Multiple compression from 28x to 15x EBITDA alone would reduce stock price by 46%, even with no operational deterioration.</w:t>
      </w:r>
    </w:p>
    <w:p w14:paraId="7C7341F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2. Goodwill Overhang and Future Impairment Risk</w:t>
      </w:r>
    </w:p>
    <w:p w14:paraId="6CB6A8B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$127 billion goodwill represented:</w:t>
      </w:r>
    </w:p>
    <w:p w14:paraId="3673B51F" w14:textId="77777777" w:rsidR="00521FEF" w:rsidRPr="00C406BB" w:rsidRDefault="00000000" w:rsidP="00C406BB">
      <w:pPr>
        <w:numPr>
          <w:ilvl w:val="0"/>
          <w:numId w:val="38"/>
        </w:numPr>
        <w:jc w:val="both"/>
        <w:rPr>
          <w:rFonts w:ascii="Times New Roman" w:hAnsi="Times New Roman" w:cs="Times New Roman"/>
          <w:sz w:val="24"/>
          <w:szCs w:val="24"/>
        </w:rPr>
      </w:pPr>
      <w:r w:rsidRPr="00C406BB">
        <w:rPr>
          <w:rFonts w:ascii="Times New Roman" w:hAnsi="Times New Roman" w:cs="Times New Roman"/>
          <w:sz w:val="24"/>
          <w:szCs w:val="24"/>
        </w:rPr>
        <w:t>94% of stockholders' equity</w:t>
      </w:r>
    </w:p>
    <w:p w14:paraId="0FF8401B" w14:textId="77777777" w:rsidR="00521FEF" w:rsidRPr="00C406BB" w:rsidRDefault="00000000" w:rsidP="00C406BB">
      <w:pPr>
        <w:numPr>
          <w:ilvl w:val="0"/>
          <w:numId w:val="38"/>
        </w:numPr>
        <w:jc w:val="both"/>
        <w:rPr>
          <w:rFonts w:ascii="Times New Roman" w:hAnsi="Times New Roman" w:cs="Times New Roman"/>
          <w:sz w:val="24"/>
          <w:szCs w:val="24"/>
        </w:rPr>
      </w:pPr>
      <w:r w:rsidRPr="00C406BB">
        <w:rPr>
          <w:rFonts w:ascii="Times New Roman" w:hAnsi="Times New Roman" w:cs="Times New Roman"/>
          <w:sz w:val="24"/>
          <w:szCs w:val="24"/>
        </w:rPr>
        <w:t>3.6x forward EBITDA</w:t>
      </w:r>
    </w:p>
    <w:p w14:paraId="41BFF71E" w14:textId="77777777" w:rsidR="00521FEF" w:rsidRPr="00C406BB" w:rsidRDefault="00000000" w:rsidP="00C406BB">
      <w:pPr>
        <w:numPr>
          <w:ilvl w:val="0"/>
          <w:numId w:val="38"/>
        </w:numPr>
        <w:jc w:val="both"/>
        <w:rPr>
          <w:rFonts w:ascii="Times New Roman" w:hAnsi="Times New Roman" w:cs="Times New Roman"/>
          <w:sz w:val="24"/>
          <w:szCs w:val="24"/>
        </w:rPr>
      </w:pPr>
      <w:r w:rsidRPr="00C406BB">
        <w:rPr>
          <w:rFonts w:ascii="Times New Roman" w:hAnsi="Times New Roman" w:cs="Times New Roman"/>
          <w:sz w:val="24"/>
          <w:szCs w:val="24"/>
        </w:rPr>
        <w:t>16 years of projected free cash flow</w:t>
      </w:r>
    </w:p>
    <w:p w14:paraId="7C781349" w14:textId="21232EF9"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Any significant business deterioration would trigger impairment testing and potential write-downs devastating shareholder value. Historical precedent showed large technology mergers experienced goodwill impairments 60-70% of the time within 5 years.</w:t>
      </w:r>
    </w:p>
    <w:p w14:paraId="2588CC1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3. Deteriorating Business Fundamentals</w:t>
      </w:r>
    </w:p>
    <w:p w14:paraId="0C0B19E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Evidence of weakening core business emerged by Q4 1999/Q1 2000:</w:t>
      </w:r>
    </w:p>
    <w:p w14:paraId="20EE6514" w14:textId="77777777" w:rsidR="00521FEF" w:rsidRPr="00C406BB" w:rsidRDefault="00000000" w:rsidP="00C406BB">
      <w:pPr>
        <w:numPr>
          <w:ilvl w:val="0"/>
          <w:numId w:val="39"/>
        </w:numPr>
        <w:jc w:val="both"/>
        <w:rPr>
          <w:rFonts w:ascii="Times New Roman" w:hAnsi="Times New Roman" w:cs="Times New Roman"/>
          <w:sz w:val="24"/>
          <w:szCs w:val="24"/>
        </w:rPr>
      </w:pPr>
      <w:r w:rsidRPr="00C406BB">
        <w:rPr>
          <w:rFonts w:ascii="Times New Roman" w:hAnsi="Times New Roman" w:cs="Times New Roman"/>
          <w:sz w:val="24"/>
          <w:szCs w:val="24"/>
        </w:rPr>
        <w:t>AOL subscriber growth decelerating (from 40% to 25% YoY)</w:t>
      </w:r>
    </w:p>
    <w:p w14:paraId="74A86AC8" w14:textId="77777777" w:rsidR="00521FEF" w:rsidRPr="00C406BB" w:rsidRDefault="00000000" w:rsidP="00C406BB">
      <w:pPr>
        <w:numPr>
          <w:ilvl w:val="0"/>
          <w:numId w:val="39"/>
        </w:numPr>
        <w:jc w:val="both"/>
        <w:rPr>
          <w:rFonts w:ascii="Times New Roman" w:hAnsi="Times New Roman" w:cs="Times New Roman"/>
          <w:sz w:val="24"/>
          <w:szCs w:val="24"/>
        </w:rPr>
      </w:pPr>
      <w:r w:rsidRPr="00C406BB">
        <w:rPr>
          <w:rFonts w:ascii="Times New Roman" w:hAnsi="Times New Roman" w:cs="Times New Roman"/>
          <w:sz w:val="24"/>
          <w:szCs w:val="24"/>
        </w:rPr>
        <w:t>Dial-up ARPU pressure from competitive discounting</w:t>
      </w:r>
    </w:p>
    <w:p w14:paraId="7C157589" w14:textId="77777777" w:rsidR="00521FEF" w:rsidRPr="00C406BB" w:rsidRDefault="00000000" w:rsidP="00C406BB">
      <w:pPr>
        <w:numPr>
          <w:ilvl w:val="0"/>
          <w:numId w:val="39"/>
        </w:numPr>
        <w:jc w:val="both"/>
        <w:rPr>
          <w:rFonts w:ascii="Times New Roman" w:hAnsi="Times New Roman" w:cs="Times New Roman"/>
          <w:sz w:val="24"/>
          <w:szCs w:val="24"/>
        </w:rPr>
      </w:pPr>
      <w:r w:rsidRPr="00C406BB">
        <w:rPr>
          <w:rFonts w:ascii="Times New Roman" w:hAnsi="Times New Roman" w:cs="Times New Roman"/>
          <w:sz w:val="24"/>
          <w:szCs w:val="24"/>
        </w:rPr>
        <w:t>Online advertising CPM rates declining 15-20%</w:t>
      </w:r>
    </w:p>
    <w:p w14:paraId="5E4B04C6" w14:textId="77777777" w:rsidR="00521FEF" w:rsidRPr="00C406BB" w:rsidRDefault="00000000" w:rsidP="00C406BB">
      <w:pPr>
        <w:numPr>
          <w:ilvl w:val="0"/>
          <w:numId w:val="39"/>
        </w:numPr>
        <w:jc w:val="both"/>
        <w:rPr>
          <w:rFonts w:ascii="Times New Roman" w:hAnsi="Times New Roman" w:cs="Times New Roman"/>
          <w:sz w:val="24"/>
          <w:szCs w:val="24"/>
        </w:rPr>
      </w:pPr>
      <w:r w:rsidRPr="00C406BB">
        <w:rPr>
          <w:rFonts w:ascii="Times New Roman" w:hAnsi="Times New Roman" w:cs="Times New Roman"/>
          <w:sz w:val="24"/>
          <w:szCs w:val="24"/>
        </w:rPr>
        <w:t>Dot-com advertiser failures accelerating</w:t>
      </w:r>
    </w:p>
    <w:p w14:paraId="7F03117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These trends contradicted management's aggressive 15% revenue growth guidance.</w:t>
      </w:r>
    </w:p>
    <w:p w14:paraId="33C1235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4. Integration Complexity and Execution Risk</w:t>
      </w:r>
    </w:p>
    <w:p w14:paraId="1376CF0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merger combined:</w:t>
      </w:r>
    </w:p>
    <w:p w14:paraId="4FF00485" w14:textId="77777777" w:rsidR="00521FEF" w:rsidRPr="00C406BB" w:rsidRDefault="00000000" w:rsidP="00C406BB">
      <w:pPr>
        <w:numPr>
          <w:ilvl w:val="0"/>
          <w:numId w:val="40"/>
        </w:numPr>
        <w:jc w:val="both"/>
        <w:rPr>
          <w:rFonts w:ascii="Times New Roman" w:hAnsi="Times New Roman" w:cs="Times New Roman"/>
          <w:sz w:val="24"/>
          <w:szCs w:val="24"/>
        </w:rPr>
      </w:pPr>
      <w:r w:rsidRPr="00C406BB">
        <w:rPr>
          <w:rFonts w:ascii="Times New Roman" w:hAnsi="Times New Roman" w:cs="Times New Roman"/>
          <w:sz w:val="24"/>
          <w:szCs w:val="24"/>
        </w:rPr>
        <w:t>82,000 employees across disparate cultures</w:t>
      </w:r>
    </w:p>
    <w:p w14:paraId="45EA5422" w14:textId="77777777" w:rsidR="00521FEF" w:rsidRPr="00C406BB" w:rsidRDefault="00000000" w:rsidP="00C406BB">
      <w:pPr>
        <w:numPr>
          <w:ilvl w:val="0"/>
          <w:numId w:val="40"/>
        </w:numPr>
        <w:jc w:val="both"/>
        <w:rPr>
          <w:rFonts w:ascii="Times New Roman" w:hAnsi="Times New Roman" w:cs="Times New Roman"/>
          <w:sz w:val="24"/>
          <w:szCs w:val="24"/>
        </w:rPr>
      </w:pPr>
      <w:r w:rsidRPr="00C406BB">
        <w:rPr>
          <w:rFonts w:ascii="Times New Roman" w:hAnsi="Times New Roman" w:cs="Times New Roman"/>
          <w:sz w:val="24"/>
          <w:szCs w:val="24"/>
        </w:rPr>
        <w:t>6 major business divisions with different operating models</w:t>
      </w:r>
    </w:p>
    <w:p w14:paraId="49AA72D2" w14:textId="3962ABFD" w:rsidR="00521FEF" w:rsidRPr="00C406BB" w:rsidRDefault="00000000" w:rsidP="00C406BB">
      <w:pPr>
        <w:numPr>
          <w:ilvl w:val="0"/>
          <w:numId w:val="40"/>
        </w:numPr>
        <w:jc w:val="both"/>
        <w:rPr>
          <w:rFonts w:ascii="Times New Roman" w:hAnsi="Times New Roman" w:cs="Times New Roman"/>
          <w:sz w:val="24"/>
          <w:szCs w:val="24"/>
        </w:rPr>
      </w:pPr>
      <w:r w:rsidRPr="00C406BB">
        <w:rPr>
          <w:rFonts w:ascii="Times New Roman" w:hAnsi="Times New Roman" w:cs="Times New Roman"/>
          <w:sz w:val="24"/>
          <w:szCs w:val="24"/>
        </w:rPr>
        <w:t xml:space="preserve">Technology systems requiring </w:t>
      </w:r>
      <w:r w:rsidR="00780271" w:rsidRPr="00C406BB">
        <w:rPr>
          <w:rFonts w:ascii="Times New Roman" w:hAnsi="Times New Roman" w:cs="Times New Roman"/>
          <w:sz w:val="24"/>
          <w:szCs w:val="24"/>
        </w:rPr>
        <w:t>3–5-year</w:t>
      </w:r>
      <w:r w:rsidRPr="00C406BB">
        <w:rPr>
          <w:rFonts w:ascii="Times New Roman" w:hAnsi="Times New Roman" w:cs="Times New Roman"/>
          <w:sz w:val="24"/>
          <w:szCs w:val="24"/>
        </w:rPr>
        <w:t xml:space="preserve"> integration timeline</w:t>
      </w:r>
    </w:p>
    <w:p w14:paraId="2B03AD4B" w14:textId="77777777" w:rsidR="00521FEF" w:rsidRPr="00C406BB" w:rsidRDefault="00000000" w:rsidP="00C406BB">
      <w:pPr>
        <w:numPr>
          <w:ilvl w:val="0"/>
          <w:numId w:val="40"/>
        </w:numPr>
        <w:jc w:val="both"/>
        <w:rPr>
          <w:rFonts w:ascii="Times New Roman" w:hAnsi="Times New Roman" w:cs="Times New Roman"/>
          <w:sz w:val="24"/>
          <w:szCs w:val="24"/>
        </w:rPr>
      </w:pPr>
      <w:r w:rsidRPr="00C406BB">
        <w:rPr>
          <w:rFonts w:ascii="Times New Roman" w:hAnsi="Times New Roman" w:cs="Times New Roman"/>
          <w:sz w:val="24"/>
          <w:szCs w:val="24"/>
        </w:rPr>
        <w:t>Management team with co-CEO structure prone to conflict</w:t>
      </w:r>
    </w:p>
    <w:p w14:paraId="471BE94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Success required flawless execution across all dimensions simultaneously - probability &lt;30% based on historical merger studies.</w:t>
      </w:r>
    </w:p>
    <w:p w14:paraId="14D0B97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5. Regulatory Constraints on Synergy Realization</w:t>
      </w:r>
    </w:p>
    <w:p w14:paraId="2666A81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FTC approval conditions restricted:</w:t>
      </w:r>
    </w:p>
    <w:p w14:paraId="4B4B9994" w14:textId="77777777" w:rsidR="00521FEF" w:rsidRPr="00C406BB" w:rsidRDefault="00000000" w:rsidP="00C406BB">
      <w:pPr>
        <w:numPr>
          <w:ilvl w:val="0"/>
          <w:numId w:val="41"/>
        </w:numPr>
        <w:jc w:val="both"/>
        <w:rPr>
          <w:rFonts w:ascii="Times New Roman" w:hAnsi="Times New Roman" w:cs="Times New Roman"/>
          <w:sz w:val="24"/>
          <w:szCs w:val="24"/>
        </w:rPr>
      </w:pPr>
      <w:r w:rsidRPr="00C406BB">
        <w:rPr>
          <w:rFonts w:ascii="Times New Roman" w:hAnsi="Times New Roman" w:cs="Times New Roman"/>
          <w:sz w:val="24"/>
          <w:szCs w:val="24"/>
        </w:rPr>
        <w:t>Content licensing practices</w:t>
      </w:r>
    </w:p>
    <w:p w14:paraId="2E4F9C15" w14:textId="77777777" w:rsidR="00521FEF" w:rsidRPr="00C406BB" w:rsidRDefault="00000000" w:rsidP="00C406BB">
      <w:pPr>
        <w:numPr>
          <w:ilvl w:val="0"/>
          <w:numId w:val="41"/>
        </w:numPr>
        <w:jc w:val="both"/>
        <w:rPr>
          <w:rFonts w:ascii="Times New Roman" w:hAnsi="Times New Roman" w:cs="Times New Roman"/>
          <w:sz w:val="24"/>
          <w:szCs w:val="24"/>
        </w:rPr>
      </w:pPr>
      <w:r w:rsidRPr="00C406BB">
        <w:rPr>
          <w:rFonts w:ascii="Times New Roman" w:hAnsi="Times New Roman" w:cs="Times New Roman"/>
          <w:sz w:val="24"/>
          <w:szCs w:val="24"/>
        </w:rPr>
        <w:t>Cable bundling strategies</w:t>
      </w:r>
    </w:p>
    <w:p w14:paraId="3F2398E3" w14:textId="77777777" w:rsidR="00521FEF" w:rsidRPr="00C406BB" w:rsidRDefault="00000000" w:rsidP="00C406BB">
      <w:pPr>
        <w:numPr>
          <w:ilvl w:val="0"/>
          <w:numId w:val="41"/>
        </w:numPr>
        <w:jc w:val="both"/>
        <w:rPr>
          <w:rFonts w:ascii="Times New Roman" w:hAnsi="Times New Roman" w:cs="Times New Roman"/>
          <w:sz w:val="24"/>
          <w:szCs w:val="24"/>
        </w:rPr>
      </w:pPr>
      <w:r w:rsidRPr="00C406BB">
        <w:rPr>
          <w:rFonts w:ascii="Times New Roman" w:hAnsi="Times New Roman" w:cs="Times New Roman"/>
          <w:sz w:val="24"/>
          <w:szCs w:val="24"/>
        </w:rPr>
        <w:lastRenderedPageBreak/>
        <w:t>Competitor access requirements</w:t>
      </w:r>
    </w:p>
    <w:p w14:paraId="53AD0C56" w14:textId="77777777" w:rsidR="00521FEF" w:rsidRPr="00C406BB" w:rsidRDefault="00000000" w:rsidP="00C406BB">
      <w:pPr>
        <w:numPr>
          <w:ilvl w:val="0"/>
          <w:numId w:val="41"/>
        </w:numPr>
        <w:jc w:val="both"/>
        <w:rPr>
          <w:rFonts w:ascii="Times New Roman" w:hAnsi="Times New Roman" w:cs="Times New Roman"/>
          <w:sz w:val="24"/>
          <w:szCs w:val="24"/>
        </w:rPr>
      </w:pPr>
      <w:r w:rsidRPr="00C406BB">
        <w:rPr>
          <w:rFonts w:ascii="Times New Roman" w:hAnsi="Times New Roman" w:cs="Times New Roman"/>
          <w:sz w:val="24"/>
          <w:szCs w:val="24"/>
        </w:rPr>
        <w:t>Cross-promotion activities</w:t>
      </w:r>
    </w:p>
    <w:p w14:paraId="30BF3136" w14:textId="23E888A9"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These constraints limited ability to realize projected $1.0-1.5B synergies, potentially reducing achievable synergies to $400-600M range.</w:t>
      </w:r>
    </w:p>
    <w:p w14:paraId="02A4125A" w14:textId="77777777" w:rsidR="00780271" w:rsidRDefault="00780271" w:rsidP="00C406BB">
      <w:pPr>
        <w:spacing w:before="240" w:line="271" w:lineRule="auto"/>
        <w:jc w:val="both"/>
        <w:rPr>
          <w:rFonts w:ascii="Times New Roman" w:hAnsi="Times New Roman" w:cs="Times New Roman"/>
          <w:b/>
          <w:sz w:val="24"/>
          <w:szCs w:val="24"/>
        </w:rPr>
      </w:pPr>
      <w:bookmarkStart w:id="97" w:name="bm_9_3_counter_arguments_to_sell_98ab8c"/>
    </w:p>
    <w:p w14:paraId="31CFA2A9" w14:textId="7DF97750" w:rsidR="00521FEF" w:rsidRPr="00C406BB" w:rsidRDefault="00000000" w:rsidP="00780271">
      <w:pPr>
        <w:pStyle w:val="Heading2"/>
      </w:pPr>
      <w:bookmarkStart w:id="98" w:name="_Toc221361516"/>
      <w:r w:rsidRPr="00C406BB">
        <w:t xml:space="preserve">9.3 </w:t>
      </w:r>
      <w:r w:rsidR="00780271" w:rsidRPr="00C406BB">
        <w:t>Counterarguments</w:t>
      </w:r>
      <w:r w:rsidRPr="00C406BB">
        <w:t xml:space="preserve"> to Sell Recommendation</w:t>
      </w:r>
      <w:bookmarkEnd w:id="97"/>
      <w:bookmarkEnd w:id="98"/>
    </w:p>
    <w:p w14:paraId="059FF02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Bull Case Perspective:</w:t>
      </w:r>
    </w:p>
    <w:p w14:paraId="63CD024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Proponents of holding or buying AOL Time Warner cited:</w:t>
      </w:r>
    </w:p>
    <w:p w14:paraId="4ADE20A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Strategic Vision:</w:t>
      </w:r>
    </w:p>
    <w:p w14:paraId="4697C152" w14:textId="77777777" w:rsidR="00521FEF" w:rsidRPr="00C406BB" w:rsidRDefault="00000000" w:rsidP="00C406BB">
      <w:pPr>
        <w:numPr>
          <w:ilvl w:val="0"/>
          <w:numId w:val="42"/>
        </w:numPr>
        <w:jc w:val="both"/>
        <w:rPr>
          <w:rFonts w:ascii="Times New Roman" w:hAnsi="Times New Roman" w:cs="Times New Roman"/>
          <w:sz w:val="24"/>
          <w:szCs w:val="24"/>
        </w:rPr>
      </w:pPr>
      <w:r w:rsidRPr="00C406BB">
        <w:rPr>
          <w:rFonts w:ascii="Times New Roman" w:hAnsi="Times New Roman" w:cs="Times New Roman"/>
          <w:sz w:val="24"/>
          <w:szCs w:val="24"/>
        </w:rPr>
        <w:t>Internet convergence with traditional media represented inevitable future</w:t>
      </w:r>
    </w:p>
    <w:p w14:paraId="46E03D08" w14:textId="77777777" w:rsidR="00521FEF" w:rsidRPr="00C406BB" w:rsidRDefault="00000000" w:rsidP="00C406BB">
      <w:pPr>
        <w:numPr>
          <w:ilvl w:val="0"/>
          <w:numId w:val="42"/>
        </w:numPr>
        <w:jc w:val="both"/>
        <w:rPr>
          <w:rFonts w:ascii="Times New Roman" w:hAnsi="Times New Roman" w:cs="Times New Roman"/>
          <w:sz w:val="24"/>
          <w:szCs w:val="24"/>
        </w:rPr>
      </w:pPr>
      <w:r w:rsidRPr="00C406BB">
        <w:rPr>
          <w:rFonts w:ascii="Times New Roman" w:hAnsi="Times New Roman" w:cs="Times New Roman"/>
          <w:sz w:val="24"/>
          <w:szCs w:val="24"/>
        </w:rPr>
        <w:t>Combined entity uniquely positioned to dominate digital media landscape</w:t>
      </w:r>
    </w:p>
    <w:p w14:paraId="2392385F" w14:textId="77777777" w:rsidR="00521FEF" w:rsidRPr="00C406BB" w:rsidRDefault="00000000" w:rsidP="00C406BB">
      <w:pPr>
        <w:numPr>
          <w:ilvl w:val="0"/>
          <w:numId w:val="42"/>
        </w:numPr>
        <w:jc w:val="both"/>
        <w:rPr>
          <w:rFonts w:ascii="Times New Roman" w:hAnsi="Times New Roman" w:cs="Times New Roman"/>
          <w:sz w:val="24"/>
          <w:szCs w:val="24"/>
        </w:rPr>
      </w:pPr>
      <w:r w:rsidRPr="00C406BB">
        <w:rPr>
          <w:rFonts w:ascii="Times New Roman" w:hAnsi="Times New Roman" w:cs="Times New Roman"/>
          <w:sz w:val="24"/>
          <w:szCs w:val="24"/>
        </w:rPr>
        <w:t>Time Warner content + AOL distribution = sustainable competitive advantage</w:t>
      </w:r>
    </w:p>
    <w:p w14:paraId="3B894D8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Financial Strength:</w:t>
      </w:r>
    </w:p>
    <w:p w14:paraId="1D703D04" w14:textId="77777777" w:rsidR="00521FEF" w:rsidRPr="00C406BB" w:rsidRDefault="00000000" w:rsidP="00C406BB">
      <w:pPr>
        <w:numPr>
          <w:ilvl w:val="0"/>
          <w:numId w:val="43"/>
        </w:numPr>
        <w:jc w:val="both"/>
        <w:rPr>
          <w:rFonts w:ascii="Times New Roman" w:hAnsi="Times New Roman" w:cs="Times New Roman"/>
          <w:sz w:val="24"/>
          <w:szCs w:val="24"/>
        </w:rPr>
      </w:pPr>
      <w:r w:rsidRPr="00C406BB">
        <w:rPr>
          <w:rFonts w:ascii="Times New Roman" w:hAnsi="Times New Roman" w:cs="Times New Roman"/>
          <w:sz w:val="24"/>
          <w:szCs w:val="24"/>
        </w:rPr>
        <w:t>Strong combined free cash flow generation ($3-5B annually)</w:t>
      </w:r>
    </w:p>
    <w:p w14:paraId="75E1776D" w14:textId="77777777" w:rsidR="00521FEF" w:rsidRPr="00C406BB" w:rsidRDefault="00000000" w:rsidP="00C406BB">
      <w:pPr>
        <w:numPr>
          <w:ilvl w:val="0"/>
          <w:numId w:val="43"/>
        </w:numPr>
        <w:jc w:val="both"/>
        <w:rPr>
          <w:rFonts w:ascii="Times New Roman" w:hAnsi="Times New Roman" w:cs="Times New Roman"/>
          <w:sz w:val="24"/>
          <w:szCs w:val="24"/>
        </w:rPr>
      </w:pPr>
      <w:r w:rsidRPr="00C406BB">
        <w:rPr>
          <w:rFonts w:ascii="Times New Roman" w:hAnsi="Times New Roman" w:cs="Times New Roman"/>
          <w:sz w:val="24"/>
          <w:szCs w:val="24"/>
        </w:rPr>
        <w:t>Low leverage (D/E ratio 20%) provided financial flexibility</w:t>
      </w:r>
    </w:p>
    <w:p w14:paraId="65AF7A8B" w14:textId="77777777" w:rsidR="00521FEF" w:rsidRPr="00C406BB" w:rsidRDefault="00000000" w:rsidP="00C406BB">
      <w:pPr>
        <w:numPr>
          <w:ilvl w:val="0"/>
          <w:numId w:val="43"/>
        </w:numPr>
        <w:jc w:val="both"/>
        <w:rPr>
          <w:rFonts w:ascii="Times New Roman" w:hAnsi="Times New Roman" w:cs="Times New Roman"/>
          <w:sz w:val="24"/>
          <w:szCs w:val="24"/>
        </w:rPr>
      </w:pPr>
      <w:r w:rsidRPr="00C406BB">
        <w:rPr>
          <w:rFonts w:ascii="Times New Roman" w:hAnsi="Times New Roman" w:cs="Times New Roman"/>
          <w:sz w:val="24"/>
          <w:szCs w:val="24"/>
        </w:rPr>
        <w:t>Diverse revenue streams reduced single-business risk</w:t>
      </w:r>
    </w:p>
    <w:p w14:paraId="17FD208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Market Leadership:</w:t>
      </w:r>
    </w:p>
    <w:p w14:paraId="64D6BD4D" w14:textId="77777777" w:rsidR="00521FEF" w:rsidRPr="00C406BB" w:rsidRDefault="00000000" w:rsidP="00C406BB">
      <w:pPr>
        <w:numPr>
          <w:ilvl w:val="0"/>
          <w:numId w:val="44"/>
        </w:numPr>
        <w:jc w:val="both"/>
        <w:rPr>
          <w:rFonts w:ascii="Times New Roman" w:hAnsi="Times New Roman" w:cs="Times New Roman"/>
          <w:sz w:val="24"/>
          <w:szCs w:val="24"/>
        </w:rPr>
      </w:pPr>
      <w:r w:rsidRPr="00C406BB">
        <w:rPr>
          <w:rFonts w:ascii="Times New Roman" w:eastAsia="Georgia" w:hAnsi="Times New Roman" w:cs="Times New Roman"/>
          <w:sz w:val="24"/>
          <w:szCs w:val="24"/>
        </w:rPr>
        <w:t>#1 position in internet access (50% share)</w:t>
      </w:r>
    </w:p>
    <w:p w14:paraId="1D292B63" w14:textId="77777777" w:rsidR="00521FEF" w:rsidRPr="00C406BB" w:rsidRDefault="00000000" w:rsidP="00C406BB">
      <w:pPr>
        <w:numPr>
          <w:ilvl w:val="0"/>
          <w:numId w:val="44"/>
        </w:numPr>
        <w:jc w:val="both"/>
        <w:rPr>
          <w:rFonts w:ascii="Times New Roman" w:hAnsi="Times New Roman" w:cs="Times New Roman"/>
          <w:sz w:val="24"/>
          <w:szCs w:val="24"/>
        </w:rPr>
      </w:pPr>
      <w:r w:rsidRPr="00C406BB">
        <w:rPr>
          <w:rFonts w:ascii="Times New Roman" w:hAnsi="Times New Roman" w:cs="Times New Roman"/>
          <w:sz w:val="24"/>
          <w:szCs w:val="24"/>
        </w:rPr>
        <w:t>Premier content assets (HBO, CNN, Warner Bros.)</w:t>
      </w:r>
    </w:p>
    <w:p w14:paraId="4F722478" w14:textId="77777777" w:rsidR="00521FEF" w:rsidRPr="00C406BB" w:rsidRDefault="00000000" w:rsidP="00C406BB">
      <w:pPr>
        <w:numPr>
          <w:ilvl w:val="0"/>
          <w:numId w:val="44"/>
        </w:numPr>
        <w:jc w:val="both"/>
        <w:rPr>
          <w:rFonts w:ascii="Times New Roman" w:hAnsi="Times New Roman" w:cs="Times New Roman"/>
          <w:sz w:val="24"/>
          <w:szCs w:val="24"/>
        </w:rPr>
      </w:pPr>
      <w:r w:rsidRPr="00C406BB">
        <w:rPr>
          <w:rFonts w:ascii="Times New Roman" w:hAnsi="Times New Roman" w:cs="Times New Roman"/>
          <w:sz w:val="24"/>
          <w:szCs w:val="24"/>
        </w:rPr>
        <w:t>Second-largest cable operator providing broadband infrastructure</w:t>
      </w:r>
    </w:p>
    <w:p w14:paraId="68EDEF9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Synergy Potential:</w:t>
      </w:r>
    </w:p>
    <w:p w14:paraId="0B0CCE65" w14:textId="77777777" w:rsidR="00521FEF" w:rsidRPr="00C406BB" w:rsidRDefault="00000000" w:rsidP="00C406BB">
      <w:pPr>
        <w:numPr>
          <w:ilvl w:val="0"/>
          <w:numId w:val="45"/>
        </w:numPr>
        <w:jc w:val="both"/>
        <w:rPr>
          <w:rFonts w:ascii="Times New Roman" w:hAnsi="Times New Roman" w:cs="Times New Roman"/>
          <w:sz w:val="24"/>
          <w:szCs w:val="24"/>
        </w:rPr>
      </w:pPr>
      <w:r w:rsidRPr="00C406BB">
        <w:rPr>
          <w:rFonts w:ascii="Times New Roman" w:hAnsi="Times New Roman" w:cs="Times New Roman"/>
          <w:sz w:val="24"/>
          <w:szCs w:val="24"/>
        </w:rPr>
        <w:t>Cross-selling AOL to 13M Time Warner Cable subscribers</w:t>
      </w:r>
    </w:p>
    <w:p w14:paraId="0556B311" w14:textId="77777777" w:rsidR="00521FEF" w:rsidRPr="00C406BB" w:rsidRDefault="00000000" w:rsidP="00C406BB">
      <w:pPr>
        <w:numPr>
          <w:ilvl w:val="0"/>
          <w:numId w:val="45"/>
        </w:numPr>
        <w:jc w:val="both"/>
        <w:rPr>
          <w:rFonts w:ascii="Times New Roman" w:hAnsi="Times New Roman" w:cs="Times New Roman"/>
          <w:sz w:val="24"/>
          <w:szCs w:val="24"/>
        </w:rPr>
      </w:pPr>
      <w:r w:rsidRPr="00C406BB">
        <w:rPr>
          <w:rFonts w:ascii="Times New Roman" w:hAnsi="Times New Roman" w:cs="Times New Roman"/>
          <w:sz w:val="24"/>
          <w:szCs w:val="24"/>
        </w:rPr>
        <w:t>Enhanced advertising products combining reach and targeting</w:t>
      </w:r>
    </w:p>
    <w:p w14:paraId="6A203365" w14:textId="77777777" w:rsidR="00521FEF" w:rsidRPr="00C406BB" w:rsidRDefault="00000000" w:rsidP="00C406BB">
      <w:pPr>
        <w:numPr>
          <w:ilvl w:val="0"/>
          <w:numId w:val="45"/>
        </w:numPr>
        <w:jc w:val="both"/>
        <w:rPr>
          <w:rFonts w:ascii="Times New Roman" w:hAnsi="Times New Roman" w:cs="Times New Roman"/>
          <w:sz w:val="24"/>
          <w:szCs w:val="24"/>
        </w:rPr>
      </w:pPr>
      <w:r w:rsidRPr="00C406BB">
        <w:rPr>
          <w:rFonts w:ascii="Times New Roman" w:hAnsi="Times New Roman" w:cs="Times New Roman"/>
          <w:sz w:val="24"/>
          <w:szCs w:val="24"/>
        </w:rPr>
        <w:t>Operational efficiencies from scale and integration</w:t>
      </w:r>
    </w:p>
    <w:p w14:paraId="7EF8A9B6" w14:textId="77777777" w:rsidR="00780271" w:rsidRDefault="00780271">
      <w:pPr>
        <w:rPr>
          <w:rFonts w:ascii="Times New Roman" w:hAnsi="Times New Roman" w:cs="Times New Roman"/>
          <w:b/>
          <w:sz w:val="24"/>
          <w:szCs w:val="24"/>
        </w:rPr>
      </w:pPr>
      <w:bookmarkStart w:id="99" w:name="bm_9_4_final_investment_recommendation"/>
      <w:r>
        <w:rPr>
          <w:rFonts w:ascii="Times New Roman" w:hAnsi="Times New Roman" w:cs="Times New Roman"/>
          <w:b/>
          <w:sz w:val="24"/>
          <w:szCs w:val="24"/>
        </w:rPr>
        <w:br w:type="page"/>
      </w:r>
    </w:p>
    <w:p w14:paraId="70608793" w14:textId="0F530522" w:rsidR="00521FEF" w:rsidRPr="00C406BB" w:rsidRDefault="00000000" w:rsidP="00780271">
      <w:pPr>
        <w:pStyle w:val="Heading2"/>
      </w:pPr>
      <w:bookmarkStart w:id="100" w:name="_Toc221361517"/>
      <w:r w:rsidRPr="00C406BB">
        <w:lastRenderedPageBreak/>
        <w:t>9.4 Final Investment Recommendation</w:t>
      </w:r>
      <w:bookmarkEnd w:id="99"/>
      <w:bookmarkEnd w:id="100"/>
    </w:p>
    <w:p w14:paraId="423E031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RECOMMENDATION: SELL</w:t>
      </w:r>
    </w:p>
    <w:p w14:paraId="600990C0" w14:textId="77777777" w:rsidR="00521FEF" w:rsidRPr="00C406BB" w:rsidRDefault="00000000" w:rsidP="00780271">
      <w:pPr>
        <w:spacing w:after="210"/>
        <w:rPr>
          <w:rFonts w:ascii="Times New Roman" w:hAnsi="Times New Roman" w:cs="Times New Roman"/>
          <w:sz w:val="24"/>
          <w:szCs w:val="24"/>
        </w:rPr>
      </w:pPr>
      <w:r w:rsidRPr="00C406BB">
        <w:rPr>
          <w:rFonts w:ascii="Times New Roman" w:hAnsi="Times New Roman" w:cs="Times New Roman"/>
          <w:b/>
          <w:sz w:val="24"/>
          <w:szCs w:val="24"/>
        </w:rPr>
        <w:t>Rating:</w:t>
      </w:r>
      <w:r w:rsidRPr="00C406BB">
        <w:rPr>
          <w:rFonts w:ascii="Times New Roman" w:hAnsi="Times New Roman" w:cs="Times New Roman"/>
          <w:sz w:val="24"/>
          <w:szCs w:val="24"/>
        </w:rPr>
        <w:t xml:space="preserve"> Strong Sell</w:t>
      </w:r>
      <w:r w:rsidRPr="00C406BB">
        <w:rPr>
          <w:rFonts w:ascii="Times New Roman" w:hAnsi="Times New Roman" w:cs="Times New Roman"/>
          <w:sz w:val="24"/>
          <w:szCs w:val="24"/>
        </w:rPr>
        <w:br/>
      </w:r>
      <w:r w:rsidRPr="00C406BB">
        <w:rPr>
          <w:rFonts w:ascii="Times New Roman" w:hAnsi="Times New Roman" w:cs="Times New Roman"/>
          <w:b/>
          <w:sz w:val="24"/>
          <w:szCs w:val="24"/>
        </w:rPr>
        <w:t>Price Target (12-month):</w:t>
      </w:r>
      <w:r w:rsidRPr="00C406BB">
        <w:rPr>
          <w:rFonts w:ascii="Times New Roman" w:hAnsi="Times New Roman" w:cs="Times New Roman"/>
          <w:sz w:val="24"/>
          <w:szCs w:val="24"/>
        </w:rPr>
        <w:t xml:space="preserve"> $28</w:t>
      </w:r>
      <w:r w:rsidRPr="00C406BB">
        <w:rPr>
          <w:rFonts w:ascii="Times New Roman" w:hAnsi="Times New Roman" w:cs="Times New Roman"/>
          <w:sz w:val="24"/>
          <w:szCs w:val="24"/>
        </w:rPr>
        <w:br/>
      </w:r>
      <w:r w:rsidRPr="00C406BB">
        <w:rPr>
          <w:rFonts w:ascii="Times New Roman" w:hAnsi="Times New Roman" w:cs="Times New Roman"/>
          <w:b/>
          <w:sz w:val="24"/>
          <w:szCs w:val="24"/>
        </w:rPr>
        <w:t>Downside Risk:</w:t>
      </w:r>
      <w:r w:rsidRPr="00C406BB">
        <w:rPr>
          <w:rFonts w:ascii="Times New Roman" w:hAnsi="Times New Roman" w:cs="Times New Roman"/>
          <w:sz w:val="24"/>
          <w:szCs w:val="24"/>
        </w:rPr>
        <w:t xml:space="preserve"> -51% from $57 current price</w:t>
      </w:r>
    </w:p>
    <w:p w14:paraId="6A02F834" w14:textId="77777777" w:rsidR="00521FEF" w:rsidRPr="00C406BB" w:rsidRDefault="00000000" w:rsidP="00780271">
      <w:pPr>
        <w:spacing w:after="210"/>
        <w:rPr>
          <w:rFonts w:ascii="Times New Roman" w:hAnsi="Times New Roman" w:cs="Times New Roman"/>
          <w:sz w:val="24"/>
          <w:szCs w:val="24"/>
        </w:rPr>
      </w:pPr>
      <w:r w:rsidRPr="00C406BB">
        <w:rPr>
          <w:rFonts w:ascii="Times New Roman" w:hAnsi="Times New Roman" w:cs="Times New Roman"/>
          <w:b/>
          <w:sz w:val="24"/>
          <w:szCs w:val="24"/>
        </w:rPr>
        <w:t>Rationale Summary:</w:t>
      </w:r>
    </w:p>
    <w:p w14:paraId="0EF8D6A8" w14:textId="77777777" w:rsidR="00521FEF" w:rsidRPr="00C406BB" w:rsidRDefault="00000000" w:rsidP="00C406BB">
      <w:pPr>
        <w:numPr>
          <w:ilvl w:val="0"/>
          <w:numId w:val="46"/>
        </w:numPr>
        <w:jc w:val="both"/>
        <w:rPr>
          <w:rFonts w:ascii="Times New Roman" w:hAnsi="Times New Roman" w:cs="Times New Roman"/>
          <w:sz w:val="24"/>
          <w:szCs w:val="24"/>
        </w:rPr>
      </w:pPr>
      <w:r w:rsidRPr="00C406BB">
        <w:rPr>
          <w:rFonts w:ascii="Times New Roman" w:hAnsi="Times New Roman" w:cs="Times New Roman"/>
          <w:b/>
          <w:sz w:val="24"/>
          <w:szCs w:val="24"/>
        </w:rPr>
        <w:t>Valuation:</w:t>
      </w:r>
      <w:r w:rsidRPr="00C406BB">
        <w:rPr>
          <w:rFonts w:ascii="Times New Roman" w:hAnsi="Times New Roman" w:cs="Times New Roman"/>
          <w:sz w:val="24"/>
          <w:szCs w:val="24"/>
        </w:rPr>
        <w:t xml:space="preserve"> 100%+ overvaluation across all methodologies presents asymmetric risk</w:t>
      </w:r>
    </w:p>
    <w:p w14:paraId="7B4FB6DB" w14:textId="77777777" w:rsidR="00521FEF" w:rsidRPr="00C406BB" w:rsidRDefault="00000000" w:rsidP="00C406BB">
      <w:pPr>
        <w:numPr>
          <w:ilvl w:val="0"/>
          <w:numId w:val="46"/>
        </w:numPr>
        <w:jc w:val="both"/>
        <w:rPr>
          <w:rFonts w:ascii="Times New Roman" w:hAnsi="Times New Roman" w:cs="Times New Roman"/>
          <w:sz w:val="24"/>
          <w:szCs w:val="24"/>
        </w:rPr>
      </w:pPr>
      <w:r w:rsidRPr="00C406BB">
        <w:rPr>
          <w:rFonts w:ascii="Times New Roman" w:hAnsi="Times New Roman" w:cs="Times New Roman"/>
          <w:b/>
          <w:sz w:val="24"/>
          <w:szCs w:val="24"/>
        </w:rPr>
        <w:t>Goodwill Risk:</w:t>
      </w:r>
      <w:r w:rsidRPr="00C406BB">
        <w:rPr>
          <w:rFonts w:ascii="Times New Roman" w:hAnsi="Times New Roman" w:cs="Times New Roman"/>
          <w:sz w:val="24"/>
          <w:szCs w:val="24"/>
        </w:rPr>
        <w:t xml:space="preserve"> $127B goodwill creates massive impairment exposure with limited upside</w:t>
      </w:r>
    </w:p>
    <w:p w14:paraId="3C26E8DE" w14:textId="77777777" w:rsidR="00521FEF" w:rsidRPr="00C406BB" w:rsidRDefault="00000000" w:rsidP="00C406BB">
      <w:pPr>
        <w:numPr>
          <w:ilvl w:val="0"/>
          <w:numId w:val="46"/>
        </w:numPr>
        <w:jc w:val="both"/>
        <w:rPr>
          <w:rFonts w:ascii="Times New Roman" w:hAnsi="Times New Roman" w:cs="Times New Roman"/>
          <w:sz w:val="24"/>
          <w:szCs w:val="24"/>
        </w:rPr>
      </w:pPr>
      <w:r w:rsidRPr="00C406BB">
        <w:rPr>
          <w:rFonts w:ascii="Times New Roman" w:hAnsi="Times New Roman" w:cs="Times New Roman"/>
          <w:b/>
          <w:sz w:val="24"/>
          <w:szCs w:val="24"/>
        </w:rPr>
        <w:t>Business Deterioration:</w:t>
      </w:r>
      <w:r w:rsidRPr="00C406BB">
        <w:rPr>
          <w:rFonts w:ascii="Times New Roman" w:hAnsi="Times New Roman" w:cs="Times New Roman"/>
          <w:sz w:val="24"/>
          <w:szCs w:val="24"/>
        </w:rPr>
        <w:t xml:space="preserve"> Core AOL business showing weakness; TW growth slowing</w:t>
      </w:r>
    </w:p>
    <w:p w14:paraId="3BC0697C" w14:textId="77777777" w:rsidR="00521FEF" w:rsidRPr="00C406BB" w:rsidRDefault="00000000" w:rsidP="00C406BB">
      <w:pPr>
        <w:numPr>
          <w:ilvl w:val="0"/>
          <w:numId w:val="46"/>
        </w:numPr>
        <w:jc w:val="both"/>
        <w:rPr>
          <w:rFonts w:ascii="Times New Roman" w:hAnsi="Times New Roman" w:cs="Times New Roman"/>
          <w:sz w:val="24"/>
          <w:szCs w:val="24"/>
        </w:rPr>
      </w:pPr>
      <w:r w:rsidRPr="00C406BB">
        <w:rPr>
          <w:rFonts w:ascii="Times New Roman" w:hAnsi="Times New Roman" w:cs="Times New Roman"/>
          <w:b/>
          <w:sz w:val="24"/>
          <w:szCs w:val="24"/>
        </w:rPr>
        <w:t>Integration Risk:</w:t>
      </w:r>
      <w:r w:rsidRPr="00C406BB">
        <w:rPr>
          <w:rFonts w:ascii="Times New Roman" w:hAnsi="Times New Roman" w:cs="Times New Roman"/>
          <w:sz w:val="24"/>
          <w:szCs w:val="24"/>
        </w:rPr>
        <w:t xml:space="preserve"> Probability of execution success &lt;30% given complexity and culture clash</w:t>
      </w:r>
    </w:p>
    <w:p w14:paraId="5F9B95E8" w14:textId="77777777" w:rsidR="00521FEF" w:rsidRPr="00C406BB" w:rsidRDefault="00000000" w:rsidP="00C406BB">
      <w:pPr>
        <w:numPr>
          <w:ilvl w:val="0"/>
          <w:numId w:val="46"/>
        </w:numPr>
        <w:jc w:val="both"/>
        <w:rPr>
          <w:rFonts w:ascii="Times New Roman" w:hAnsi="Times New Roman" w:cs="Times New Roman"/>
          <w:sz w:val="24"/>
          <w:szCs w:val="24"/>
        </w:rPr>
      </w:pPr>
      <w:r w:rsidRPr="00C406BB">
        <w:rPr>
          <w:rFonts w:ascii="Times New Roman" w:hAnsi="Times New Roman" w:cs="Times New Roman"/>
          <w:b/>
          <w:sz w:val="24"/>
          <w:szCs w:val="24"/>
        </w:rPr>
        <w:t>Market Timing:</w:t>
      </w:r>
      <w:r w:rsidRPr="00C406BB">
        <w:rPr>
          <w:rFonts w:ascii="Times New Roman" w:hAnsi="Times New Roman" w:cs="Times New Roman"/>
          <w:sz w:val="24"/>
          <w:szCs w:val="24"/>
        </w:rPr>
        <w:t xml:space="preserve"> Internet bubble showing signs of peak; reversion to rational valuations imminent</w:t>
      </w:r>
    </w:p>
    <w:p w14:paraId="6ED2D9A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Action Steps for Current Shareholders:</w:t>
      </w:r>
    </w:p>
    <w:p w14:paraId="29F46C27" w14:textId="77777777" w:rsidR="00521FEF" w:rsidRPr="00C406BB" w:rsidRDefault="00000000" w:rsidP="00C406BB">
      <w:pPr>
        <w:numPr>
          <w:ilvl w:val="0"/>
          <w:numId w:val="47"/>
        </w:numPr>
        <w:jc w:val="both"/>
        <w:rPr>
          <w:rFonts w:ascii="Times New Roman" w:hAnsi="Times New Roman" w:cs="Times New Roman"/>
          <w:sz w:val="24"/>
          <w:szCs w:val="24"/>
        </w:rPr>
      </w:pPr>
      <w:r w:rsidRPr="00C406BB">
        <w:rPr>
          <w:rFonts w:ascii="Times New Roman" w:hAnsi="Times New Roman" w:cs="Times New Roman"/>
          <w:b/>
          <w:sz w:val="24"/>
          <w:szCs w:val="24"/>
        </w:rPr>
        <w:t>Immediate:</w:t>
      </w:r>
      <w:r w:rsidRPr="00C406BB">
        <w:rPr>
          <w:rFonts w:ascii="Times New Roman" w:hAnsi="Times New Roman" w:cs="Times New Roman"/>
          <w:sz w:val="24"/>
          <w:szCs w:val="24"/>
        </w:rPr>
        <w:t xml:space="preserve"> Sell 50-75% of position to lock in gains and reduce exposure</w:t>
      </w:r>
    </w:p>
    <w:p w14:paraId="20E5EC83" w14:textId="77777777" w:rsidR="00521FEF" w:rsidRPr="00C406BB" w:rsidRDefault="00000000" w:rsidP="00C406BB">
      <w:pPr>
        <w:numPr>
          <w:ilvl w:val="0"/>
          <w:numId w:val="47"/>
        </w:numPr>
        <w:jc w:val="both"/>
        <w:rPr>
          <w:rFonts w:ascii="Times New Roman" w:hAnsi="Times New Roman" w:cs="Times New Roman"/>
          <w:sz w:val="24"/>
          <w:szCs w:val="24"/>
        </w:rPr>
      </w:pPr>
      <w:r w:rsidRPr="00C406BB">
        <w:rPr>
          <w:rFonts w:ascii="Times New Roman" w:hAnsi="Times New Roman" w:cs="Times New Roman"/>
          <w:b/>
          <w:sz w:val="24"/>
          <w:szCs w:val="24"/>
        </w:rPr>
        <w:t>Tax Consideration:</w:t>
      </w:r>
      <w:r w:rsidRPr="00C406BB">
        <w:rPr>
          <w:rFonts w:ascii="Times New Roman" w:hAnsi="Times New Roman" w:cs="Times New Roman"/>
          <w:sz w:val="24"/>
          <w:szCs w:val="24"/>
        </w:rPr>
        <w:t xml:space="preserve"> If held &lt;1 year, consider spreading sales across tax years</w:t>
      </w:r>
    </w:p>
    <w:p w14:paraId="2FAF16FC" w14:textId="6ECE2B73" w:rsidR="00521FEF" w:rsidRPr="00C406BB" w:rsidRDefault="00000000" w:rsidP="00C406BB">
      <w:pPr>
        <w:numPr>
          <w:ilvl w:val="0"/>
          <w:numId w:val="47"/>
        </w:numPr>
        <w:jc w:val="both"/>
        <w:rPr>
          <w:rFonts w:ascii="Times New Roman" w:hAnsi="Times New Roman" w:cs="Times New Roman"/>
          <w:sz w:val="24"/>
          <w:szCs w:val="24"/>
        </w:rPr>
      </w:pPr>
      <w:r w:rsidRPr="00C406BB">
        <w:rPr>
          <w:rFonts w:ascii="Times New Roman" w:hAnsi="Times New Roman" w:cs="Times New Roman"/>
          <w:b/>
          <w:sz w:val="24"/>
          <w:szCs w:val="24"/>
        </w:rPr>
        <w:t>Alternative:</w:t>
      </w:r>
      <w:r w:rsidRPr="00C406BB">
        <w:rPr>
          <w:rFonts w:ascii="Times New Roman" w:hAnsi="Times New Roman" w:cs="Times New Roman"/>
          <w:sz w:val="24"/>
          <w:szCs w:val="24"/>
        </w:rPr>
        <w:t xml:space="preserve"> Purchase protective put options (strike $50-55, </w:t>
      </w:r>
      <w:r w:rsidR="00780271" w:rsidRPr="00C406BB">
        <w:rPr>
          <w:rFonts w:ascii="Times New Roman" w:hAnsi="Times New Roman" w:cs="Times New Roman"/>
          <w:sz w:val="24"/>
          <w:szCs w:val="24"/>
        </w:rPr>
        <w:t>6–12-month</w:t>
      </w:r>
      <w:r w:rsidRPr="00C406BB">
        <w:rPr>
          <w:rFonts w:ascii="Times New Roman" w:hAnsi="Times New Roman" w:cs="Times New Roman"/>
          <w:sz w:val="24"/>
          <w:szCs w:val="24"/>
        </w:rPr>
        <w:t xml:space="preserve"> expiration)</w:t>
      </w:r>
    </w:p>
    <w:p w14:paraId="6B11A0A1" w14:textId="77777777" w:rsidR="00521FEF" w:rsidRPr="00C406BB" w:rsidRDefault="00000000" w:rsidP="00C406BB">
      <w:pPr>
        <w:numPr>
          <w:ilvl w:val="0"/>
          <w:numId w:val="47"/>
        </w:numPr>
        <w:jc w:val="both"/>
        <w:rPr>
          <w:rFonts w:ascii="Times New Roman" w:hAnsi="Times New Roman" w:cs="Times New Roman"/>
          <w:sz w:val="24"/>
          <w:szCs w:val="24"/>
        </w:rPr>
      </w:pPr>
      <w:r w:rsidRPr="00C406BB">
        <w:rPr>
          <w:rFonts w:ascii="Times New Roman" w:hAnsi="Times New Roman" w:cs="Times New Roman"/>
          <w:b/>
          <w:sz w:val="24"/>
          <w:szCs w:val="24"/>
        </w:rPr>
        <w:t>Monitoring:</w:t>
      </w:r>
      <w:r w:rsidRPr="00C406BB">
        <w:rPr>
          <w:rFonts w:ascii="Times New Roman" w:hAnsi="Times New Roman" w:cs="Times New Roman"/>
          <w:sz w:val="24"/>
          <w:szCs w:val="24"/>
        </w:rPr>
        <w:t xml:space="preserve"> Watch Q1 2000 subscriber and advertising metrics for confirmation</w:t>
      </w:r>
    </w:p>
    <w:p w14:paraId="1E4C2D96"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Action Steps for Prospective Buyers:</w:t>
      </w:r>
    </w:p>
    <w:p w14:paraId="6B7D98F3" w14:textId="77777777" w:rsidR="00521FEF" w:rsidRPr="00C406BB" w:rsidRDefault="00000000" w:rsidP="00C406BB">
      <w:pPr>
        <w:numPr>
          <w:ilvl w:val="0"/>
          <w:numId w:val="48"/>
        </w:numPr>
        <w:jc w:val="both"/>
        <w:rPr>
          <w:rFonts w:ascii="Times New Roman" w:hAnsi="Times New Roman" w:cs="Times New Roman"/>
          <w:sz w:val="24"/>
          <w:szCs w:val="24"/>
        </w:rPr>
      </w:pPr>
      <w:r w:rsidRPr="00C406BB">
        <w:rPr>
          <w:rFonts w:ascii="Times New Roman" w:hAnsi="Times New Roman" w:cs="Times New Roman"/>
          <w:b/>
          <w:sz w:val="24"/>
          <w:szCs w:val="24"/>
        </w:rPr>
        <w:t>Avoid New Positions:</w:t>
      </w:r>
      <w:r w:rsidRPr="00C406BB">
        <w:rPr>
          <w:rFonts w:ascii="Times New Roman" w:hAnsi="Times New Roman" w:cs="Times New Roman"/>
          <w:sz w:val="24"/>
          <w:szCs w:val="24"/>
        </w:rPr>
        <w:t xml:space="preserve"> Risk-reward profile unfavorable at current valuation</w:t>
      </w:r>
    </w:p>
    <w:p w14:paraId="4C618ABA" w14:textId="77777777" w:rsidR="00521FEF" w:rsidRPr="00C406BB" w:rsidRDefault="00000000" w:rsidP="00C406BB">
      <w:pPr>
        <w:numPr>
          <w:ilvl w:val="0"/>
          <w:numId w:val="48"/>
        </w:numPr>
        <w:jc w:val="both"/>
        <w:rPr>
          <w:rFonts w:ascii="Times New Roman" w:hAnsi="Times New Roman" w:cs="Times New Roman"/>
          <w:sz w:val="24"/>
          <w:szCs w:val="24"/>
        </w:rPr>
      </w:pPr>
      <w:r w:rsidRPr="00C406BB">
        <w:rPr>
          <w:rFonts w:ascii="Times New Roman" w:hAnsi="Times New Roman" w:cs="Times New Roman"/>
          <w:b/>
          <w:sz w:val="24"/>
          <w:szCs w:val="24"/>
        </w:rPr>
        <w:t>Wait for Pullback:</w:t>
      </w:r>
      <w:r w:rsidRPr="00C406BB">
        <w:rPr>
          <w:rFonts w:ascii="Times New Roman" w:hAnsi="Times New Roman" w:cs="Times New Roman"/>
          <w:sz w:val="24"/>
          <w:szCs w:val="24"/>
        </w:rPr>
        <w:t xml:space="preserve"> Consider entry only below $30 (50% decline from current)</w:t>
      </w:r>
    </w:p>
    <w:p w14:paraId="5513E35A" w14:textId="77777777" w:rsidR="00521FEF" w:rsidRPr="00C406BB" w:rsidRDefault="00000000" w:rsidP="00C406BB">
      <w:pPr>
        <w:numPr>
          <w:ilvl w:val="0"/>
          <w:numId w:val="48"/>
        </w:numPr>
        <w:jc w:val="both"/>
        <w:rPr>
          <w:rFonts w:ascii="Times New Roman" w:hAnsi="Times New Roman" w:cs="Times New Roman"/>
          <w:sz w:val="24"/>
          <w:szCs w:val="24"/>
        </w:rPr>
      </w:pPr>
      <w:r w:rsidRPr="00C406BB">
        <w:rPr>
          <w:rFonts w:ascii="Times New Roman" w:hAnsi="Times New Roman" w:cs="Times New Roman"/>
          <w:b/>
          <w:sz w:val="24"/>
          <w:szCs w:val="24"/>
        </w:rPr>
        <w:t>Alternative Exposure:</w:t>
      </w:r>
      <w:r w:rsidRPr="00C406BB">
        <w:rPr>
          <w:rFonts w:ascii="Times New Roman" w:hAnsi="Times New Roman" w:cs="Times New Roman"/>
          <w:sz w:val="24"/>
          <w:szCs w:val="24"/>
        </w:rPr>
        <w:t xml:space="preserve"> Invest in traditional media companies (Disney, Viacom) at more attractive valuations</w:t>
      </w:r>
    </w:p>
    <w:p w14:paraId="3E7F7ADD" w14:textId="77777777" w:rsidR="00780271" w:rsidRDefault="00780271">
      <w:pPr>
        <w:rPr>
          <w:rFonts w:ascii="Times New Roman" w:eastAsiaTheme="majorEastAsia" w:hAnsi="Times New Roman" w:cstheme="majorBidi"/>
          <w:b/>
          <w:color w:val="000000" w:themeColor="text1"/>
          <w:sz w:val="28"/>
          <w:szCs w:val="26"/>
        </w:rPr>
      </w:pPr>
      <w:bookmarkStart w:id="101" w:name="bm_9_5_conclusion"/>
      <w:r>
        <w:br w:type="page"/>
      </w:r>
    </w:p>
    <w:p w14:paraId="7705CF1B" w14:textId="572EEE79" w:rsidR="00521FEF" w:rsidRPr="00C406BB" w:rsidRDefault="00000000" w:rsidP="00780271">
      <w:pPr>
        <w:pStyle w:val="Heading2"/>
      </w:pPr>
      <w:bookmarkStart w:id="102" w:name="_Toc221361518"/>
      <w:r w:rsidRPr="00C406BB">
        <w:lastRenderedPageBreak/>
        <w:t>9.5 Conclusion</w:t>
      </w:r>
      <w:bookmarkEnd w:id="101"/>
      <w:bookmarkEnd w:id="102"/>
    </w:p>
    <w:p w14:paraId="34E72FB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The AOL Time Warner merger represented the largest corporate combination in history, creating a media and internet powerhouse valued at $350 billion. However, fundamental analysis reveals substantial concerns:</w:t>
      </w:r>
    </w:p>
    <w:p w14:paraId="241EC239" w14:textId="77777777" w:rsidR="00521FEF" w:rsidRPr="00C406BB" w:rsidRDefault="00000000" w:rsidP="00C406BB">
      <w:pPr>
        <w:numPr>
          <w:ilvl w:val="0"/>
          <w:numId w:val="49"/>
        </w:numPr>
        <w:jc w:val="both"/>
        <w:rPr>
          <w:rFonts w:ascii="Times New Roman" w:hAnsi="Times New Roman" w:cs="Times New Roman"/>
          <w:sz w:val="24"/>
          <w:szCs w:val="24"/>
        </w:rPr>
      </w:pPr>
      <w:r w:rsidRPr="00C406BB">
        <w:rPr>
          <w:rFonts w:ascii="Times New Roman" w:hAnsi="Times New Roman" w:cs="Times New Roman"/>
          <w:b/>
          <w:sz w:val="24"/>
          <w:szCs w:val="24"/>
        </w:rPr>
        <w:t>Accounting impact:</w:t>
      </w:r>
      <w:r w:rsidRPr="00C406BB">
        <w:rPr>
          <w:rFonts w:ascii="Times New Roman" w:hAnsi="Times New Roman" w:cs="Times New Roman"/>
          <w:sz w:val="24"/>
          <w:szCs w:val="24"/>
        </w:rPr>
        <w:t xml:space="preserve"> $127B goodwill requiring $4.2B annual amortization creates permanent earnings drag</w:t>
      </w:r>
    </w:p>
    <w:p w14:paraId="4B0DBB68" w14:textId="4ED4D917" w:rsidR="00521FEF" w:rsidRPr="00C406BB" w:rsidRDefault="00000000" w:rsidP="00C406BB">
      <w:pPr>
        <w:numPr>
          <w:ilvl w:val="0"/>
          <w:numId w:val="49"/>
        </w:numPr>
        <w:jc w:val="both"/>
        <w:rPr>
          <w:rFonts w:ascii="Times New Roman" w:hAnsi="Times New Roman" w:cs="Times New Roman"/>
          <w:sz w:val="24"/>
          <w:szCs w:val="24"/>
        </w:rPr>
      </w:pPr>
      <w:r w:rsidRPr="00C406BB">
        <w:rPr>
          <w:rFonts w:ascii="Times New Roman" w:hAnsi="Times New Roman" w:cs="Times New Roman"/>
          <w:b/>
          <w:sz w:val="24"/>
          <w:szCs w:val="24"/>
        </w:rPr>
        <w:t xml:space="preserve">Valuation </w:t>
      </w:r>
      <w:r w:rsidR="00780271" w:rsidRPr="00C406BB">
        <w:rPr>
          <w:rFonts w:ascii="Times New Roman" w:hAnsi="Times New Roman" w:cs="Times New Roman"/>
          <w:b/>
          <w:sz w:val="24"/>
          <w:szCs w:val="24"/>
        </w:rPr>
        <w:t>disconnects</w:t>
      </w:r>
      <w:r w:rsidRPr="00C406BB">
        <w:rPr>
          <w:rFonts w:ascii="Times New Roman" w:hAnsi="Times New Roman" w:cs="Times New Roman"/>
          <w:sz w:val="24"/>
          <w:szCs w:val="24"/>
        </w:rPr>
        <w:t xml:space="preserve"> 100%+ premium to intrinsic value driven by bubble psychology</w:t>
      </w:r>
    </w:p>
    <w:p w14:paraId="68DB4F2F" w14:textId="77777777" w:rsidR="00521FEF" w:rsidRPr="00C406BB" w:rsidRDefault="00000000" w:rsidP="00C406BB">
      <w:pPr>
        <w:numPr>
          <w:ilvl w:val="0"/>
          <w:numId w:val="49"/>
        </w:numPr>
        <w:jc w:val="both"/>
        <w:rPr>
          <w:rFonts w:ascii="Times New Roman" w:hAnsi="Times New Roman" w:cs="Times New Roman"/>
          <w:sz w:val="24"/>
          <w:szCs w:val="24"/>
        </w:rPr>
      </w:pPr>
      <w:r w:rsidRPr="00C406BB">
        <w:rPr>
          <w:rFonts w:ascii="Times New Roman" w:hAnsi="Times New Roman" w:cs="Times New Roman"/>
          <w:b/>
          <w:sz w:val="24"/>
          <w:szCs w:val="24"/>
        </w:rPr>
        <w:t>Execution risks:</w:t>
      </w:r>
      <w:r w:rsidRPr="00C406BB">
        <w:rPr>
          <w:rFonts w:ascii="Times New Roman" w:hAnsi="Times New Roman" w:cs="Times New Roman"/>
          <w:sz w:val="24"/>
          <w:szCs w:val="24"/>
        </w:rPr>
        <w:t xml:space="preserve"> Integration complexity and cultural incompatibility threaten synergy realization</w:t>
      </w:r>
    </w:p>
    <w:p w14:paraId="4079A613" w14:textId="77777777" w:rsidR="00521FEF" w:rsidRPr="00C406BB" w:rsidRDefault="00000000" w:rsidP="00C406BB">
      <w:pPr>
        <w:numPr>
          <w:ilvl w:val="0"/>
          <w:numId w:val="49"/>
        </w:numPr>
        <w:jc w:val="both"/>
        <w:rPr>
          <w:rFonts w:ascii="Times New Roman" w:hAnsi="Times New Roman" w:cs="Times New Roman"/>
          <w:sz w:val="24"/>
          <w:szCs w:val="24"/>
        </w:rPr>
      </w:pPr>
      <w:r w:rsidRPr="00C406BB">
        <w:rPr>
          <w:rFonts w:ascii="Times New Roman" w:hAnsi="Times New Roman" w:cs="Times New Roman"/>
          <w:b/>
          <w:sz w:val="24"/>
          <w:szCs w:val="24"/>
        </w:rPr>
        <w:t>Market headwinds:</w:t>
      </w:r>
      <w:r w:rsidRPr="00C406BB">
        <w:rPr>
          <w:rFonts w:ascii="Times New Roman" w:hAnsi="Times New Roman" w:cs="Times New Roman"/>
          <w:sz w:val="24"/>
          <w:szCs w:val="24"/>
        </w:rPr>
        <w:t xml:space="preserve"> Internet advertising deterioration and dial-up obsolescence undermine growth assumptions</w:t>
      </w:r>
    </w:p>
    <w:p w14:paraId="15E5053D"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While the strategic vision of internet-media convergence had merit, the execution timing, valuation, and accounting treatment created a deeply unfavorable investment proposition. The purchase accounting method, while technically required, exposed the economic reality: AOL paid extraordinary premium for Time Warner assets, creating goodwill burden that would haunt earnings for decades.</w:t>
      </w:r>
    </w:p>
    <w:p w14:paraId="0E06C2F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For investor Fred Grant holding AOL shares purchased at $40 and watching the stock decline from $95 to $57 post-merger announcement, the recommendation is clear: </w:t>
      </w:r>
      <w:r w:rsidRPr="00C406BB">
        <w:rPr>
          <w:rFonts w:ascii="Times New Roman" w:hAnsi="Times New Roman" w:cs="Times New Roman"/>
          <w:b/>
          <w:sz w:val="24"/>
          <w:szCs w:val="24"/>
        </w:rPr>
        <w:t>sell remaining positions</w:t>
      </w:r>
      <w:r w:rsidRPr="00C406BB">
        <w:rPr>
          <w:rFonts w:ascii="Times New Roman" w:hAnsi="Times New Roman" w:cs="Times New Roman"/>
          <w:sz w:val="24"/>
          <w:szCs w:val="24"/>
        </w:rPr>
        <w:t xml:space="preserve"> and redeploy capital to opportunities with more favorable risk-reward profiles.</w:t>
      </w:r>
    </w:p>
    <w:p w14:paraId="3471397F" w14:textId="1741ECC0"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b/>
          <w:sz w:val="24"/>
          <w:szCs w:val="24"/>
        </w:rPr>
        <w:t>Historical Note:</w:t>
      </w:r>
      <w:r w:rsidRPr="00C406BB">
        <w:rPr>
          <w:rFonts w:ascii="Times New Roman" w:hAnsi="Times New Roman" w:cs="Times New Roman"/>
          <w:sz w:val="24"/>
          <w:szCs w:val="24"/>
        </w:rPr>
        <w:t xml:space="preserve"> In reality, AOL Time Warner became one of the most notorious merger failures in corporate history. The stock declined from $57 in February 2000 to $10-15 by late 2002 (-75% to -82% decline). In January 2003, the company recorded a $99.7 billion goodwill impairment charge - the largest corporate write-down in history at that time. This vindicated the analytical framework presented in this case study and demonstrated the critical importance of rigorous valuation discipline and skepticism toward acquisition accounting optimism.</w:t>
      </w:r>
    </w:p>
    <w:p w14:paraId="76B77B79" w14:textId="1AF2D835" w:rsidR="00521FEF" w:rsidRPr="00C406BB" w:rsidRDefault="00521FEF" w:rsidP="00C406BB">
      <w:pPr>
        <w:jc w:val="both"/>
        <w:rPr>
          <w:rFonts w:ascii="Times New Roman" w:hAnsi="Times New Roman" w:cs="Times New Roman"/>
          <w:sz w:val="24"/>
          <w:szCs w:val="24"/>
        </w:rPr>
      </w:pPr>
    </w:p>
    <w:p w14:paraId="1C4C41CC" w14:textId="77777777" w:rsidR="00780271" w:rsidRDefault="00780271">
      <w:pPr>
        <w:rPr>
          <w:rFonts w:ascii="Times New Roman" w:hAnsi="Times New Roman" w:cs="Times New Roman"/>
          <w:b/>
          <w:sz w:val="24"/>
          <w:szCs w:val="24"/>
        </w:rPr>
      </w:pPr>
      <w:bookmarkStart w:id="103" w:name="bm_10_references"/>
      <w:r>
        <w:rPr>
          <w:rFonts w:ascii="Times New Roman" w:hAnsi="Times New Roman" w:cs="Times New Roman"/>
          <w:b/>
          <w:sz w:val="24"/>
          <w:szCs w:val="24"/>
        </w:rPr>
        <w:br w:type="page"/>
      </w:r>
    </w:p>
    <w:p w14:paraId="7808D5F4" w14:textId="715D1DC7" w:rsidR="00521FEF" w:rsidRDefault="00000000" w:rsidP="00780271">
      <w:pPr>
        <w:pStyle w:val="Heading1"/>
      </w:pPr>
      <w:bookmarkStart w:id="104" w:name="_Toc221361519"/>
      <w:r w:rsidRPr="00C406BB">
        <w:lastRenderedPageBreak/>
        <w:t>10. References</w:t>
      </w:r>
      <w:bookmarkEnd w:id="103"/>
      <w:bookmarkEnd w:id="104"/>
    </w:p>
    <w:p w14:paraId="7D47D5CF" w14:textId="77777777" w:rsidR="00780271" w:rsidRPr="00780271" w:rsidRDefault="00780271" w:rsidP="00780271"/>
    <w:p w14:paraId="0604DB5E" w14:textId="0F967AD4"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[1] AOL Time Warner Inc. (2000). Merger </w:t>
      </w:r>
      <w:r w:rsidR="00780271" w:rsidRPr="00C406BB">
        <w:rPr>
          <w:rFonts w:ascii="Times New Roman" w:hAnsi="Times New Roman" w:cs="Times New Roman"/>
          <w:sz w:val="24"/>
          <w:szCs w:val="24"/>
        </w:rPr>
        <w:t>announcements</w:t>
      </w:r>
      <w:r w:rsidRPr="00C406BB">
        <w:rPr>
          <w:rFonts w:ascii="Times New Roman" w:hAnsi="Times New Roman" w:cs="Times New Roman"/>
          <w:sz w:val="24"/>
          <w:szCs w:val="24"/>
        </w:rPr>
        <w:t xml:space="preserve"> press release. January 10, 2000.</w:t>
      </w:r>
    </w:p>
    <w:p w14:paraId="0360640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 Stanford Graduate School of Business. (2001). AOL Time Warner Case No. A171.</w:t>
      </w:r>
    </w:p>
    <w:p w14:paraId="23E9B02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[3] America Online Inc. (2000). Form 10-K Annual Report for fiscal year ended June 30, 1999. Securities and Exchange Commission.</w:t>
      </w:r>
    </w:p>
    <w:p w14:paraId="571721E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[4] Time Warner Inc. (2000). Form 10-K Annual Report for fiscal year ended December 31, 1999. Securities and Exchange Commission.</w:t>
      </w:r>
    </w:p>
    <w:p w14:paraId="2D7B958C"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[5] Levin, G. M., &amp; Case, S. M. (2000). Merger conference call transcript. January 10, 2000.</w:t>
      </w:r>
    </w:p>
    <w:p w14:paraId="7924E96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[6] AOL Time Warner Inc. (2001). Q1 2001 earnings presentation. May 2001.</w:t>
      </w:r>
    </w:p>
    <w:p w14:paraId="181B3AE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[7] Yahoo Finance. (2000). Historical stock price data for America Online Inc., January-February 2000.</w:t>
      </w:r>
    </w:p>
    <w:p w14:paraId="67AFC75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[8] Financial Accounting Standards Board. (1970). Accounting Principles Board Opinion No. 16: Business Combinations.</w:t>
      </w:r>
    </w:p>
    <w:p w14:paraId="5D7F7ED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[9] Federal Trade Commission. (2000). Analysis of proposed consent order to aid public comment: America Online, Inc./Time Warner Inc. 65 FR 36062.</w:t>
      </w:r>
    </w:p>
    <w:p w14:paraId="7F31F25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[10] Klein, A., &amp; Rosenfeld, J. (2003). The impact of targeted share repurchases on the wealth of non-participating shareholders. </w:t>
      </w:r>
      <w:r w:rsidRPr="00C406BB">
        <w:rPr>
          <w:rFonts w:ascii="Times New Roman" w:hAnsi="Times New Roman" w:cs="Times New Roman"/>
          <w:i/>
          <w:sz w:val="24"/>
          <w:szCs w:val="24"/>
        </w:rPr>
        <w:t>Journal of Financial Research</w:t>
      </w:r>
      <w:r w:rsidRPr="00C406BB">
        <w:rPr>
          <w:rFonts w:ascii="Times New Roman" w:hAnsi="Times New Roman" w:cs="Times New Roman"/>
          <w:sz w:val="24"/>
          <w:szCs w:val="24"/>
        </w:rPr>
        <w:t>, 26(2), 245-266.</w:t>
      </w:r>
    </w:p>
    <w:p w14:paraId="3A2A031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[11] AOL Time Warner Inc. (2001). Form 10-K Annual Report for year ended December 31, 2001. Securities and Exchange Commission.</w:t>
      </w:r>
    </w:p>
    <w:p w14:paraId="78C45D6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[12] </w:t>
      </w:r>
      <w:proofErr w:type="spellStart"/>
      <w:r w:rsidRPr="00C406BB">
        <w:rPr>
          <w:rFonts w:ascii="Times New Roman" w:hAnsi="Times New Roman" w:cs="Times New Roman"/>
          <w:sz w:val="24"/>
          <w:szCs w:val="24"/>
        </w:rPr>
        <w:t>Frohlinger</w:t>
      </w:r>
      <w:proofErr w:type="spellEnd"/>
      <w:r w:rsidRPr="00C406BB">
        <w:rPr>
          <w:rFonts w:ascii="Times New Roman" w:hAnsi="Times New Roman" w:cs="Times New Roman"/>
          <w:sz w:val="24"/>
          <w:szCs w:val="24"/>
        </w:rPr>
        <w:t xml:space="preserve">, B. (2001). AOL Time Warner merger accounting analysis. </w:t>
      </w:r>
      <w:hyperlink r:id="rId8">
        <w:r w:rsidRPr="00C406BB">
          <w:rPr>
            <w:rFonts w:ascii="Times New Roman" w:hAnsi="Times New Roman" w:cs="Times New Roman"/>
            <w:color w:val="4472C4"/>
            <w:sz w:val="24"/>
            <w:szCs w:val="24"/>
          </w:rPr>
          <w:t>http://www.learnfrombarry.com/aol.pdf</w:t>
        </w:r>
      </w:hyperlink>
    </w:p>
    <w:p w14:paraId="203FCAB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[13] AOL Time Warner Inc. (2001). Purchase price allocation schedule. Form 10-K, Note 2.</w:t>
      </w:r>
    </w:p>
    <w:p w14:paraId="4A501B28"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[14] Financial Accounting Standards Board. (2001). Statement of Financial Accounting Standards No. 142: Goodwill and Other Intangible Assets.</w:t>
      </w:r>
    </w:p>
    <w:p w14:paraId="7E2E971B"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[15] Burt, H. S. (2000). Pro forma financial statements analysis. Stanford Graduate School of Business Case A171.</w:t>
      </w:r>
    </w:p>
    <w:p w14:paraId="5C67F53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[16] AOL Time Warner Inc. (2002). Consolidated statement of cash flows. Form 10-K for year ended December 31, 2001.</w:t>
      </w:r>
    </w:p>
    <w:p w14:paraId="1B38574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[17] Morgan Stanley Dean Witter. (2000). AOL Time Warner merger analysis research report. January 2000.</w:t>
      </w:r>
    </w:p>
    <w:p w14:paraId="5B789C5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lastRenderedPageBreak/>
        <w:t>[18] First Call/Thomson Financial. (2000). Analyst consensus estimates for AOL Time Warner. February 2000.</w:t>
      </w:r>
    </w:p>
    <w:p w14:paraId="3D12071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[19] Lev, B., &amp; </w:t>
      </w:r>
      <w:proofErr w:type="spellStart"/>
      <w:r w:rsidRPr="00C406BB">
        <w:rPr>
          <w:rFonts w:ascii="Times New Roman" w:hAnsi="Times New Roman" w:cs="Times New Roman"/>
          <w:sz w:val="24"/>
          <w:szCs w:val="24"/>
        </w:rPr>
        <w:t>Zarowin</w:t>
      </w:r>
      <w:proofErr w:type="spellEnd"/>
      <w:r w:rsidRPr="00C406BB">
        <w:rPr>
          <w:rFonts w:ascii="Times New Roman" w:hAnsi="Times New Roman" w:cs="Times New Roman"/>
          <w:sz w:val="24"/>
          <w:szCs w:val="24"/>
        </w:rPr>
        <w:t xml:space="preserve">, P. (1999). The boundaries of financial reporting and how to extend them. </w:t>
      </w:r>
      <w:r w:rsidRPr="00C406BB">
        <w:rPr>
          <w:rFonts w:ascii="Times New Roman" w:hAnsi="Times New Roman" w:cs="Times New Roman"/>
          <w:i/>
          <w:sz w:val="24"/>
          <w:szCs w:val="24"/>
        </w:rPr>
        <w:t>Journal of Accounting Research</w:t>
      </w:r>
      <w:r w:rsidRPr="00C406BB">
        <w:rPr>
          <w:rFonts w:ascii="Times New Roman" w:hAnsi="Times New Roman" w:cs="Times New Roman"/>
          <w:sz w:val="24"/>
          <w:szCs w:val="24"/>
        </w:rPr>
        <w:t>, 37(2), 353-385.</w:t>
      </w:r>
    </w:p>
    <w:p w14:paraId="77A64575"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[20] AOL Time Warner Inc. (2002). Management's Discussion and Analysis of Financial Condition and Results of Operations. Form 10-K.</w:t>
      </w:r>
    </w:p>
    <w:p w14:paraId="40C3866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[21] Barth, M. E., &amp; Clinch, G. (1998). Revalued financial, tangible, and intangible assets: Associations with share prices. </w:t>
      </w:r>
      <w:r w:rsidRPr="00C406BB">
        <w:rPr>
          <w:rFonts w:ascii="Times New Roman" w:hAnsi="Times New Roman" w:cs="Times New Roman"/>
          <w:i/>
          <w:sz w:val="24"/>
          <w:szCs w:val="24"/>
        </w:rPr>
        <w:t>Journal of Accounting Research</w:t>
      </w:r>
      <w:r w:rsidRPr="00C406BB">
        <w:rPr>
          <w:rFonts w:ascii="Times New Roman" w:hAnsi="Times New Roman" w:cs="Times New Roman"/>
          <w:sz w:val="24"/>
          <w:szCs w:val="24"/>
        </w:rPr>
        <w:t>, 36, 199-233.</w:t>
      </w:r>
    </w:p>
    <w:p w14:paraId="2806E7D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[22] Standard &amp; Poor's. (2000). S&amp;P 500 valuation metrics. February 2000.</w:t>
      </w:r>
    </w:p>
    <w:p w14:paraId="2BFA0511"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[23] Bloomberg Financial Markets. (2000). Media sector comparable company analysis. February 2000.</w:t>
      </w:r>
    </w:p>
    <w:p w14:paraId="31A139B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[24] Damodaran, A. (2002). </w:t>
      </w:r>
      <w:r w:rsidRPr="00C406BB">
        <w:rPr>
          <w:rFonts w:ascii="Times New Roman" w:hAnsi="Times New Roman" w:cs="Times New Roman"/>
          <w:i/>
          <w:sz w:val="24"/>
          <w:szCs w:val="24"/>
        </w:rPr>
        <w:t>Investment Valuation: Tools and Techniques for Determining the Value of Any Asset</w:t>
      </w:r>
      <w:r w:rsidRPr="00C406BB">
        <w:rPr>
          <w:rFonts w:ascii="Times New Roman" w:hAnsi="Times New Roman" w:cs="Times New Roman"/>
          <w:sz w:val="24"/>
          <w:szCs w:val="24"/>
        </w:rPr>
        <w:t xml:space="preserve"> (2nd ed.). John Wiley &amp; Sons.</w:t>
      </w:r>
    </w:p>
    <w:p w14:paraId="112FE17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[25] FactSet Research Systems. (2000). Comparable company trading multiples analysis. February 2000.</w:t>
      </w:r>
    </w:p>
    <w:p w14:paraId="74E9971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[26] Thomson Financial SDC. (2000). Precedent transaction database: Media &amp; entertainment sector.</w:t>
      </w:r>
    </w:p>
    <w:p w14:paraId="4055B5F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[27] Credit Suisse First Boston. (2000). AOL Time Warner sum-of-the-parts valuation. Research report, February 2000.</w:t>
      </w:r>
    </w:p>
    <w:p w14:paraId="33331E40"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[28] Koller, T., Goedhart, M., &amp; Wessels, D. (2005). </w:t>
      </w:r>
      <w:r w:rsidRPr="00C406BB">
        <w:rPr>
          <w:rFonts w:ascii="Times New Roman" w:hAnsi="Times New Roman" w:cs="Times New Roman"/>
          <w:i/>
          <w:sz w:val="24"/>
          <w:szCs w:val="24"/>
        </w:rPr>
        <w:t>Valuation: Measuring and Managing the Value of Companies</w:t>
      </w:r>
      <w:r w:rsidRPr="00C406BB">
        <w:rPr>
          <w:rFonts w:ascii="Times New Roman" w:hAnsi="Times New Roman" w:cs="Times New Roman"/>
          <w:sz w:val="24"/>
          <w:szCs w:val="24"/>
        </w:rPr>
        <w:t xml:space="preserve"> (4th ed.). McKinsey &amp; Company, John Wiley &amp; Sons.</w:t>
      </w:r>
    </w:p>
    <w:p w14:paraId="4B1C3C5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[29] Cartwright, S., &amp; Cooper, C. L. (1996). </w:t>
      </w:r>
      <w:r w:rsidRPr="00C406BB">
        <w:rPr>
          <w:rFonts w:ascii="Times New Roman" w:hAnsi="Times New Roman" w:cs="Times New Roman"/>
          <w:i/>
          <w:sz w:val="24"/>
          <w:szCs w:val="24"/>
        </w:rPr>
        <w:t>Managing Mergers, Acquisitions and Strategic Alliances: Integrating People and Cultures</w:t>
      </w:r>
      <w:r w:rsidRPr="00C406BB">
        <w:rPr>
          <w:rFonts w:ascii="Times New Roman" w:hAnsi="Times New Roman" w:cs="Times New Roman"/>
          <w:sz w:val="24"/>
          <w:szCs w:val="24"/>
        </w:rPr>
        <w:t xml:space="preserve"> (2nd ed.). Butterworth-Heinemann.</w:t>
      </w:r>
    </w:p>
    <w:p w14:paraId="1543AD3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[30] Hambrick, D. C., &amp; Cannella, A. A. (1993). Relative standing: A framework for understanding departures of acquired executives. </w:t>
      </w:r>
      <w:r w:rsidRPr="00C406BB">
        <w:rPr>
          <w:rFonts w:ascii="Times New Roman" w:hAnsi="Times New Roman" w:cs="Times New Roman"/>
          <w:i/>
          <w:sz w:val="24"/>
          <w:szCs w:val="24"/>
        </w:rPr>
        <w:t>Academy of Management Journal</w:t>
      </w:r>
      <w:r w:rsidRPr="00C406BB">
        <w:rPr>
          <w:rFonts w:ascii="Times New Roman" w:hAnsi="Times New Roman" w:cs="Times New Roman"/>
          <w:sz w:val="24"/>
          <w:szCs w:val="24"/>
        </w:rPr>
        <w:t>, 36(4), 733-762.</w:t>
      </w:r>
    </w:p>
    <w:p w14:paraId="60583DF7"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[31] Interactive Advertising Bureau. (2000). Internet advertising revenue report. Q4 1999.</w:t>
      </w:r>
    </w:p>
    <w:p w14:paraId="344E0EAA"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[32] Federal Trade Commission. (2000). Statement of Chairman Robert Pitofsky and Commissioners Sheila F. Anthony, Mozelle W. Thompson, Orson Swindle, and Thomas B. Leary in the matter of America Online, Inc./Time Warner Inc. December 14, 2000.</w:t>
      </w:r>
    </w:p>
    <w:p w14:paraId="319552BF"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[33] Henning, S. L., Lewis, B. L., &amp; Shaw, W. H. (2000). Valuation of the components of purchased goodwill. </w:t>
      </w:r>
      <w:r w:rsidRPr="00C406BB">
        <w:rPr>
          <w:rFonts w:ascii="Times New Roman" w:hAnsi="Times New Roman" w:cs="Times New Roman"/>
          <w:i/>
          <w:sz w:val="24"/>
          <w:szCs w:val="24"/>
        </w:rPr>
        <w:t>Journal of Accounting Research</w:t>
      </w:r>
      <w:r w:rsidRPr="00C406BB">
        <w:rPr>
          <w:rFonts w:ascii="Times New Roman" w:hAnsi="Times New Roman" w:cs="Times New Roman"/>
          <w:sz w:val="24"/>
          <w:szCs w:val="24"/>
        </w:rPr>
        <w:t>, 38(2), 375-386.</w:t>
      </w:r>
    </w:p>
    <w:p w14:paraId="48942BB3"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[34] Boston Consulting Group. (1999). </w:t>
      </w:r>
      <w:proofErr w:type="spellStart"/>
      <w:r w:rsidRPr="00C406BB">
        <w:rPr>
          <w:rFonts w:ascii="Times New Roman" w:hAnsi="Times New Roman" w:cs="Times New Roman"/>
          <w:sz w:val="24"/>
          <w:szCs w:val="24"/>
        </w:rPr>
        <w:t>Postmerger</w:t>
      </w:r>
      <w:proofErr w:type="spellEnd"/>
      <w:r w:rsidRPr="00C406BB">
        <w:rPr>
          <w:rFonts w:ascii="Times New Roman" w:hAnsi="Times New Roman" w:cs="Times New Roman"/>
          <w:sz w:val="24"/>
          <w:szCs w:val="24"/>
        </w:rPr>
        <w:t xml:space="preserve"> integration: Delivering on the promise. Research report.</w:t>
      </w:r>
    </w:p>
    <w:p w14:paraId="775D4259"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lastRenderedPageBreak/>
        <w:t>[35] Financial Accounting Standards Board. (2001). Statement of Financial Accounting Standards No. 142: Goodwill and Other Intangible Assets.</w:t>
      </w:r>
    </w:p>
    <w:p w14:paraId="4FC745B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 xml:space="preserve">[36] Gu, F., &amp; Lev, B. (2011). Overpriced shares, ill-advised acquisitions, and goodwill impairment. </w:t>
      </w:r>
      <w:r w:rsidRPr="00C406BB">
        <w:rPr>
          <w:rFonts w:ascii="Times New Roman" w:hAnsi="Times New Roman" w:cs="Times New Roman"/>
          <w:i/>
          <w:sz w:val="24"/>
          <w:szCs w:val="24"/>
        </w:rPr>
        <w:t>The Accounting Review</w:t>
      </w:r>
      <w:r w:rsidRPr="00C406BB">
        <w:rPr>
          <w:rFonts w:ascii="Times New Roman" w:hAnsi="Times New Roman" w:cs="Times New Roman"/>
          <w:sz w:val="24"/>
          <w:szCs w:val="24"/>
        </w:rPr>
        <w:t>, 86(6), 1995-2022.</w:t>
      </w:r>
    </w:p>
    <w:p w14:paraId="2ACB7C24"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[37] Kwoka, J. E., &amp; White, L. J. (2004). The Antitrust Revolution: Economics, Competition, and Policy (4th ed.). Oxford University Press.</w:t>
      </w:r>
    </w:p>
    <w:p w14:paraId="5B663D0E" w14:textId="77777777" w:rsidR="00521FEF" w:rsidRPr="00C406BB" w:rsidRDefault="00000000" w:rsidP="00C406BB">
      <w:pPr>
        <w:spacing w:after="210"/>
        <w:jc w:val="both"/>
        <w:rPr>
          <w:rFonts w:ascii="Times New Roman" w:hAnsi="Times New Roman" w:cs="Times New Roman"/>
          <w:sz w:val="24"/>
          <w:szCs w:val="24"/>
        </w:rPr>
      </w:pPr>
      <w:r w:rsidRPr="00C406BB">
        <w:rPr>
          <w:rFonts w:ascii="Times New Roman" w:hAnsi="Times New Roman" w:cs="Times New Roman"/>
          <w:sz w:val="24"/>
          <w:szCs w:val="24"/>
        </w:rPr>
        <w:t>[38] AOL Time Warner Inc. (2003). Form 10-K Annual Report for year ended December 31, 2002. Securities and Exchange Commission. Goodwill impairment charge of $99.7 billion disclosed in Note 2.</w:t>
      </w:r>
    </w:p>
    <w:sectPr w:rsidR="00521FEF" w:rsidRPr="00C406BB">
      <w:footerReference w:type="even" r:id="rId9"/>
      <w:footerReference w:type="default" r:id="rId10"/>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9EB2B" w14:textId="77777777" w:rsidR="00402633" w:rsidRDefault="00402633" w:rsidP="00780271">
      <w:pPr>
        <w:spacing w:after="0" w:line="240" w:lineRule="auto"/>
      </w:pPr>
      <w:r>
        <w:separator/>
      </w:r>
    </w:p>
  </w:endnote>
  <w:endnote w:type="continuationSeparator" w:id="0">
    <w:p w14:paraId="416F3620" w14:textId="77777777" w:rsidR="00402633" w:rsidRDefault="00402633" w:rsidP="00780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9613533"/>
      <w:docPartObj>
        <w:docPartGallery w:val="Page Numbers (Bottom of Page)"/>
        <w:docPartUnique/>
      </w:docPartObj>
    </w:sdtPr>
    <w:sdtContent>
      <w:p w14:paraId="3DA3C666" w14:textId="28214AEB" w:rsidR="00780271" w:rsidRDefault="00780271" w:rsidP="00AE15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8F6F0A" w14:textId="77777777" w:rsidR="00780271" w:rsidRDefault="00780271" w:rsidP="007802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763938"/>
      <w:docPartObj>
        <w:docPartGallery w:val="Page Numbers (Bottom of Page)"/>
        <w:docPartUnique/>
      </w:docPartObj>
    </w:sdtPr>
    <w:sdtContent>
      <w:p w14:paraId="1E882C00" w14:textId="54B5F60D" w:rsidR="00780271" w:rsidRDefault="00780271" w:rsidP="00AE15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p>
    </w:sdtContent>
  </w:sdt>
  <w:p w14:paraId="32AC7EC5" w14:textId="77777777" w:rsidR="00780271" w:rsidRDefault="00780271" w:rsidP="007802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B3D08" w14:textId="77777777" w:rsidR="00402633" w:rsidRDefault="00402633" w:rsidP="00780271">
      <w:pPr>
        <w:spacing w:after="0" w:line="240" w:lineRule="auto"/>
      </w:pPr>
      <w:r>
        <w:separator/>
      </w:r>
    </w:p>
  </w:footnote>
  <w:footnote w:type="continuationSeparator" w:id="0">
    <w:p w14:paraId="0A306861" w14:textId="77777777" w:rsidR="00402633" w:rsidRDefault="00402633" w:rsidP="00780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7C"/>
    <w:multiLevelType w:val="hybridMultilevel"/>
    <w:tmpl w:val="22489282"/>
    <w:lvl w:ilvl="0" w:tplc="26560722">
      <w:start w:val="1"/>
      <w:numFmt w:val="decimal"/>
      <w:lvlText w:val="%1."/>
      <w:lvlJc w:val="left"/>
      <w:pPr>
        <w:tabs>
          <w:tab w:val="num" w:pos="1080"/>
        </w:tabs>
        <w:ind w:left="720" w:hanging="360"/>
      </w:pPr>
    </w:lvl>
    <w:lvl w:ilvl="1" w:tplc="FB30289A">
      <w:numFmt w:val="decimal"/>
      <w:lvlText w:val=""/>
      <w:lvlJc w:val="left"/>
    </w:lvl>
    <w:lvl w:ilvl="2" w:tplc="09FED9B0">
      <w:numFmt w:val="decimal"/>
      <w:lvlText w:val=""/>
      <w:lvlJc w:val="left"/>
    </w:lvl>
    <w:lvl w:ilvl="3" w:tplc="B7A6E8A8">
      <w:numFmt w:val="decimal"/>
      <w:lvlText w:val=""/>
      <w:lvlJc w:val="left"/>
    </w:lvl>
    <w:lvl w:ilvl="4" w:tplc="0E1E0244">
      <w:numFmt w:val="decimal"/>
      <w:lvlText w:val=""/>
      <w:lvlJc w:val="left"/>
    </w:lvl>
    <w:lvl w:ilvl="5" w:tplc="649E55EA">
      <w:numFmt w:val="decimal"/>
      <w:lvlText w:val=""/>
      <w:lvlJc w:val="left"/>
    </w:lvl>
    <w:lvl w:ilvl="6" w:tplc="6E40EC04">
      <w:numFmt w:val="decimal"/>
      <w:lvlText w:val=""/>
      <w:lvlJc w:val="left"/>
    </w:lvl>
    <w:lvl w:ilvl="7" w:tplc="F6EA3B10">
      <w:numFmt w:val="decimal"/>
      <w:lvlText w:val=""/>
      <w:lvlJc w:val="left"/>
    </w:lvl>
    <w:lvl w:ilvl="8" w:tplc="56A0A08A">
      <w:numFmt w:val="decimal"/>
      <w:lvlText w:val=""/>
      <w:lvlJc w:val="left"/>
    </w:lvl>
  </w:abstractNum>
  <w:abstractNum w:abstractNumId="1" w15:restartNumberingAfterBreak="0">
    <w:nsid w:val="0556627B"/>
    <w:multiLevelType w:val="hybridMultilevel"/>
    <w:tmpl w:val="AFC48C3C"/>
    <w:lvl w:ilvl="0" w:tplc="3C329626">
      <w:start w:val="1"/>
      <w:numFmt w:val="bullet"/>
      <w:lvlText w:val=""/>
      <w:lvlJc w:val="left"/>
      <w:pPr>
        <w:tabs>
          <w:tab w:val="num" w:pos="1080"/>
        </w:tabs>
        <w:ind w:left="720" w:hanging="360"/>
      </w:pPr>
      <w:rPr>
        <w:rFonts w:ascii="Symbol" w:hAnsi="Symbol" w:hint="default"/>
      </w:rPr>
    </w:lvl>
    <w:lvl w:ilvl="1" w:tplc="9DAEC31A">
      <w:numFmt w:val="decimal"/>
      <w:lvlText w:val=""/>
      <w:lvlJc w:val="left"/>
    </w:lvl>
    <w:lvl w:ilvl="2" w:tplc="3B0A7DEE">
      <w:numFmt w:val="decimal"/>
      <w:lvlText w:val=""/>
      <w:lvlJc w:val="left"/>
    </w:lvl>
    <w:lvl w:ilvl="3" w:tplc="7744F024">
      <w:numFmt w:val="decimal"/>
      <w:lvlText w:val=""/>
      <w:lvlJc w:val="left"/>
    </w:lvl>
    <w:lvl w:ilvl="4" w:tplc="1A0C80A0">
      <w:numFmt w:val="decimal"/>
      <w:lvlText w:val=""/>
      <w:lvlJc w:val="left"/>
    </w:lvl>
    <w:lvl w:ilvl="5" w:tplc="1CEA8998">
      <w:numFmt w:val="decimal"/>
      <w:lvlText w:val=""/>
      <w:lvlJc w:val="left"/>
    </w:lvl>
    <w:lvl w:ilvl="6" w:tplc="1D3E288A">
      <w:numFmt w:val="decimal"/>
      <w:lvlText w:val=""/>
      <w:lvlJc w:val="left"/>
    </w:lvl>
    <w:lvl w:ilvl="7" w:tplc="9EC8CB66">
      <w:numFmt w:val="decimal"/>
      <w:lvlText w:val=""/>
      <w:lvlJc w:val="left"/>
    </w:lvl>
    <w:lvl w:ilvl="8" w:tplc="7CFA1F98">
      <w:numFmt w:val="decimal"/>
      <w:lvlText w:val=""/>
      <w:lvlJc w:val="left"/>
    </w:lvl>
  </w:abstractNum>
  <w:abstractNum w:abstractNumId="2" w15:restartNumberingAfterBreak="0">
    <w:nsid w:val="09DF5BDA"/>
    <w:multiLevelType w:val="hybridMultilevel"/>
    <w:tmpl w:val="F740D988"/>
    <w:lvl w:ilvl="0" w:tplc="B9CEAE32">
      <w:start w:val="1"/>
      <w:numFmt w:val="bullet"/>
      <w:lvlText w:val=""/>
      <w:lvlJc w:val="left"/>
      <w:pPr>
        <w:tabs>
          <w:tab w:val="num" w:pos="1080"/>
        </w:tabs>
        <w:ind w:left="720" w:hanging="360"/>
      </w:pPr>
      <w:rPr>
        <w:rFonts w:ascii="Symbol" w:hAnsi="Symbol" w:hint="default"/>
      </w:rPr>
    </w:lvl>
    <w:lvl w:ilvl="1" w:tplc="3F6EA82C">
      <w:numFmt w:val="decimal"/>
      <w:lvlText w:val=""/>
      <w:lvlJc w:val="left"/>
    </w:lvl>
    <w:lvl w:ilvl="2" w:tplc="21806BB6">
      <w:numFmt w:val="decimal"/>
      <w:lvlText w:val=""/>
      <w:lvlJc w:val="left"/>
    </w:lvl>
    <w:lvl w:ilvl="3" w:tplc="A636FAAE">
      <w:numFmt w:val="decimal"/>
      <w:lvlText w:val=""/>
      <w:lvlJc w:val="left"/>
    </w:lvl>
    <w:lvl w:ilvl="4" w:tplc="69C2B0B4">
      <w:numFmt w:val="decimal"/>
      <w:lvlText w:val=""/>
      <w:lvlJc w:val="left"/>
    </w:lvl>
    <w:lvl w:ilvl="5" w:tplc="933C0E8A">
      <w:numFmt w:val="decimal"/>
      <w:lvlText w:val=""/>
      <w:lvlJc w:val="left"/>
    </w:lvl>
    <w:lvl w:ilvl="6" w:tplc="0EA090C0">
      <w:numFmt w:val="decimal"/>
      <w:lvlText w:val=""/>
      <w:lvlJc w:val="left"/>
    </w:lvl>
    <w:lvl w:ilvl="7" w:tplc="82987972">
      <w:numFmt w:val="decimal"/>
      <w:lvlText w:val=""/>
      <w:lvlJc w:val="left"/>
    </w:lvl>
    <w:lvl w:ilvl="8" w:tplc="AFD61702">
      <w:numFmt w:val="decimal"/>
      <w:lvlText w:val=""/>
      <w:lvlJc w:val="left"/>
    </w:lvl>
  </w:abstractNum>
  <w:abstractNum w:abstractNumId="3" w15:restartNumberingAfterBreak="0">
    <w:nsid w:val="0B0905B7"/>
    <w:multiLevelType w:val="hybridMultilevel"/>
    <w:tmpl w:val="E7D6B2DA"/>
    <w:lvl w:ilvl="0" w:tplc="F71463D8">
      <w:start w:val="1"/>
      <w:numFmt w:val="bullet"/>
      <w:lvlText w:val=""/>
      <w:lvlJc w:val="left"/>
      <w:pPr>
        <w:tabs>
          <w:tab w:val="num" w:pos="1080"/>
        </w:tabs>
        <w:ind w:left="720" w:hanging="360"/>
      </w:pPr>
      <w:rPr>
        <w:rFonts w:ascii="Symbol" w:hAnsi="Symbol" w:hint="default"/>
      </w:rPr>
    </w:lvl>
    <w:lvl w:ilvl="1" w:tplc="ACD84E22">
      <w:numFmt w:val="decimal"/>
      <w:lvlText w:val=""/>
      <w:lvlJc w:val="left"/>
    </w:lvl>
    <w:lvl w:ilvl="2" w:tplc="0194D7DE">
      <w:numFmt w:val="decimal"/>
      <w:lvlText w:val=""/>
      <w:lvlJc w:val="left"/>
    </w:lvl>
    <w:lvl w:ilvl="3" w:tplc="E1062342">
      <w:numFmt w:val="decimal"/>
      <w:lvlText w:val=""/>
      <w:lvlJc w:val="left"/>
    </w:lvl>
    <w:lvl w:ilvl="4" w:tplc="F9A0053A">
      <w:numFmt w:val="decimal"/>
      <w:lvlText w:val=""/>
      <w:lvlJc w:val="left"/>
    </w:lvl>
    <w:lvl w:ilvl="5" w:tplc="BB0C6F7A">
      <w:numFmt w:val="decimal"/>
      <w:lvlText w:val=""/>
      <w:lvlJc w:val="left"/>
    </w:lvl>
    <w:lvl w:ilvl="6" w:tplc="1388BACE">
      <w:numFmt w:val="decimal"/>
      <w:lvlText w:val=""/>
      <w:lvlJc w:val="left"/>
    </w:lvl>
    <w:lvl w:ilvl="7" w:tplc="1AB4C9E6">
      <w:numFmt w:val="decimal"/>
      <w:lvlText w:val=""/>
      <w:lvlJc w:val="left"/>
    </w:lvl>
    <w:lvl w:ilvl="8" w:tplc="14DE0FBE">
      <w:numFmt w:val="decimal"/>
      <w:lvlText w:val=""/>
      <w:lvlJc w:val="left"/>
    </w:lvl>
  </w:abstractNum>
  <w:abstractNum w:abstractNumId="4" w15:restartNumberingAfterBreak="0">
    <w:nsid w:val="0BF2006F"/>
    <w:multiLevelType w:val="hybridMultilevel"/>
    <w:tmpl w:val="BEFEA7A8"/>
    <w:lvl w:ilvl="0" w:tplc="687CEC04">
      <w:start w:val="1"/>
      <w:numFmt w:val="bullet"/>
      <w:lvlText w:val=""/>
      <w:lvlJc w:val="left"/>
      <w:pPr>
        <w:tabs>
          <w:tab w:val="num" w:pos="1080"/>
        </w:tabs>
        <w:ind w:left="720" w:hanging="360"/>
      </w:pPr>
      <w:rPr>
        <w:rFonts w:ascii="Symbol" w:hAnsi="Symbol" w:hint="default"/>
      </w:rPr>
    </w:lvl>
    <w:lvl w:ilvl="1" w:tplc="E9BED468">
      <w:numFmt w:val="decimal"/>
      <w:lvlText w:val=""/>
      <w:lvlJc w:val="left"/>
    </w:lvl>
    <w:lvl w:ilvl="2" w:tplc="4CC22E4A">
      <w:numFmt w:val="decimal"/>
      <w:lvlText w:val=""/>
      <w:lvlJc w:val="left"/>
    </w:lvl>
    <w:lvl w:ilvl="3" w:tplc="5ADC2C5E">
      <w:numFmt w:val="decimal"/>
      <w:lvlText w:val=""/>
      <w:lvlJc w:val="left"/>
    </w:lvl>
    <w:lvl w:ilvl="4" w:tplc="A07AF108">
      <w:numFmt w:val="decimal"/>
      <w:lvlText w:val=""/>
      <w:lvlJc w:val="left"/>
    </w:lvl>
    <w:lvl w:ilvl="5" w:tplc="49941D4C">
      <w:numFmt w:val="decimal"/>
      <w:lvlText w:val=""/>
      <w:lvlJc w:val="left"/>
    </w:lvl>
    <w:lvl w:ilvl="6" w:tplc="32F657C2">
      <w:numFmt w:val="decimal"/>
      <w:lvlText w:val=""/>
      <w:lvlJc w:val="left"/>
    </w:lvl>
    <w:lvl w:ilvl="7" w:tplc="22F67DCA">
      <w:numFmt w:val="decimal"/>
      <w:lvlText w:val=""/>
      <w:lvlJc w:val="left"/>
    </w:lvl>
    <w:lvl w:ilvl="8" w:tplc="27483EE6">
      <w:numFmt w:val="decimal"/>
      <w:lvlText w:val=""/>
      <w:lvlJc w:val="left"/>
    </w:lvl>
  </w:abstractNum>
  <w:abstractNum w:abstractNumId="5" w15:restartNumberingAfterBreak="0">
    <w:nsid w:val="13A43767"/>
    <w:multiLevelType w:val="hybridMultilevel"/>
    <w:tmpl w:val="7750922C"/>
    <w:lvl w:ilvl="0" w:tplc="0B8C4A42">
      <w:start w:val="1"/>
      <w:numFmt w:val="bullet"/>
      <w:lvlText w:val=""/>
      <w:lvlJc w:val="left"/>
      <w:pPr>
        <w:tabs>
          <w:tab w:val="num" w:pos="1080"/>
        </w:tabs>
        <w:ind w:left="720" w:hanging="360"/>
      </w:pPr>
      <w:rPr>
        <w:rFonts w:ascii="Symbol" w:hAnsi="Symbol" w:hint="default"/>
      </w:rPr>
    </w:lvl>
    <w:lvl w:ilvl="1" w:tplc="2398EFAA">
      <w:numFmt w:val="decimal"/>
      <w:lvlText w:val=""/>
      <w:lvlJc w:val="left"/>
    </w:lvl>
    <w:lvl w:ilvl="2" w:tplc="FB2ECFBA">
      <w:numFmt w:val="decimal"/>
      <w:lvlText w:val=""/>
      <w:lvlJc w:val="left"/>
    </w:lvl>
    <w:lvl w:ilvl="3" w:tplc="C8E48ACE">
      <w:numFmt w:val="decimal"/>
      <w:lvlText w:val=""/>
      <w:lvlJc w:val="left"/>
    </w:lvl>
    <w:lvl w:ilvl="4" w:tplc="A2CC1E22">
      <w:numFmt w:val="decimal"/>
      <w:lvlText w:val=""/>
      <w:lvlJc w:val="left"/>
    </w:lvl>
    <w:lvl w:ilvl="5" w:tplc="4664CE32">
      <w:numFmt w:val="decimal"/>
      <w:lvlText w:val=""/>
      <w:lvlJc w:val="left"/>
    </w:lvl>
    <w:lvl w:ilvl="6" w:tplc="D2FEDAE0">
      <w:numFmt w:val="decimal"/>
      <w:lvlText w:val=""/>
      <w:lvlJc w:val="left"/>
    </w:lvl>
    <w:lvl w:ilvl="7" w:tplc="77C8CDE2">
      <w:numFmt w:val="decimal"/>
      <w:lvlText w:val=""/>
      <w:lvlJc w:val="left"/>
    </w:lvl>
    <w:lvl w:ilvl="8" w:tplc="D5A8076A">
      <w:numFmt w:val="decimal"/>
      <w:lvlText w:val=""/>
      <w:lvlJc w:val="left"/>
    </w:lvl>
  </w:abstractNum>
  <w:abstractNum w:abstractNumId="6" w15:restartNumberingAfterBreak="0">
    <w:nsid w:val="14583978"/>
    <w:multiLevelType w:val="hybridMultilevel"/>
    <w:tmpl w:val="CFDEECF4"/>
    <w:lvl w:ilvl="0" w:tplc="F8569454">
      <w:start w:val="1"/>
      <w:numFmt w:val="none"/>
      <w:lvlText w:val="•"/>
      <w:lvlJc w:val="left"/>
      <w:pPr>
        <w:tabs>
          <w:tab w:val="num" w:pos="1080"/>
        </w:tabs>
        <w:ind w:left="720" w:hanging="360"/>
      </w:pPr>
      <w:rPr>
        <w:rFonts w:ascii="Georgia" w:eastAsia="Georgia" w:hAnsi="Georgia" w:cs="Georgia"/>
      </w:rPr>
    </w:lvl>
    <w:lvl w:ilvl="1" w:tplc="003A3340">
      <w:numFmt w:val="decimal"/>
      <w:lvlText w:val=""/>
      <w:lvlJc w:val="left"/>
    </w:lvl>
    <w:lvl w:ilvl="2" w:tplc="A760ADAA">
      <w:numFmt w:val="decimal"/>
      <w:lvlText w:val=""/>
      <w:lvlJc w:val="left"/>
    </w:lvl>
    <w:lvl w:ilvl="3" w:tplc="069C0BCA">
      <w:numFmt w:val="decimal"/>
      <w:lvlText w:val=""/>
      <w:lvlJc w:val="left"/>
    </w:lvl>
    <w:lvl w:ilvl="4" w:tplc="A25AC014">
      <w:numFmt w:val="decimal"/>
      <w:lvlText w:val=""/>
      <w:lvlJc w:val="left"/>
    </w:lvl>
    <w:lvl w:ilvl="5" w:tplc="757A386A">
      <w:numFmt w:val="decimal"/>
      <w:lvlText w:val=""/>
      <w:lvlJc w:val="left"/>
    </w:lvl>
    <w:lvl w:ilvl="6" w:tplc="BA387506">
      <w:numFmt w:val="decimal"/>
      <w:lvlText w:val=""/>
      <w:lvlJc w:val="left"/>
    </w:lvl>
    <w:lvl w:ilvl="7" w:tplc="E27E9FE8">
      <w:numFmt w:val="decimal"/>
      <w:lvlText w:val=""/>
      <w:lvlJc w:val="left"/>
    </w:lvl>
    <w:lvl w:ilvl="8" w:tplc="33EA003C">
      <w:numFmt w:val="decimal"/>
      <w:lvlText w:val=""/>
      <w:lvlJc w:val="left"/>
    </w:lvl>
  </w:abstractNum>
  <w:abstractNum w:abstractNumId="7" w15:restartNumberingAfterBreak="0">
    <w:nsid w:val="15D00E5D"/>
    <w:multiLevelType w:val="hybridMultilevel"/>
    <w:tmpl w:val="58725E84"/>
    <w:lvl w:ilvl="0" w:tplc="6F2A0E8A">
      <w:start w:val="1"/>
      <w:numFmt w:val="none"/>
      <w:lvlText w:val="•"/>
      <w:lvlJc w:val="left"/>
      <w:pPr>
        <w:tabs>
          <w:tab w:val="num" w:pos="1080"/>
        </w:tabs>
        <w:ind w:left="720" w:hanging="360"/>
      </w:pPr>
      <w:rPr>
        <w:rFonts w:ascii="Georgia" w:eastAsia="Georgia" w:hAnsi="Georgia" w:cs="Georgia"/>
      </w:rPr>
    </w:lvl>
    <w:lvl w:ilvl="1" w:tplc="271E18DA">
      <w:numFmt w:val="decimal"/>
      <w:lvlText w:val=""/>
      <w:lvlJc w:val="left"/>
    </w:lvl>
    <w:lvl w:ilvl="2" w:tplc="ABC427B8">
      <w:numFmt w:val="decimal"/>
      <w:lvlText w:val=""/>
      <w:lvlJc w:val="left"/>
    </w:lvl>
    <w:lvl w:ilvl="3" w:tplc="082CC1E6">
      <w:numFmt w:val="decimal"/>
      <w:lvlText w:val=""/>
      <w:lvlJc w:val="left"/>
    </w:lvl>
    <w:lvl w:ilvl="4" w:tplc="1700E2D6">
      <w:numFmt w:val="decimal"/>
      <w:lvlText w:val=""/>
      <w:lvlJc w:val="left"/>
    </w:lvl>
    <w:lvl w:ilvl="5" w:tplc="C93EFC70">
      <w:numFmt w:val="decimal"/>
      <w:lvlText w:val=""/>
      <w:lvlJc w:val="left"/>
    </w:lvl>
    <w:lvl w:ilvl="6" w:tplc="E26CC892">
      <w:numFmt w:val="decimal"/>
      <w:lvlText w:val=""/>
      <w:lvlJc w:val="left"/>
    </w:lvl>
    <w:lvl w:ilvl="7" w:tplc="26C6ED88">
      <w:numFmt w:val="decimal"/>
      <w:lvlText w:val=""/>
      <w:lvlJc w:val="left"/>
    </w:lvl>
    <w:lvl w:ilvl="8" w:tplc="1C065E12">
      <w:numFmt w:val="decimal"/>
      <w:lvlText w:val=""/>
      <w:lvlJc w:val="left"/>
    </w:lvl>
  </w:abstractNum>
  <w:abstractNum w:abstractNumId="8" w15:restartNumberingAfterBreak="0">
    <w:nsid w:val="1C8D7D9F"/>
    <w:multiLevelType w:val="hybridMultilevel"/>
    <w:tmpl w:val="45ECBB44"/>
    <w:lvl w:ilvl="0" w:tplc="AED6F304">
      <w:start w:val="1"/>
      <w:numFmt w:val="bullet"/>
      <w:lvlText w:val=""/>
      <w:lvlJc w:val="left"/>
      <w:pPr>
        <w:tabs>
          <w:tab w:val="num" w:pos="1080"/>
        </w:tabs>
        <w:ind w:left="720" w:hanging="360"/>
      </w:pPr>
      <w:rPr>
        <w:rFonts w:ascii="Symbol" w:hAnsi="Symbol" w:hint="default"/>
      </w:rPr>
    </w:lvl>
    <w:lvl w:ilvl="1" w:tplc="82AC6C82">
      <w:numFmt w:val="decimal"/>
      <w:lvlText w:val=""/>
      <w:lvlJc w:val="left"/>
    </w:lvl>
    <w:lvl w:ilvl="2" w:tplc="382C6806">
      <w:numFmt w:val="decimal"/>
      <w:lvlText w:val=""/>
      <w:lvlJc w:val="left"/>
    </w:lvl>
    <w:lvl w:ilvl="3" w:tplc="084A7A34">
      <w:numFmt w:val="decimal"/>
      <w:lvlText w:val=""/>
      <w:lvlJc w:val="left"/>
    </w:lvl>
    <w:lvl w:ilvl="4" w:tplc="A4F243C6">
      <w:numFmt w:val="decimal"/>
      <w:lvlText w:val=""/>
      <w:lvlJc w:val="left"/>
    </w:lvl>
    <w:lvl w:ilvl="5" w:tplc="661CC4E6">
      <w:numFmt w:val="decimal"/>
      <w:lvlText w:val=""/>
      <w:lvlJc w:val="left"/>
    </w:lvl>
    <w:lvl w:ilvl="6" w:tplc="52E6963A">
      <w:numFmt w:val="decimal"/>
      <w:lvlText w:val=""/>
      <w:lvlJc w:val="left"/>
    </w:lvl>
    <w:lvl w:ilvl="7" w:tplc="B1BADB30">
      <w:numFmt w:val="decimal"/>
      <w:lvlText w:val=""/>
      <w:lvlJc w:val="left"/>
    </w:lvl>
    <w:lvl w:ilvl="8" w:tplc="432686B0">
      <w:numFmt w:val="decimal"/>
      <w:lvlText w:val=""/>
      <w:lvlJc w:val="left"/>
    </w:lvl>
  </w:abstractNum>
  <w:abstractNum w:abstractNumId="9" w15:restartNumberingAfterBreak="0">
    <w:nsid w:val="1EB65AEC"/>
    <w:multiLevelType w:val="hybridMultilevel"/>
    <w:tmpl w:val="BE6829D0"/>
    <w:lvl w:ilvl="0" w:tplc="63B6B6E2">
      <w:start w:val="1"/>
      <w:numFmt w:val="none"/>
      <w:lvlText w:val="•"/>
      <w:lvlJc w:val="left"/>
      <w:pPr>
        <w:tabs>
          <w:tab w:val="num" w:pos="1080"/>
        </w:tabs>
        <w:ind w:left="720" w:hanging="360"/>
      </w:pPr>
      <w:rPr>
        <w:rFonts w:ascii="Georgia" w:eastAsia="Georgia" w:hAnsi="Georgia" w:cs="Georgia"/>
      </w:rPr>
    </w:lvl>
    <w:lvl w:ilvl="1" w:tplc="A2982332">
      <w:numFmt w:val="decimal"/>
      <w:lvlText w:val=""/>
      <w:lvlJc w:val="left"/>
    </w:lvl>
    <w:lvl w:ilvl="2" w:tplc="C098231A">
      <w:numFmt w:val="decimal"/>
      <w:lvlText w:val=""/>
      <w:lvlJc w:val="left"/>
    </w:lvl>
    <w:lvl w:ilvl="3" w:tplc="29087FE6">
      <w:numFmt w:val="decimal"/>
      <w:lvlText w:val=""/>
      <w:lvlJc w:val="left"/>
    </w:lvl>
    <w:lvl w:ilvl="4" w:tplc="FE7A2DFA">
      <w:numFmt w:val="decimal"/>
      <w:lvlText w:val=""/>
      <w:lvlJc w:val="left"/>
    </w:lvl>
    <w:lvl w:ilvl="5" w:tplc="4B069F3E">
      <w:numFmt w:val="decimal"/>
      <w:lvlText w:val=""/>
      <w:lvlJc w:val="left"/>
    </w:lvl>
    <w:lvl w:ilvl="6" w:tplc="89146CD6">
      <w:numFmt w:val="decimal"/>
      <w:lvlText w:val=""/>
      <w:lvlJc w:val="left"/>
    </w:lvl>
    <w:lvl w:ilvl="7" w:tplc="CBE81FAC">
      <w:numFmt w:val="decimal"/>
      <w:lvlText w:val=""/>
      <w:lvlJc w:val="left"/>
    </w:lvl>
    <w:lvl w:ilvl="8" w:tplc="647C54EE">
      <w:numFmt w:val="decimal"/>
      <w:lvlText w:val=""/>
      <w:lvlJc w:val="left"/>
    </w:lvl>
  </w:abstractNum>
  <w:abstractNum w:abstractNumId="10" w15:restartNumberingAfterBreak="0">
    <w:nsid w:val="20E51D1B"/>
    <w:multiLevelType w:val="hybridMultilevel"/>
    <w:tmpl w:val="7C125C74"/>
    <w:lvl w:ilvl="0" w:tplc="3EF80DC8">
      <w:start w:val="1"/>
      <w:numFmt w:val="none"/>
      <w:lvlText w:val="•"/>
      <w:lvlJc w:val="left"/>
      <w:pPr>
        <w:tabs>
          <w:tab w:val="num" w:pos="1080"/>
        </w:tabs>
        <w:ind w:left="720" w:hanging="360"/>
      </w:pPr>
      <w:rPr>
        <w:rFonts w:ascii="Georgia" w:eastAsia="Georgia" w:hAnsi="Georgia" w:cs="Georgia"/>
      </w:rPr>
    </w:lvl>
    <w:lvl w:ilvl="1" w:tplc="FE0A6E4A">
      <w:numFmt w:val="decimal"/>
      <w:lvlText w:val=""/>
      <w:lvlJc w:val="left"/>
    </w:lvl>
    <w:lvl w:ilvl="2" w:tplc="9912D66A">
      <w:numFmt w:val="decimal"/>
      <w:lvlText w:val=""/>
      <w:lvlJc w:val="left"/>
    </w:lvl>
    <w:lvl w:ilvl="3" w:tplc="2CCAC922">
      <w:numFmt w:val="decimal"/>
      <w:lvlText w:val=""/>
      <w:lvlJc w:val="left"/>
    </w:lvl>
    <w:lvl w:ilvl="4" w:tplc="B8DEC252">
      <w:numFmt w:val="decimal"/>
      <w:lvlText w:val=""/>
      <w:lvlJc w:val="left"/>
    </w:lvl>
    <w:lvl w:ilvl="5" w:tplc="4CF4B3B0">
      <w:numFmt w:val="decimal"/>
      <w:lvlText w:val=""/>
      <w:lvlJc w:val="left"/>
    </w:lvl>
    <w:lvl w:ilvl="6" w:tplc="E0E8AAD4">
      <w:numFmt w:val="decimal"/>
      <w:lvlText w:val=""/>
      <w:lvlJc w:val="left"/>
    </w:lvl>
    <w:lvl w:ilvl="7" w:tplc="F356D8C0">
      <w:numFmt w:val="decimal"/>
      <w:lvlText w:val=""/>
      <w:lvlJc w:val="left"/>
    </w:lvl>
    <w:lvl w:ilvl="8" w:tplc="F9D87790">
      <w:numFmt w:val="decimal"/>
      <w:lvlText w:val=""/>
      <w:lvlJc w:val="left"/>
    </w:lvl>
  </w:abstractNum>
  <w:abstractNum w:abstractNumId="11" w15:restartNumberingAfterBreak="0">
    <w:nsid w:val="23E71843"/>
    <w:multiLevelType w:val="hybridMultilevel"/>
    <w:tmpl w:val="056E8646"/>
    <w:lvl w:ilvl="0" w:tplc="B0925012">
      <w:start w:val="1"/>
      <w:numFmt w:val="bullet"/>
      <w:lvlText w:val=""/>
      <w:lvlJc w:val="left"/>
      <w:pPr>
        <w:tabs>
          <w:tab w:val="num" w:pos="1080"/>
        </w:tabs>
        <w:ind w:left="720" w:hanging="360"/>
      </w:pPr>
      <w:rPr>
        <w:rFonts w:ascii="Symbol" w:hAnsi="Symbol" w:hint="default"/>
      </w:rPr>
    </w:lvl>
    <w:lvl w:ilvl="1" w:tplc="5BCADE30">
      <w:numFmt w:val="decimal"/>
      <w:lvlText w:val=""/>
      <w:lvlJc w:val="left"/>
    </w:lvl>
    <w:lvl w:ilvl="2" w:tplc="63B6BED2">
      <w:numFmt w:val="decimal"/>
      <w:lvlText w:val=""/>
      <w:lvlJc w:val="left"/>
    </w:lvl>
    <w:lvl w:ilvl="3" w:tplc="FC0ACB62">
      <w:numFmt w:val="decimal"/>
      <w:lvlText w:val=""/>
      <w:lvlJc w:val="left"/>
    </w:lvl>
    <w:lvl w:ilvl="4" w:tplc="078A753C">
      <w:numFmt w:val="decimal"/>
      <w:lvlText w:val=""/>
      <w:lvlJc w:val="left"/>
    </w:lvl>
    <w:lvl w:ilvl="5" w:tplc="21261D8C">
      <w:numFmt w:val="decimal"/>
      <w:lvlText w:val=""/>
      <w:lvlJc w:val="left"/>
    </w:lvl>
    <w:lvl w:ilvl="6" w:tplc="C91CEE3A">
      <w:numFmt w:val="decimal"/>
      <w:lvlText w:val=""/>
      <w:lvlJc w:val="left"/>
    </w:lvl>
    <w:lvl w:ilvl="7" w:tplc="AA6C8508">
      <w:numFmt w:val="decimal"/>
      <w:lvlText w:val=""/>
      <w:lvlJc w:val="left"/>
    </w:lvl>
    <w:lvl w:ilvl="8" w:tplc="E9166F5A">
      <w:numFmt w:val="decimal"/>
      <w:lvlText w:val=""/>
      <w:lvlJc w:val="left"/>
    </w:lvl>
  </w:abstractNum>
  <w:abstractNum w:abstractNumId="12" w15:restartNumberingAfterBreak="0">
    <w:nsid w:val="281736B4"/>
    <w:multiLevelType w:val="hybridMultilevel"/>
    <w:tmpl w:val="BF00F544"/>
    <w:lvl w:ilvl="0" w:tplc="F28A4EBE">
      <w:start w:val="1"/>
      <w:numFmt w:val="bullet"/>
      <w:lvlText w:val=""/>
      <w:lvlJc w:val="left"/>
      <w:pPr>
        <w:tabs>
          <w:tab w:val="num" w:pos="1080"/>
        </w:tabs>
        <w:ind w:left="720" w:hanging="360"/>
      </w:pPr>
      <w:rPr>
        <w:rFonts w:ascii="Symbol" w:hAnsi="Symbol" w:hint="default"/>
      </w:rPr>
    </w:lvl>
    <w:lvl w:ilvl="1" w:tplc="4808C78E">
      <w:numFmt w:val="decimal"/>
      <w:lvlText w:val=""/>
      <w:lvlJc w:val="left"/>
    </w:lvl>
    <w:lvl w:ilvl="2" w:tplc="127A3C7A">
      <w:numFmt w:val="decimal"/>
      <w:lvlText w:val=""/>
      <w:lvlJc w:val="left"/>
    </w:lvl>
    <w:lvl w:ilvl="3" w:tplc="A3E031C8">
      <w:numFmt w:val="decimal"/>
      <w:lvlText w:val=""/>
      <w:lvlJc w:val="left"/>
    </w:lvl>
    <w:lvl w:ilvl="4" w:tplc="13B8DD04">
      <w:numFmt w:val="decimal"/>
      <w:lvlText w:val=""/>
      <w:lvlJc w:val="left"/>
    </w:lvl>
    <w:lvl w:ilvl="5" w:tplc="763EB406">
      <w:numFmt w:val="decimal"/>
      <w:lvlText w:val=""/>
      <w:lvlJc w:val="left"/>
    </w:lvl>
    <w:lvl w:ilvl="6" w:tplc="F7A896C6">
      <w:numFmt w:val="decimal"/>
      <w:lvlText w:val=""/>
      <w:lvlJc w:val="left"/>
    </w:lvl>
    <w:lvl w:ilvl="7" w:tplc="9E98941C">
      <w:numFmt w:val="decimal"/>
      <w:lvlText w:val=""/>
      <w:lvlJc w:val="left"/>
    </w:lvl>
    <w:lvl w:ilvl="8" w:tplc="9EF00B8C">
      <w:numFmt w:val="decimal"/>
      <w:lvlText w:val=""/>
      <w:lvlJc w:val="left"/>
    </w:lvl>
  </w:abstractNum>
  <w:abstractNum w:abstractNumId="13" w15:restartNumberingAfterBreak="0">
    <w:nsid w:val="282020D6"/>
    <w:multiLevelType w:val="hybridMultilevel"/>
    <w:tmpl w:val="F7D89B40"/>
    <w:lvl w:ilvl="0" w:tplc="87E4CA14">
      <w:start w:val="1"/>
      <w:numFmt w:val="bullet"/>
      <w:lvlText w:val=""/>
      <w:lvlJc w:val="left"/>
      <w:pPr>
        <w:tabs>
          <w:tab w:val="num" w:pos="1080"/>
        </w:tabs>
        <w:ind w:left="720" w:hanging="360"/>
      </w:pPr>
      <w:rPr>
        <w:rFonts w:ascii="Symbol" w:hAnsi="Symbol" w:hint="default"/>
      </w:rPr>
    </w:lvl>
    <w:lvl w:ilvl="1" w:tplc="04429358">
      <w:numFmt w:val="decimal"/>
      <w:lvlText w:val=""/>
      <w:lvlJc w:val="left"/>
    </w:lvl>
    <w:lvl w:ilvl="2" w:tplc="45A2EA60">
      <w:numFmt w:val="decimal"/>
      <w:lvlText w:val=""/>
      <w:lvlJc w:val="left"/>
    </w:lvl>
    <w:lvl w:ilvl="3" w:tplc="26201938">
      <w:numFmt w:val="decimal"/>
      <w:lvlText w:val=""/>
      <w:lvlJc w:val="left"/>
    </w:lvl>
    <w:lvl w:ilvl="4" w:tplc="F31ACE2A">
      <w:numFmt w:val="decimal"/>
      <w:lvlText w:val=""/>
      <w:lvlJc w:val="left"/>
    </w:lvl>
    <w:lvl w:ilvl="5" w:tplc="C666BC26">
      <w:numFmt w:val="decimal"/>
      <w:lvlText w:val=""/>
      <w:lvlJc w:val="left"/>
    </w:lvl>
    <w:lvl w:ilvl="6" w:tplc="94E6E60C">
      <w:numFmt w:val="decimal"/>
      <w:lvlText w:val=""/>
      <w:lvlJc w:val="left"/>
    </w:lvl>
    <w:lvl w:ilvl="7" w:tplc="04824B9E">
      <w:numFmt w:val="decimal"/>
      <w:lvlText w:val=""/>
      <w:lvlJc w:val="left"/>
    </w:lvl>
    <w:lvl w:ilvl="8" w:tplc="3AD8F060">
      <w:numFmt w:val="decimal"/>
      <w:lvlText w:val=""/>
      <w:lvlJc w:val="left"/>
    </w:lvl>
  </w:abstractNum>
  <w:abstractNum w:abstractNumId="14" w15:restartNumberingAfterBreak="0">
    <w:nsid w:val="2A635549"/>
    <w:multiLevelType w:val="hybridMultilevel"/>
    <w:tmpl w:val="54EAFEA0"/>
    <w:lvl w:ilvl="0" w:tplc="CD4EBACA">
      <w:start w:val="1"/>
      <w:numFmt w:val="bullet"/>
      <w:lvlText w:val=""/>
      <w:lvlJc w:val="left"/>
      <w:pPr>
        <w:tabs>
          <w:tab w:val="num" w:pos="1080"/>
        </w:tabs>
        <w:ind w:left="720" w:hanging="360"/>
      </w:pPr>
      <w:rPr>
        <w:rFonts w:ascii="Symbol" w:hAnsi="Symbol" w:hint="default"/>
      </w:rPr>
    </w:lvl>
    <w:lvl w:ilvl="1" w:tplc="595A6ED0">
      <w:numFmt w:val="decimal"/>
      <w:lvlText w:val=""/>
      <w:lvlJc w:val="left"/>
    </w:lvl>
    <w:lvl w:ilvl="2" w:tplc="B9D84A72">
      <w:numFmt w:val="decimal"/>
      <w:lvlText w:val=""/>
      <w:lvlJc w:val="left"/>
    </w:lvl>
    <w:lvl w:ilvl="3" w:tplc="7AA8F702">
      <w:numFmt w:val="decimal"/>
      <w:lvlText w:val=""/>
      <w:lvlJc w:val="left"/>
    </w:lvl>
    <w:lvl w:ilvl="4" w:tplc="9FE00284">
      <w:numFmt w:val="decimal"/>
      <w:lvlText w:val=""/>
      <w:lvlJc w:val="left"/>
    </w:lvl>
    <w:lvl w:ilvl="5" w:tplc="BB9A8E94">
      <w:numFmt w:val="decimal"/>
      <w:lvlText w:val=""/>
      <w:lvlJc w:val="left"/>
    </w:lvl>
    <w:lvl w:ilvl="6" w:tplc="56D6B55E">
      <w:numFmt w:val="decimal"/>
      <w:lvlText w:val=""/>
      <w:lvlJc w:val="left"/>
    </w:lvl>
    <w:lvl w:ilvl="7" w:tplc="56161600">
      <w:numFmt w:val="decimal"/>
      <w:lvlText w:val=""/>
      <w:lvlJc w:val="left"/>
    </w:lvl>
    <w:lvl w:ilvl="8" w:tplc="6BCCC8FE">
      <w:numFmt w:val="decimal"/>
      <w:lvlText w:val=""/>
      <w:lvlJc w:val="left"/>
    </w:lvl>
  </w:abstractNum>
  <w:abstractNum w:abstractNumId="15" w15:restartNumberingAfterBreak="0">
    <w:nsid w:val="2A65154D"/>
    <w:multiLevelType w:val="hybridMultilevel"/>
    <w:tmpl w:val="DB5256B8"/>
    <w:lvl w:ilvl="0" w:tplc="6C6613BC">
      <w:start w:val="1"/>
      <w:numFmt w:val="bullet"/>
      <w:lvlText w:val=""/>
      <w:lvlJc w:val="left"/>
      <w:pPr>
        <w:tabs>
          <w:tab w:val="num" w:pos="1080"/>
        </w:tabs>
        <w:ind w:left="720" w:hanging="360"/>
      </w:pPr>
      <w:rPr>
        <w:rFonts w:ascii="Symbol" w:hAnsi="Symbol" w:hint="default"/>
      </w:rPr>
    </w:lvl>
    <w:lvl w:ilvl="1" w:tplc="770C6D7C">
      <w:numFmt w:val="decimal"/>
      <w:lvlText w:val=""/>
      <w:lvlJc w:val="left"/>
    </w:lvl>
    <w:lvl w:ilvl="2" w:tplc="B412AC48">
      <w:numFmt w:val="decimal"/>
      <w:lvlText w:val=""/>
      <w:lvlJc w:val="left"/>
    </w:lvl>
    <w:lvl w:ilvl="3" w:tplc="B808B4BA">
      <w:numFmt w:val="decimal"/>
      <w:lvlText w:val=""/>
      <w:lvlJc w:val="left"/>
    </w:lvl>
    <w:lvl w:ilvl="4" w:tplc="E690BFA4">
      <w:numFmt w:val="decimal"/>
      <w:lvlText w:val=""/>
      <w:lvlJc w:val="left"/>
    </w:lvl>
    <w:lvl w:ilvl="5" w:tplc="8270AA84">
      <w:numFmt w:val="decimal"/>
      <w:lvlText w:val=""/>
      <w:lvlJc w:val="left"/>
    </w:lvl>
    <w:lvl w:ilvl="6" w:tplc="2416A36C">
      <w:numFmt w:val="decimal"/>
      <w:lvlText w:val=""/>
      <w:lvlJc w:val="left"/>
    </w:lvl>
    <w:lvl w:ilvl="7" w:tplc="E2D47CFE">
      <w:numFmt w:val="decimal"/>
      <w:lvlText w:val=""/>
      <w:lvlJc w:val="left"/>
    </w:lvl>
    <w:lvl w:ilvl="8" w:tplc="81F656C6">
      <w:numFmt w:val="decimal"/>
      <w:lvlText w:val=""/>
      <w:lvlJc w:val="left"/>
    </w:lvl>
  </w:abstractNum>
  <w:abstractNum w:abstractNumId="16" w15:restartNumberingAfterBreak="0">
    <w:nsid w:val="2D8E6596"/>
    <w:multiLevelType w:val="hybridMultilevel"/>
    <w:tmpl w:val="154C5468"/>
    <w:lvl w:ilvl="0" w:tplc="AA84FB88">
      <w:start w:val="1"/>
      <w:numFmt w:val="bullet"/>
      <w:lvlText w:val=""/>
      <w:lvlJc w:val="left"/>
      <w:pPr>
        <w:tabs>
          <w:tab w:val="num" w:pos="1080"/>
        </w:tabs>
        <w:ind w:left="720" w:hanging="360"/>
      </w:pPr>
      <w:rPr>
        <w:rFonts w:ascii="Symbol" w:hAnsi="Symbol" w:hint="default"/>
      </w:rPr>
    </w:lvl>
    <w:lvl w:ilvl="1" w:tplc="436A99DA">
      <w:numFmt w:val="decimal"/>
      <w:lvlText w:val=""/>
      <w:lvlJc w:val="left"/>
    </w:lvl>
    <w:lvl w:ilvl="2" w:tplc="B58A03DC">
      <w:numFmt w:val="decimal"/>
      <w:lvlText w:val=""/>
      <w:lvlJc w:val="left"/>
    </w:lvl>
    <w:lvl w:ilvl="3" w:tplc="78F619E0">
      <w:numFmt w:val="decimal"/>
      <w:lvlText w:val=""/>
      <w:lvlJc w:val="left"/>
    </w:lvl>
    <w:lvl w:ilvl="4" w:tplc="09882358">
      <w:numFmt w:val="decimal"/>
      <w:lvlText w:val=""/>
      <w:lvlJc w:val="left"/>
    </w:lvl>
    <w:lvl w:ilvl="5" w:tplc="3FECCB8C">
      <w:numFmt w:val="decimal"/>
      <w:lvlText w:val=""/>
      <w:lvlJc w:val="left"/>
    </w:lvl>
    <w:lvl w:ilvl="6" w:tplc="3FE8019C">
      <w:numFmt w:val="decimal"/>
      <w:lvlText w:val=""/>
      <w:lvlJc w:val="left"/>
    </w:lvl>
    <w:lvl w:ilvl="7" w:tplc="155CDD46">
      <w:numFmt w:val="decimal"/>
      <w:lvlText w:val=""/>
      <w:lvlJc w:val="left"/>
    </w:lvl>
    <w:lvl w:ilvl="8" w:tplc="7E5CED9C">
      <w:numFmt w:val="decimal"/>
      <w:lvlText w:val=""/>
      <w:lvlJc w:val="left"/>
    </w:lvl>
  </w:abstractNum>
  <w:abstractNum w:abstractNumId="17" w15:restartNumberingAfterBreak="0">
    <w:nsid w:val="3047532E"/>
    <w:multiLevelType w:val="hybridMultilevel"/>
    <w:tmpl w:val="C03A1FEE"/>
    <w:lvl w:ilvl="0" w:tplc="338621E2">
      <w:start w:val="1"/>
      <w:numFmt w:val="bullet"/>
      <w:lvlText w:val=""/>
      <w:lvlJc w:val="left"/>
      <w:pPr>
        <w:tabs>
          <w:tab w:val="num" w:pos="1080"/>
        </w:tabs>
        <w:ind w:left="720" w:hanging="360"/>
      </w:pPr>
      <w:rPr>
        <w:rFonts w:ascii="Symbol" w:hAnsi="Symbol" w:hint="default"/>
      </w:rPr>
    </w:lvl>
    <w:lvl w:ilvl="1" w:tplc="490252D0">
      <w:numFmt w:val="decimal"/>
      <w:lvlText w:val=""/>
      <w:lvlJc w:val="left"/>
    </w:lvl>
    <w:lvl w:ilvl="2" w:tplc="79A4F8A4">
      <w:numFmt w:val="decimal"/>
      <w:lvlText w:val=""/>
      <w:lvlJc w:val="left"/>
    </w:lvl>
    <w:lvl w:ilvl="3" w:tplc="69D22AEC">
      <w:numFmt w:val="decimal"/>
      <w:lvlText w:val=""/>
      <w:lvlJc w:val="left"/>
    </w:lvl>
    <w:lvl w:ilvl="4" w:tplc="1514075C">
      <w:numFmt w:val="decimal"/>
      <w:lvlText w:val=""/>
      <w:lvlJc w:val="left"/>
    </w:lvl>
    <w:lvl w:ilvl="5" w:tplc="C0806C18">
      <w:numFmt w:val="decimal"/>
      <w:lvlText w:val=""/>
      <w:lvlJc w:val="left"/>
    </w:lvl>
    <w:lvl w:ilvl="6" w:tplc="55D88FCE">
      <w:numFmt w:val="decimal"/>
      <w:lvlText w:val=""/>
      <w:lvlJc w:val="left"/>
    </w:lvl>
    <w:lvl w:ilvl="7" w:tplc="4E1AB5FC">
      <w:numFmt w:val="decimal"/>
      <w:lvlText w:val=""/>
      <w:lvlJc w:val="left"/>
    </w:lvl>
    <w:lvl w:ilvl="8" w:tplc="1D2EB16A">
      <w:numFmt w:val="decimal"/>
      <w:lvlText w:val=""/>
      <w:lvlJc w:val="left"/>
    </w:lvl>
  </w:abstractNum>
  <w:abstractNum w:abstractNumId="18" w15:restartNumberingAfterBreak="0">
    <w:nsid w:val="31780785"/>
    <w:multiLevelType w:val="hybridMultilevel"/>
    <w:tmpl w:val="6610CBD6"/>
    <w:lvl w:ilvl="0" w:tplc="5FF23D36">
      <w:start w:val="1"/>
      <w:numFmt w:val="bullet"/>
      <w:lvlText w:val=""/>
      <w:lvlJc w:val="left"/>
      <w:pPr>
        <w:tabs>
          <w:tab w:val="num" w:pos="1080"/>
        </w:tabs>
        <w:ind w:left="720" w:hanging="360"/>
      </w:pPr>
      <w:rPr>
        <w:rFonts w:ascii="Symbol" w:hAnsi="Symbol" w:hint="default"/>
      </w:rPr>
    </w:lvl>
    <w:lvl w:ilvl="1" w:tplc="8F0C33C2">
      <w:numFmt w:val="decimal"/>
      <w:lvlText w:val=""/>
      <w:lvlJc w:val="left"/>
    </w:lvl>
    <w:lvl w:ilvl="2" w:tplc="E96E9F86">
      <w:numFmt w:val="decimal"/>
      <w:lvlText w:val=""/>
      <w:lvlJc w:val="left"/>
    </w:lvl>
    <w:lvl w:ilvl="3" w:tplc="70B06ED2">
      <w:numFmt w:val="decimal"/>
      <w:lvlText w:val=""/>
      <w:lvlJc w:val="left"/>
    </w:lvl>
    <w:lvl w:ilvl="4" w:tplc="E530FEEA">
      <w:numFmt w:val="decimal"/>
      <w:lvlText w:val=""/>
      <w:lvlJc w:val="left"/>
    </w:lvl>
    <w:lvl w:ilvl="5" w:tplc="1F3A5128">
      <w:numFmt w:val="decimal"/>
      <w:lvlText w:val=""/>
      <w:lvlJc w:val="left"/>
    </w:lvl>
    <w:lvl w:ilvl="6" w:tplc="FD5C3B96">
      <w:numFmt w:val="decimal"/>
      <w:lvlText w:val=""/>
      <w:lvlJc w:val="left"/>
    </w:lvl>
    <w:lvl w:ilvl="7" w:tplc="55EEF03E">
      <w:numFmt w:val="decimal"/>
      <w:lvlText w:val=""/>
      <w:lvlJc w:val="left"/>
    </w:lvl>
    <w:lvl w:ilvl="8" w:tplc="380C9D28">
      <w:numFmt w:val="decimal"/>
      <w:lvlText w:val=""/>
      <w:lvlJc w:val="left"/>
    </w:lvl>
  </w:abstractNum>
  <w:abstractNum w:abstractNumId="19" w15:restartNumberingAfterBreak="0">
    <w:nsid w:val="345C7169"/>
    <w:multiLevelType w:val="hybridMultilevel"/>
    <w:tmpl w:val="16786384"/>
    <w:lvl w:ilvl="0" w:tplc="2CAAEBE8">
      <w:start w:val="1"/>
      <w:numFmt w:val="none"/>
      <w:lvlText w:val="•"/>
      <w:lvlJc w:val="left"/>
      <w:pPr>
        <w:tabs>
          <w:tab w:val="num" w:pos="1080"/>
        </w:tabs>
        <w:ind w:left="720" w:hanging="360"/>
      </w:pPr>
      <w:rPr>
        <w:rFonts w:ascii="Georgia" w:eastAsia="Georgia" w:hAnsi="Georgia" w:cs="Georgia"/>
      </w:rPr>
    </w:lvl>
    <w:lvl w:ilvl="1" w:tplc="B28C5958">
      <w:numFmt w:val="decimal"/>
      <w:lvlText w:val=""/>
      <w:lvlJc w:val="left"/>
    </w:lvl>
    <w:lvl w:ilvl="2" w:tplc="D6B43F30">
      <w:numFmt w:val="decimal"/>
      <w:lvlText w:val=""/>
      <w:lvlJc w:val="left"/>
    </w:lvl>
    <w:lvl w:ilvl="3" w:tplc="9B70B24C">
      <w:numFmt w:val="decimal"/>
      <w:lvlText w:val=""/>
      <w:lvlJc w:val="left"/>
    </w:lvl>
    <w:lvl w:ilvl="4" w:tplc="B0AA1B26">
      <w:numFmt w:val="decimal"/>
      <w:lvlText w:val=""/>
      <w:lvlJc w:val="left"/>
    </w:lvl>
    <w:lvl w:ilvl="5" w:tplc="E598B4FC">
      <w:numFmt w:val="decimal"/>
      <w:lvlText w:val=""/>
      <w:lvlJc w:val="left"/>
    </w:lvl>
    <w:lvl w:ilvl="6" w:tplc="C0423CE8">
      <w:numFmt w:val="decimal"/>
      <w:lvlText w:val=""/>
      <w:lvlJc w:val="left"/>
    </w:lvl>
    <w:lvl w:ilvl="7" w:tplc="09A45280">
      <w:numFmt w:val="decimal"/>
      <w:lvlText w:val=""/>
      <w:lvlJc w:val="left"/>
    </w:lvl>
    <w:lvl w:ilvl="8" w:tplc="67A24EB6">
      <w:numFmt w:val="decimal"/>
      <w:lvlText w:val=""/>
      <w:lvlJc w:val="left"/>
    </w:lvl>
  </w:abstractNum>
  <w:abstractNum w:abstractNumId="20" w15:restartNumberingAfterBreak="0">
    <w:nsid w:val="34B13616"/>
    <w:multiLevelType w:val="hybridMultilevel"/>
    <w:tmpl w:val="502AB928"/>
    <w:lvl w:ilvl="0" w:tplc="C2F8311E">
      <w:start w:val="1"/>
      <w:numFmt w:val="bullet"/>
      <w:lvlText w:val=""/>
      <w:lvlJc w:val="left"/>
      <w:pPr>
        <w:tabs>
          <w:tab w:val="num" w:pos="1080"/>
        </w:tabs>
        <w:ind w:left="720" w:hanging="360"/>
      </w:pPr>
      <w:rPr>
        <w:rFonts w:ascii="Symbol" w:hAnsi="Symbol" w:hint="default"/>
      </w:rPr>
    </w:lvl>
    <w:lvl w:ilvl="1" w:tplc="972C061E">
      <w:numFmt w:val="decimal"/>
      <w:lvlText w:val=""/>
      <w:lvlJc w:val="left"/>
    </w:lvl>
    <w:lvl w:ilvl="2" w:tplc="F22AD46A">
      <w:numFmt w:val="decimal"/>
      <w:lvlText w:val=""/>
      <w:lvlJc w:val="left"/>
    </w:lvl>
    <w:lvl w:ilvl="3" w:tplc="66D8CE94">
      <w:numFmt w:val="decimal"/>
      <w:lvlText w:val=""/>
      <w:lvlJc w:val="left"/>
    </w:lvl>
    <w:lvl w:ilvl="4" w:tplc="AA46E30A">
      <w:numFmt w:val="decimal"/>
      <w:lvlText w:val=""/>
      <w:lvlJc w:val="left"/>
    </w:lvl>
    <w:lvl w:ilvl="5" w:tplc="A202C258">
      <w:numFmt w:val="decimal"/>
      <w:lvlText w:val=""/>
      <w:lvlJc w:val="left"/>
    </w:lvl>
    <w:lvl w:ilvl="6" w:tplc="395A7C9A">
      <w:numFmt w:val="decimal"/>
      <w:lvlText w:val=""/>
      <w:lvlJc w:val="left"/>
    </w:lvl>
    <w:lvl w:ilvl="7" w:tplc="BD40C06E">
      <w:numFmt w:val="decimal"/>
      <w:lvlText w:val=""/>
      <w:lvlJc w:val="left"/>
    </w:lvl>
    <w:lvl w:ilvl="8" w:tplc="CC102732">
      <w:numFmt w:val="decimal"/>
      <w:lvlText w:val=""/>
      <w:lvlJc w:val="left"/>
    </w:lvl>
  </w:abstractNum>
  <w:abstractNum w:abstractNumId="21" w15:restartNumberingAfterBreak="0">
    <w:nsid w:val="37574382"/>
    <w:multiLevelType w:val="hybridMultilevel"/>
    <w:tmpl w:val="392800A0"/>
    <w:lvl w:ilvl="0" w:tplc="6194D29A">
      <w:start w:val="1"/>
      <w:numFmt w:val="none"/>
      <w:lvlText w:val="•"/>
      <w:lvlJc w:val="left"/>
      <w:pPr>
        <w:tabs>
          <w:tab w:val="num" w:pos="1080"/>
        </w:tabs>
        <w:ind w:left="720" w:hanging="360"/>
      </w:pPr>
      <w:rPr>
        <w:rFonts w:ascii="Georgia" w:eastAsia="Georgia" w:hAnsi="Georgia" w:cs="Georgia"/>
      </w:rPr>
    </w:lvl>
    <w:lvl w:ilvl="1" w:tplc="1ACEA990">
      <w:numFmt w:val="decimal"/>
      <w:lvlText w:val=""/>
      <w:lvlJc w:val="left"/>
    </w:lvl>
    <w:lvl w:ilvl="2" w:tplc="90825336">
      <w:numFmt w:val="decimal"/>
      <w:lvlText w:val=""/>
      <w:lvlJc w:val="left"/>
    </w:lvl>
    <w:lvl w:ilvl="3" w:tplc="BF989B82">
      <w:numFmt w:val="decimal"/>
      <w:lvlText w:val=""/>
      <w:lvlJc w:val="left"/>
    </w:lvl>
    <w:lvl w:ilvl="4" w:tplc="4A88A3EE">
      <w:numFmt w:val="decimal"/>
      <w:lvlText w:val=""/>
      <w:lvlJc w:val="left"/>
    </w:lvl>
    <w:lvl w:ilvl="5" w:tplc="8CEE21AC">
      <w:numFmt w:val="decimal"/>
      <w:lvlText w:val=""/>
      <w:lvlJc w:val="left"/>
    </w:lvl>
    <w:lvl w:ilvl="6" w:tplc="39B2C4F8">
      <w:numFmt w:val="decimal"/>
      <w:lvlText w:val=""/>
      <w:lvlJc w:val="left"/>
    </w:lvl>
    <w:lvl w:ilvl="7" w:tplc="DD547DDA">
      <w:numFmt w:val="decimal"/>
      <w:lvlText w:val=""/>
      <w:lvlJc w:val="left"/>
    </w:lvl>
    <w:lvl w:ilvl="8" w:tplc="8B92C92C">
      <w:numFmt w:val="decimal"/>
      <w:lvlText w:val=""/>
      <w:lvlJc w:val="left"/>
    </w:lvl>
  </w:abstractNum>
  <w:abstractNum w:abstractNumId="22" w15:restartNumberingAfterBreak="0">
    <w:nsid w:val="3B67130F"/>
    <w:multiLevelType w:val="hybridMultilevel"/>
    <w:tmpl w:val="ADECD862"/>
    <w:lvl w:ilvl="0" w:tplc="A698B860">
      <w:start w:val="1"/>
      <w:numFmt w:val="bullet"/>
      <w:lvlText w:val=""/>
      <w:lvlJc w:val="left"/>
      <w:pPr>
        <w:tabs>
          <w:tab w:val="num" w:pos="1080"/>
        </w:tabs>
        <w:ind w:left="720" w:hanging="360"/>
      </w:pPr>
      <w:rPr>
        <w:rFonts w:ascii="Symbol" w:hAnsi="Symbol" w:hint="default"/>
      </w:rPr>
    </w:lvl>
    <w:lvl w:ilvl="1" w:tplc="AA60C69A">
      <w:numFmt w:val="decimal"/>
      <w:lvlText w:val=""/>
      <w:lvlJc w:val="left"/>
    </w:lvl>
    <w:lvl w:ilvl="2" w:tplc="9280CFC2">
      <w:numFmt w:val="decimal"/>
      <w:lvlText w:val=""/>
      <w:lvlJc w:val="left"/>
    </w:lvl>
    <w:lvl w:ilvl="3" w:tplc="ECFE68B2">
      <w:numFmt w:val="decimal"/>
      <w:lvlText w:val=""/>
      <w:lvlJc w:val="left"/>
    </w:lvl>
    <w:lvl w:ilvl="4" w:tplc="CA604ADE">
      <w:numFmt w:val="decimal"/>
      <w:lvlText w:val=""/>
      <w:lvlJc w:val="left"/>
    </w:lvl>
    <w:lvl w:ilvl="5" w:tplc="7E6467E4">
      <w:numFmt w:val="decimal"/>
      <w:lvlText w:val=""/>
      <w:lvlJc w:val="left"/>
    </w:lvl>
    <w:lvl w:ilvl="6" w:tplc="0322AFEC">
      <w:numFmt w:val="decimal"/>
      <w:lvlText w:val=""/>
      <w:lvlJc w:val="left"/>
    </w:lvl>
    <w:lvl w:ilvl="7" w:tplc="9E1AC418">
      <w:numFmt w:val="decimal"/>
      <w:lvlText w:val=""/>
      <w:lvlJc w:val="left"/>
    </w:lvl>
    <w:lvl w:ilvl="8" w:tplc="6B9E0D78">
      <w:numFmt w:val="decimal"/>
      <w:lvlText w:val=""/>
      <w:lvlJc w:val="left"/>
    </w:lvl>
  </w:abstractNum>
  <w:abstractNum w:abstractNumId="23" w15:restartNumberingAfterBreak="0">
    <w:nsid w:val="3DC32B32"/>
    <w:multiLevelType w:val="hybridMultilevel"/>
    <w:tmpl w:val="9D8A4F02"/>
    <w:lvl w:ilvl="0" w:tplc="96FA756A">
      <w:start w:val="1"/>
      <w:numFmt w:val="none"/>
      <w:lvlText w:val="•"/>
      <w:lvlJc w:val="left"/>
      <w:pPr>
        <w:tabs>
          <w:tab w:val="num" w:pos="1080"/>
        </w:tabs>
        <w:ind w:left="720" w:hanging="360"/>
      </w:pPr>
      <w:rPr>
        <w:rFonts w:ascii="Georgia" w:eastAsia="Georgia" w:hAnsi="Georgia" w:cs="Georgia"/>
      </w:rPr>
    </w:lvl>
    <w:lvl w:ilvl="1" w:tplc="CE2E4C18">
      <w:numFmt w:val="decimal"/>
      <w:lvlText w:val=""/>
      <w:lvlJc w:val="left"/>
    </w:lvl>
    <w:lvl w:ilvl="2" w:tplc="97D8B81E">
      <w:numFmt w:val="decimal"/>
      <w:lvlText w:val=""/>
      <w:lvlJc w:val="left"/>
    </w:lvl>
    <w:lvl w:ilvl="3" w:tplc="DF1028F2">
      <w:numFmt w:val="decimal"/>
      <w:lvlText w:val=""/>
      <w:lvlJc w:val="left"/>
    </w:lvl>
    <w:lvl w:ilvl="4" w:tplc="20EE9FCC">
      <w:numFmt w:val="decimal"/>
      <w:lvlText w:val=""/>
      <w:lvlJc w:val="left"/>
    </w:lvl>
    <w:lvl w:ilvl="5" w:tplc="BCD24E34">
      <w:numFmt w:val="decimal"/>
      <w:lvlText w:val=""/>
      <w:lvlJc w:val="left"/>
    </w:lvl>
    <w:lvl w:ilvl="6" w:tplc="9C947EB2">
      <w:numFmt w:val="decimal"/>
      <w:lvlText w:val=""/>
      <w:lvlJc w:val="left"/>
    </w:lvl>
    <w:lvl w:ilvl="7" w:tplc="DCE25446">
      <w:numFmt w:val="decimal"/>
      <w:lvlText w:val=""/>
      <w:lvlJc w:val="left"/>
    </w:lvl>
    <w:lvl w:ilvl="8" w:tplc="52E80C38">
      <w:numFmt w:val="decimal"/>
      <w:lvlText w:val=""/>
      <w:lvlJc w:val="left"/>
    </w:lvl>
  </w:abstractNum>
  <w:abstractNum w:abstractNumId="24" w15:restartNumberingAfterBreak="0">
    <w:nsid w:val="3F2C323D"/>
    <w:multiLevelType w:val="hybridMultilevel"/>
    <w:tmpl w:val="F67A6B88"/>
    <w:lvl w:ilvl="0" w:tplc="DA3E060A">
      <w:start w:val="1"/>
      <w:numFmt w:val="none"/>
      <w:lvlText w:val="•"/>
      <w:lvlJc w:val="left"/>
      <w:pPr>
        <w:tabs>
          <w:tab w:val="num" w:pos="1080"/>
        </w:tabs>
        <w:ind w:left="720" w:hanging="360"/>
      </w:pPr>
      <w:rPr>
        <w:rFonts w:ascii="Georgia" w:eastAsia="Georgia" w:hAnsi="Georgia" w:cs="Georgia"/>
      </w:rPr>
    </w:lvl>
    <w:lvl w:ilvl="1" w:tplc="17EAD10E">
      <w:numFmt w:val="decimal"/>
      <w:lvlText w:val=""/>
      <w:lvlJc w:val="left"/>
    </w:lvl>
    <w:lvl w:ilvl="2" w:tplc="A65CA84E">
      <w:numFmt w:val="decimal"/>
      <w:lvlText w:val=""/>
      <w:lvlJc w:val="left"/>
    </w:lvl>
    <w:lvl w:ilvl="3" w:tplc="3FBEB60C">
      <w:numFmt w:val="decimal"/>
      <w:lvlText w:val=""/>
      <w:lvlJc w:val="left"/>
    </w:lvl>
    <w:lvl w:ilvl="4" w:tplc="59BAA03A">
      <w:numFmt w:val="decimal"/>
      <w:lvlText w:val=""/>
      <w:lvlJc w:val="left"/>
    </w:lvl>
    <w:lvl w:ilvl="5" w:tplc="52EC8130">
      <w:numFmt w:val="decimal"/>
      <w:lvlText w:val=""/>
      <w:lvlJc w:val="left"/>
    </w:lvl>
    <w:lvl w:ilvl="6" w:tplc="B3288802">
      <w:numFmt w:val="decimal"/>
      <w:lvlText w:val=""/>
      <w:lvlJc w:val="left"/>
    </w:lvl>
    <w:lvl w:ilvl="7" w:tplc="4334A820">
      <w:numFmt w:val="decimal"/>
      <w:lvlText w:val=""/>
      <w:lvlJc w:val="left"/>
    </w:lvl>
    <w:lvl w:ilvl="8" w:tplc="4170B4C4">
      <w:numFmt w:val="decimal"/>
      <w:lvlText w:val=""/>
      <w:lvlJc w:val="left"/>
    </w:lvl>
  </w:abstractNum>
  <w:abstractNum w:abstractNumId="25" w15:restartNumberingAfterBreak="0">
    <w:nsid w:val="3FDF07EB"/>
    <w:multiLevelType w:val="hybridMultilevel"/>
    <w:tmpl w:val="F38037B4"/>
    <w:lvl w:ilvl="0" w:tplc="6756C52C">
      <w:start w:val="1"/>
      <w:numFmt w:val="bullet"/>
      <w:lvlText w:val=""/>
      <w:lvlJc w:val="left"/>
      <w:pPr>
        <w:tabs>
          <w:tab w:val="num" w:pos="1080"/>
        </w:tabs>
        <w:ind w:left="720" w:hanging="360"/>
      </w:pPr>
      <w:rPr>
        <w:rFonts w:ascii="Symbol" w:hAnsi="Symbol" w:hint="default"/>
      </w:rPr>
    </w:lvl>
    <w:lvl w:ilvl="1" w:tplc="B3B2386C">
      <w:numFmt w:val="decimal"/>
      <w:lvlText w:val=""/>
      <w:lvlJc w:val="left"/>
    </w:lvl>
    <w:lvl w:ilvl="2" w:tplc="0EF8B5EA">
      <w:numFmt w:val="decimal"/>
      <w:lvlText w:val=""/>
      <w:lvlJc w:val="left"/>
    </w:lvl>
    <w:lvl w:ilvl="3" w:tplc="41FAA760">
      <w:numFmt w:val="decimal"/>
      <w:lvlText w:val=""/>
      <w:lvlJc w:val="left"/>
    </w:lvl>
    <w:lvl w:ilvl="4" w:tplc="A8B8135A">
      <w:numFmt w:val="decimal"/>
      <w:lvlText w:val=""/>
      <w:lvlJc w:val="left"/>
    </w:lvl>
    <w:lvl w:ilvl="5" w:tplc="B93261CE">
      <w:numFmt w:val="decimal"/>
      <w:lvlText w:val=""/>
      <w:lvlJc w:val="left"/>
    </w:lvl>
    <w:lvl w:ilvl="6" w:tplc="95241022">
      <w:numFmt w:val="decimal"/>
      <w:lvlText w:val=""/>
      <w:lvlJc w:val="left"/>
    </w:lvl>
    <w:lvl w:ilvl="7" w:tplc="2EC23DE6">
      <w:numFmt w:val="decimal"/>
      <w:lvlText w:val=""/>
      <w:lvlJc w:val="left"/>
    </w:lvl>
    <w:lvl w:ilvl="8" w:tplc="EC9A904A">
      <w:numFmt w:val="decimal"/>
      <w:lvlText w:val=""/>
      <w:lvlJc w:val="left"/>
    </w:lvl>
  </w:abstractNum>
  <w:abstractNum w:abstractNumId="26" w15:restartNumberingAfterBreak="0">
    <w:nsid w:val="414823A8"/>
    <w:multiLevelType w:val="hybridMultilevel"/>
    <w:tmpl w:val="51963D4C"/>
    <w:lvl w:ilvl="0" w:tplc="206E7B88">
      <w:start w:val="1"/>
      <w:numFmt w:val="decimal"/>
      <w:lvlText w:val="%1."/>
      <w:lvlJc w:val="left"/>
      <w:pPr>
        <w:tabs>
          <w:tab w:val="num" w:pos="1080"/>
        </w:tabs>
        <w:ind w:left="720" w:hanging="360"/>
      </w:pPr>
    </w:lvl>
    <w:lvl w:ilvl="1" w:tplc="8ACA067C">
      <w:numFmt w:val="decimal"/>
      <w:lvlText w:val=""/>
      <w:lvlJc w:val="left"/>
    </w:lvl>
    <w:lvl w:ilvl="2" w:tplc="FD1CD92E">
      <w:numFmt w:val="decimal"/>
      <w:lvlText w:val=""/>
      <w:lvlJc w:val="left"/>
    </w:lvl>
    <w:lvl w:ilvl="3" w:tplc="4DDC5102">
      <w:numFmt w:val="decimal"/>
      <w:lvlText w:val=""/>
      <w:lvlJc w:val="left"/>
    </w:lvl>
    <w:lvl w:ilvl="4" w:tplc="0D8612D2">
      <w:numFmt w:val="decimal"/>
      <w:lvlText w:val=""/>
      <w:lvlJc w:val="left"/>
    </w:lvl>
    <w:lvl w:ilvl="5" w:tplc="433CA40C">
      <w:numFmt w:val="decimal"/>
      <w:lvlText w:val=""/>
      <w:lvlJc w:val="left"/>
    </w:lvl>
    <w:lvl w:ilvl="6" w:tplc="08D06190">
      <w:numFmt w:val="decimal"/>
      <w:lvlText w:val=""/>
      <w:lvlJc w:val="left"/>
    </w:lvl>
    <w:lvl w:ilvl="7" w:tplc="32206B94">
      <w:numFmt w:val="decimal"/>
      <w:lvlText w:val=""/>
      <w:lvlJc w:val="left"/>
    </w:lvl>
    <w:lvl w:ilvl="8" w:tplc="7F161436">
      <w:numFmt w:val="decimal"/>
      <w:lvlText w:val=""/>
      <w:lvlJc w:val="left"/>
    </w:lvl>
  </w:abstractNum>
  <w:abstractNum w:abstractNumId="27" w15:restartNumberingAfterBreak="0">
    <w:nsid w:val="41B45906"/>
    <w:multiLevelType w:val="hybridMultilevel"/>
    <w:tmpl w:val="07D259C6"/>
    <w:lvl w:ilvl="0" w:tplc="64B00D58">
      <w:start w:val="1"/>
      <w:numFmt w:val="none"/>
      <w:lvlText w:val="•"/>
      <w:lvlJc w:val="left"/>
      <w:pPr>
        <w:tabs>
          <w:tab w:val="num" w:pos="1080"/>
        </w:tabs>
        <w:ind w:left="720" w:hanging="360"/>
      </w:pPr>
      <w:rPr>
        <w:rFonts w:ascii="Georgia" w:eastAsia="Georgia" w:hAnsi="Georgia" w:cs="Georgia"/>
      </w:rPr>
    </w:lvl>
    <w:lvl w:ilvl="1" w:tplc="3A124F9C">
      <w:numFmt w:val="decimal"/>
      <w:lvlText w:val=""/>
      <w:lvlJc w:val="left"/>
    </w:lvl>
    <w:lvl w:ilvl="2" w:tplc="7C86B09E">
      <w:numFmt w:val="decimal"/>
      <w:lvlText w:val=""/>
      <w:lvlJc w:val="left"/>
    </w:lvl>
    <w:lvl w:ilvl="3" w:tplc="356A84F4">
      <w:numFmt w:val="decimal"/>
      <w:lvlText w:val=""/>
      <w:lvlJc w:val="left"/>
    </w:lvl>
    <w:lvl w:ilvl="4" w:tplc="19C04C94">
      <w:numFmt w:val="decimal"/>
      <w:lvlText w:val=""/>
      <w:lvlJc w:val="left"/>
    </w:lvl>
    <w:lvl w:ilvl="5" w:tplc="34D0972E">
      <w:numFmt w:val="decimal"/>
      <w:lvlText w:val=""/>
      <w:lvlJc w:val="left"/>
    </w:lvl>
    <w:lvl w:ilvl="6" w:tplc="2C30AEAE">
      <w:numFmt w:val="decimal"/>
      <w:lvlText w:val=""/>
      <w:lvlJc w:val="left"/>
    </w:lvl>
    <w:lvl w:ilvl="7" w:tplc="B8785C7A">
      <w:numFmt w:val="decimal"/>
      <w:lvlText w:val=""/>
      <w:lvlJc w:val="left"/>
    </w:lvl>
    <w:lvl w:ilvl="8" w:tplc="2D14BBC6">
      <w:numFmt w:val="decimal"/>
      <w:lvlText w:val=""/>
      <w:lvlJc w:val="left"/>
    </w:lvl>
  </w:abstractNum>
  <w:abstractNum w:abstractNumId="28" w15:restartNumberingAfterBreak="0">
    <w:nsid w:val="49D11CEC"/>
    <w:multiLevelType w:val="hybridMultilevel"/>
    <w:tmpl w:val="8B5E4166"/>
    <w:lvl w:ilvl="0" w:tplc="7BDADBB2">
      <w:start w:val="1"/>
      <w:numFmt w:val="bullet"/>
      <w:lvlText w:val=""/>
      <w:lvlJc w:val="left"/>
      <w:pPr>
        <w:tabs>
          <w:tab w:val="num" w:pos="1080"/>
        </w:tabs>
        <w:ind w:left="720" w:hanging="360"/>
      </w:pPr>
      <w:rPr>
        <w:rFonts w:ascii="Symbol" w:hAnsi="Symbol" w:hint="default"/>
      </w:rPr>
    </w:lvl>
    <w:lvl w:ilvl="1" w:tplc="EA963DC2">
      <w:numFmt w:val="decimal"/>
      <w:lvlText w:val=""/>
      <w:lvlJc w:val="left"/>
    </w:lvl>
    <w:lvl w:ilvl="2" w:tplc="C52C9E9C">
      <w:numFmt w:val="decimal"/>
      <w:lvlText w:val=""/>
      <w:lvlJc w:val="left"/>
    </w:lvl>
    <w:lvl w:ilvl="3" w:tplc="38EACA9A">
      <w:numFmt w:val="decimal"/>
      <w:lvlText w:val=""/>
      <w:lvlJc w:val="left"/>
    </w:lvl>
    <w:lvl w:ilvl="4" w:tplc="192C1642">
      <w:numFmt w:val="decimal"/>
      <w:lvlText w:val=""/>
      <w:lvlJc w:val="left"/>
    </w:lvl>
    <w:lvl w:ilvl="5" w:tplc="657EED76">
      <w:numFmt w:val="decimal"/>
      <w:lvlText w:val=""/>
      <w:lvlJc w:val="left"/>
    </w:lvl>
    <w:lvl w:ilvl="6" w:tplc="8FE4A9C8">
      <w:numFmt w:val="decimal"/>
      <w:lvlText w:val=""/>
      <w:lvlJc w:val="left"/>
    </w:lvl>
    <w:lvl w:ilvl="7" w:tplc="F6D03FEE">
      <w:numFmt w:val="decimal"/>
      <w:lvlText w:val=""/>
      <w:lvlJc w:val="left"/>
    </w:lvl>
    <w:lvl w:ilvl="8" w:tplc="F9DCEFC6">
      <w:numFmt w:val="decimal"/>
      <w:lvlText w:val=""/>
      <w:lvlJc w:val="left"/>
    </w:lvl>
  </w:abstractNum>
  <w:abstractNum w:abstractNumId="29" w15:restartNumberingAfterBreak="0">
    <w:nsid w:val="49F17003"/>
    <w:multiLevelType w:val="hybridMultilevel"/>
    <w:tmpl w:val="06A4141E"/>
    <w:lvl w:ilvl="0" w:tplc="26C0ED30">
      <w:start w:val="1"/>
      <w:numFmt w:val="bullet"/>
      <w:lvlText w:val=""/>
      <w:lvlJc w:val="left"/>
      <w:pPr>
        <w:tabs>
          <w:tab w:val="num" w:pos="1080"/>
        </w:tabs>
        <w:ind w:left="720" w:hanging="360"/>
      </w:pPr>
      <w:rPr>
        <w:rFonts w:ascii="Symbol" w:hAnsi="Symbol" w:hint="default"/>
      </w:rPr>
    </w:lvl>
    <w:lvl w:ilvl="1" w:tplc="FB98AD76">
      <w:numFmt w:val="decimal"/>
      <w:lvlText w:val=""/>
      <w:lvlJc w:val="left"/>
    </w:lvl>
    <w:lvl w:ilvl="2" w:tplc="30849AD6">
      <w:numFmt w:val="decimal"/>
      <w:lvlText w:val=""/>
      <w:lvlJc w:val="left"/>
    </w:lvl>
    <w:lvl w:ilvl="3" w:tplc="78248DCC">
      <w:numFmt w:val="decimal"/>
      <w:lvlText w:val=""/>
      <w:lvlJc w:val="left"/>
    </w:lvl>
    <w:lvl w:ilvl="4" w:tplc="4CFAA608">
      <w:numFmt w:val="decimal"/>
      <w:lvlText w:val=""/>
      <w:lvlJc w:val="left"/>
    </w:lvl>
    <w:lvl w:ilvl="5" w:tplc="08C48F72">
      <w:numFmt w:val="decimal"/>
      <w:lvlText w:val=""/>
      <w:lvlJc w:val="left"/>
    </w:lvl>
    <w:lvl w:ilvl="6" w:tplc="716E2532">
      <w:numFmt w:val="decimal"/>
      <w:lvlText w:val=""/>
      <w:lvlJc w:val="left"/>
    </w:lvl>
    <w:lvl w:ilvl="7" w:tplc="5F188B5E">
      <w:numFmt w:val="decimal"/>
      <w:lvlText w:val=""/>
      <w:lvlJc w:val="left"/>
    </w:lvl>
    <w:lvl w:ilvl="8" w:tplc="180A86F6">
      <w:numFmt w:val="decimal"/>
      <w:lvlText w:val=""/>
      <w:lvlJc w:val="left"/>
    </w:lvl>
  </w:abstractNum>
  <w:abstractNum w:abstractNumId="30" w15:restartNumberingAfterBreak="0">
    <w:nsid w:val="5012019D"/>
    <w:multiLevelType w:val="hybridMultilevel"/>
    <w:tmpl w:val="27F2BB96"/>
    <w:lvl w:ilvl="0" w:tplc="190A1964">
      <w:start w:val="1"/>
      <w:numFmt w:val="bullet"/>
      <w:lvlText w:val=""/>
      <w:lvlJc w:val="left"/>
      <w:pPr>
        <w:tabs>
          <w:tab w:val="num" w:pos="1080"/>
        </w:tabs>
        <w:ind w:left="720" w:hanging="360"/>
      </w:pPr>
      <w:rPr>
        <w:rFonts w:ascii="Symbol" w:hAnsi="Symbol" w:hint="default"/>
      </w:rPr>
    </w:lvl>
    <w:lvl w:ilvl="1" w:tplc="7BE4520C">
      <w:numFmt w:val="decimal"/>
      <w:lvlText w:val=""/>
      <w:lvlJc w:val="left"/>
    </w:lvl>
    <w:lvl w:ilvl="2" w:tplc="EE5CD58E">
      <w:numFmt w:val="decimal"/>
      <w:lvlText w:val=""/>
      <w:lvlJc w:val="left"/>
    </w:lvl>
    <w:lvl w:ilvl="3" w:tplc="50867700">
      <w:numFmt w:val="decimal"/>
      <w:lvlText w:val=""/>
      <w:lvlJc w:val="left"/>
    </w:lvl>
    <w:lvl w:ilvl="4" w:tplc="D108C226">
      <w:numFmt w:val="decimal"/>
      <w:lvlText w:val=""/>
      <w:lvlJc w:val="left"/>
    </w:lvl>
    <w:lvl w:ilvl="5" w:tplc="D97888CE">
      <w:numFmt w:val="decimal"/>
      <w:lvlText w:val=""/>
      <w:lvlJc w:val="left"/>
    </w:lvl>
    <w:lvl w:ilvl="6" w:tplc="B0FEA6D8">
      <w:numFmt w:val="decimal"/>
      <w:lvlText w:val=""/>
      <w:lvlJc w:val="left"/>
    </w:lvl>
    <w:lvl w:ilvl="7" w:tplc="3148E364">
      <w:numFmt w:val="decimal"/>
      <w:lvlText w:val=""/>
      <w:lvlJc w:val="left"/>
    </w:lvl>
    <w:lvl w:ilvl="8" w:tplc="2CC60756">
      <w:numFmt w:val="decimal"/>
      <w:lvlText w:val=""/>
      <w:lvlJc w:val="left"/>
    </w:lvl>
  </w:abstractNum>
  <w:abstractNum w:abstractNumId="31" w15:restartNumberingAfterBreak="0">
    <w:nsid w:val="510B4C8B"/>
    <w:multiLevelType w:val="hybridMultilevel"/>
    <w:tmpl w:val="8F6ED9A2"/>
    <w:lvl w:ilvl="0" w:tplc="D2660C5A">
      <w:start w:val="1"/>
      <w:numFmt w:val="bullet"/>
      <w:lvlText w:val=""/>
      <w:lvlJc w:val="left"/>
      <w:pPr>
        <w:tabs>
          <w:tab w:val="num" w:pos="1080"/>
        </w:tabs>
        <w:ind w:left="720" w:hanging="360"/>
      </w:pPr>
      <w:rPr>
        <w:rFonts w:ascii="Symbol" w:hAnsi="Symbol" w:hint="default"/>
      </w:rPr>
    </w:lvl>
    <w:lvl w:ilvl="1" w:tplc="361E74F4">
      <w:numFmt w:val="decimal"/>
      <w:lvlText w:val=""/>
      <w:lvlJc w:val="left"/>
    </w:lvl>
    <w:lvl w:ilvl="2" w:tplc="1424F2CE">
      <w:numFmt w:val="decimal"/>
      <w:lvlText w:val=""/>
      <w:lvlJc w:val="left"/>
    </w:lvl>
    <w:lvl w:ilvl="3" w:tplc="71CAC812">
      <w:numFmt w:val="decimal"/>
      <w:lvlText w:val=""/>
      <w:lvlJc w:val="left"/>
    </w:lvl>
    <w:lvl w:ilvl="4" w:tplc="FFE475CC">
      <w:numFmt w:val="decimal"/>
      <w:lvlText w:val=""/>
      <w:lvlJc w:val="left"/>
    </w:lvl>
    <w:lvl w:ilvl="5" w:tplc="82FA2E6A">
      <w:numFmt w:val="decimal"/>
      <w:lvlText w:val=""/>
      <w:lvlJc w:val="left"/>
    </w:lvl>
    <w:lvl w:ilvl="6" w:tplc="F4980510">
      <w:numFmt w:val="decimal"/>
      <w:lvlText w:val=""/>
      <w:lvlJc w:val="left"/>
    </w:lvl>
    <w:lvl w:ilvl="7" w:tplc="AC92F4D8">
      <w:numFmt w:val="decimal"/>
      <w:lvlText w:val=""/>
      <w:lvlJc w:val="left"/>
    </w:lvl>
    <w:lvl w:ilvl="8" w:tplc="85ACB0FE">
      <w:numFmt w:val="decimal"/>
      <w:lvlText w:val=""/>
      <w:lvlJc w:val="left"/>
    </w:lvl>
  </w:abstractNum>
  <w:abstractNum w:abstractNumId="32" w15:restartNumberingAfterBreak="0">
    <w:nsid w:val="51166D9A"/>
    <w:multiLevelType w:val="hybridMultilevel"/>
    <w:tmpl w:val="E38E74DA"/>
    <w:lvl w:ilvl="0" w:tplc="3D9C1778">
      <w:start w:val="1"/>
      <w:numFmt w:val="decimal"/>
      <w:lvlText w:val="%1."/>
      <w:lvlJc w:val="left"/>
      <w:pPr>
        <w:tabs>
          <w:tab w:val="num" w:pos="1080"/>
        </w:tabs>
        <w:ind w:left="720" w:hanging="360"/>
      </w:pPr>
    </w:lvl>
    <w:lvl w:ilvl="1" w:tplc="D2F23F88">
      <w:numFmt w:val="decimal"/>
      <w:lvlText w:val=""/>
      <w:lvlJc w:val="left"/>
    </w:lvl>
    <w:lvl w:ilvl="2" w:tplc="AF0267FA">
      <w:numFmt w:val="decimal"/>
      <w:lvlText w:val=""/>
      <w:lvlJc w:val="left"/>
    </w:lvl>
    <w:lvl w:ilvl="3" w:tplc="5750057C">
      <w:numFmt w:val="decimal"/>
      <w:lvlText w:val=""/>
      <w:lvlJc w:val="left"/>
    </w:lvl>
    <w:lvl w:ilvl="4" w:tplc="A712CAD0">
      <w:numFmt w:val="decimal"/>
      <w:lvlText w:val=""/>
      <w:lvlJc w:val="left"/>
    </w:lvl>
    <w:lvl w:ilvl="5" w:tplc="4490B40C">
      <w:numFmt w:val="decimal"/>
      <w:lvlText w:val=""/>
      <w:lvlJc w:val="left"/>
    </w:lvl>
    <w:lvl w:ilvl="6" w:tplc="A67C6328">
      <w:numFmt w:val="decimal"/>
      <w:lvlText w:val=""/>
      <w:lvlJc w:val="left"/>
    </w:lvl>
    <w:lvl w:ilvl="7" w:tplc="68564C42">
      <w:numFmt w:val="decimal"/>
      <w:lvlText w:val=""/>
      <w:lvlJc w:val="left"/>
    </w:lvl>
    <w:lvl w:ilvl="8" w:tplc="D0DC0BD8">
      <w:numFmt w:val="decimal"/>
      <w:lvlText w:val=""/>
      <w:lvlJc w:val="left"/>
    </w:lvl>
  </w:abstractNum>
  <w:abstractNum w:abstractNumId="33" w15:restartNumberingAfterBreak="0">
    <w:nsid w:val="54A7448F"/>
    <w:multiLevelType w:val="hybridMultilevel"/>
    <w:tmpl w:val="C2F48C96"/>
    <w:lvl w:ilvl="0" w:tplc="D480DE2E">
      <w:start w:val="1"/>
      <w:numFmt w:val="bullet"/>
      <w:lvlText w:val=""/>
      <w:lvlJc w:val="left"/>
      <w:pPr>
        <w:tabs>
          <w:tab w:val="num" w:pos="1080"/>
        </w:tabs>
        <w:ind w:left="720" w:hanging="360"/>
      </w:pPr>
      <w:rPr>
        <w:rFonts w:ascii="Symbol" w:hAnsi="Symbol" w:hint="default"/>
      </w:rPr>
    </w:lvl>
    <w:lvl w:ilvl="1" w:tplc="0FFA6152">
      <w:numFmt w:val="decimal"/>
      <w:lvlText w:val=""/>
      <w:lvlJc w:val="left"/>
    </w:lvl>
    <w:lvl w:ilvl="2" w:tplc="E3B66120">
      <w:numFmt w:val="decimal"/>
      <w:lvlText w:val=""/>
      <w:lvlJc w:val="left"/>
    </w:lvl>
    <w:lvl w:ilvl="3" w:tplc="A20C1BE2">
      <w:numFmt w:val="decimal"/>
      <w:lvlText w:val=""/>
      <w:lvlJc w:val="left"/>
    </w:lvl>
    <w:lvl w:ilvl="4" w:tplc="2500C412">
      <w:numFmt w:val="decimal"/>
      <w:lvlText w:val=""/>
      <w:lvlJc w:val="left"/>
    </w:lvl>
    <w:lvl w:ilvl="5" w:tplc="99921A5E">
      <w:numFmt w:val="decimal"/>
      <w:lvlText w:val=""/>
      <w:lvlJc w:val="left"/>
    </w:lvl>
    <w:lvl w:ilvl="6" w:tplc="E4005C3C">
      <w:numFmt w:val="decimal"/>
      <w:lvlText w:val=""/>
      <w:lvlJc w:val="left"/>
    </w:lvl>
    <w:lvl w:ilvl="7" w:tplc="003E8E92">
      <w:numFmt w:val="decimal"/>
      <w:lvlText w:val=""/>
      <w:lvlJc w:val="left"/>
    </w:lvl>
    <w:lvl w:ilvl="8" w:tplc="D93C8332">
      <w:numFmt w:val="decimal"/>
      <w:lvlText w:val=""/>
      <w:lvlJc w:val="left"/>
    </w:lvl>
  </w:abstractNum>
  <w:abstractNum w:abstractNumId="34" w15:restartNumberingAfterBreak="0">
    <w:nsid w:val="59630566"/>
    <w:multiLevelType w:val="hybridMultilevel"/>
    <w:tmpl w:val="90AEF900"/>
    <w:lvl w:ilvl="0" w:tplc="33FCBD7A">
      <w:start w:val="1"/>
      <w:numFmt w:val="bullet"/>
      <w:lvlText w:val=""/>
      <w:lvlJc w:val="left"/>
      <w:pPr>
        <w:tabs>
          <w:tab w:val="num" w:pos="1080"/>
        </w:tabs>
        <w:ind w:left="720" w:hanging="360"/>
      </w:pPr>
      <w:rPr>
        <w:rFonts w:ascii="Symbol" w:hAnsi="Symbol" w:hint="default"/>
      </w:rPr>
    </w:lvl>
    <w:lvl w:ilvl="1" w:tplc="70B8E19C">
      <w:numFmt w:val="decimal"/>
      <w:lvlText w:val=""/>
      <w:lvlJc w:val="left"/>
    </w:lvl>
    <w:lvl w:ilvl="2" w:tplc="CE262D32">
      <w:numFmt w:val="decimal"/>
      <w:lvlText w:val=""/>
      <w:lvlJc w:val="left"/>
    </w:lvl>
    <w:lvl w:ilvl="3" w:tplc="33244548">
      <w:numFmt w:val="decimal"/>
      <w:lvlText w:val=""/>
      <w:lvlJc w:val="left"/>
    </w:lvl>
    <w:lvl w:ilvl="4" w:tplc="2A08CA58">
      <w:numFmt w:val="decimal"/>
      <w:lvlText w:val=""/>
      <w:lvlJc w:val="left"/>
    </w:lvl>
    <w:lvl w:ilvl="5" w:tplc="46C8D9C2">
      <w:numFmt w:val="decimal"/>
      <w:lvlText w:val=""/>
      <w:lvlJc w:val="left"/>
    </w:lvl>
    <w:lvl w:ilvl="6" w:tplc="6644CD80">
      <w:numFmt w:val="decimal"/>
      <w:lvlText w:val=""/>
      <w:lvlJc w:val="left"/>
    </w:lvl>
    <w:lvl w:ilvl="7" w:tplc="43CC4C66">
      <w:numFmt w:val="decimal"/>
      <w:lvlText w:val=""/>
      <w:lvlJc w:val="left"/>
    </w:lvl>
    <w:lvl w:ilvl="8" w:tplc="661244F0">
      <w:numFmt w:val="decimal"/>
      <w:lvlText w:val=""/>
      <w:lvlJc w:val="left"/>
    </w:lvl>
  </w:abstractNum>
  <w:abstractNum w:abstractNumId="35" w15:restartNumberingAfterBreak="0">
    <w:nsid w:val="5A023E2C"/>
    <w:multiLevelType w:val="hybridMultilevel"/>
    <w:tmpl w:val="BEF082B6"/>
    <w:lvl w:ilvl="0" w:tplc="E6CCA6E2">
      <w:start w:val="1"/>
      <w:numFmt w:val="none"/>
      <w:lvlText w:val="•"/>
      <w:lvlJc w:val="left"/>
      <w:pPr>
        <w:tabs>
          <w:tab w:val="num" w:pos="1080"/>
        </w:tabs>
        <w:ind w:left="720" w:hanging="360"/>
      </w:pPr>
      <w:rPr>
        <w:rFonts w:ascii="Georgia" w:eastAsia="Georgia" w:hAnsi="Georgia" w:cs="Georgia"/>
      </w:rPr>
    </w:lvl>
    <w:lvl w:ilvl="1" w:tplc="BD0AE088">
      <w:numFmt w:val="decimal"/>
      <w:lvlText w:val=""/>
      <w:lvlJc w:val="left"/>
    </w:lvl>
    <w:lvl w:ilvl="2" w:tplc="813E9392">
      <w:numFmt w:val="decimal"/>
      <w:lvlText w:val=""/>
      <w:lvlJc w:val="left"/>
    </w:lvl>
    <w:lvl w:ilvl="3" w:tplc="D2B03D1C">
      <w:numFmt w:val="decimal"/>
      <w:lvlText w:val=""/>
      <w:lvlJc w:val="left"/>
    </w:lvl>
    <w:lvl w:ilvl="4" w:tplc="D8108614">
      <w:numFmt w:val="decimal"/>
      <w:lvlText w:val=""/>
      <w:lvlJc w:val="left"/>
    </w:lvl>
    <w:lvl w:ilvl="5" w:tplc="173CB378">
      <w:numFmt w:val="decimal"/>
      <w:lvlText w:val=""/>
      <w:lvlJc w:val="left"/>
    </w:lvl>
    <w:lvl w:ilvl="6" w:tplc="A4A6F162">
      <w:numFmt w:val="decimal"/>
      <w:lvlText w:val=""/>
      <w:lvlJc w:val="left"/>
    </w:lvl>
    <w:lvl w:ilvl="7" w:tplc="E2EC1142">
      <w:numFmt w:val="decimal"/>
      <w:lvlText w:val=""/>
      <w:lvlJc w:val="left"/>
    </w:lvl>
    <w:lvl w:ilvl="8" w:tplc="54E087CC">
      <w:numFmt w:val="decimal"/>
      <w:lvlText w:val=""/>
      <w:lvlJc w:val="left"/>
    </w:lvl>
  </w:abstractNum>
  <w:abstractNum w:abstractNumId="36" w15:restartNumberingAfterBreak="0">
    <w:nsid w:val="5C2C3AD5"/>
    <w:multiLevelType w:val="hybridMultilevel"/>
    <w:tmpl w:val="5FF0DFEE"/>
    <w:lvl w:ilvl="0" w:tplc="5BE012D8">
      <w:start w:val="1"/>
      <w:numFmt w:val="bullet"/>
      <w:lvlText w:val=""/>
      <w:lvlJc w:val="left"/>
      <w:pPr>
        <w:tabs>
          <w:tab w:val="num" w:pos="1080"/>
        </w:tabs>
        <w:ind w:left="720" w:hanging="360"/>
      </w:pPr>
      <w:rPr>
        <w:rFonts w:ascii="Symbol" w:hAnsi="Symbol" w:hint="default"/>
      </w:rPr>
    </w:lvl>
    <w:lvl w:ilvl="1" w:tplc="48EAA08C">
      <w:numFmt w:val="decimal"/>
      <w:lvlText w:val=""/>
      <w:lvlJc w:val="left"/>
    </w:lvl>
    <w:lvl w:ilvl="2" w:tplc="9C38ABD2">
      <w:numFmt w:val="decimal"/>
      <w:lvlText w:val=""/>
      <w:lvlJc w:val="left"/>
    </w:lvl>
    <w:lvl w:ilvl="3" w:tplc="15D86CA0">
      <w:numFmt w:val="decimal"/>
      <w:lvlText w:val=""/>
      <w:lvlJc w:val="left"/>
    </w:lvl>
    <w:lvl w:ilvl="4" w:tplc="D53AA14C">
      <w:numFmt w:val="decimal"/>
      <w:lvlText w:val=""/>
      <w:lvlJc w:val="left"/>
    </w:lvl>
    <w:lvl w:ilvl="5" w:tplc="585E7C58">
      <w:numFmt w:val="decimal"/>
      <w:lvlText w:val=""/>
      <w:lvlJc w:val="left"/>
    </w:lvl>
    <w:lvl w:ilvl="6" w:tplc="E22C308E">
      <w:numFmt w:val="decimal"/>
      <w:lvlText w:val=""/>
      <w:lvlJc w:val="left"/>
    </w:lvl>
    <w:lvl w:ilvl="7" w:tplc="2B1EAC1E">
      <w:numFmt w:val="decimal"/>
      <w:lvlText w:val=""/>
      <w:lvlJc w:val="left"/>
    </w:lvl>
    <w:lvl w:ilvl="8" w:tplc="74765350">
      <w:numFmt w:val="decimal"/>
      <w:lvlText w:val=""/>
      <w:lvlJc w:val="left"/>
    </w:lvl>
  </w:abstractNum>
  <w:abstractNum w:abstractNumId="37" w15:restartNumberingAfterBreak="0">
    <w:nsid w:val="61414582"/>
    <w:multiLevelType w:val="hybridMultilevel"/>
    <w:tmpl w:val="B89A7752"/>
    <w:lvl w:ilvl="0" w:tplc="0A3A999A">
      <w:start w:val="1"/>
      <w:numFmt w:val="none"/>
      <w:lvlText w:val="•"/>
      <w:lvlJc w:val="left"/>
      <w:pPr>
        <w:tabs>
          <w:tab w:val="num" w:pos="1080"/>
        </w:tabs>
        <w:ind w:left="720" w:hanging="360"/>
      </w:pPr>
      <w:rPr>
        <w:rFonts w:ascii="Georgia" w:eastAsia="Georgia" w:hAnsi="Georgia" w:cs="Georgia"/>
      </w:rPr>
    </w:lvl>
    <w:lvl w:ilvl="1" w:tplc="52F27300">
      <w:numFmt w:val="decimal"/>
      <w:lvlText w:val=""/>
      <w:lvlJc w:val="left"/>
    </w:lvl>
    <w:lvl w:ilvl="2" w:tplc="43522552">
      <w:numFmt w:val="decimal"/>
      <w:lvlText w:val=""/>
      <w:lvlJc w:val="left"/>
    </w:lvl>
    <w:lvl w:ilvl="3" w:tplc="324CFD34">
      <w:numFmt w:val="decimal"/>
      <w:lvlText w:val=""/>
      <w:lvlJc w:val="left"/>
    </w:lvl>
    <w:lvl w:ilvl="4" w:tplc="4CB4EB88">
      <w:numFmt w:val="decimal"/>
      <w:lvlText w:val=""/>
      <w:lvlJc w:val="left"/>
    </w:lvl>
    <w:lvl w:ilvl="5" w:tplc="78467C64">
      <w:numFmt w:val="decimal"/>
      <w:lvlText w:val=""/>
      <w:lvlJc w:val="left"/>
    </w:lvl>
    <w:lvl w:ilvl="6" w:tplc="6CF45E26">
      <w:numFmt w:val="decimal"/>
      <w:lvlText w:val=""/>
      <w:lvlJc w:val="left"/>
    </w:lvl>
    <w:lvl w:ilvl="7" w:tplc="51603BAA">
      <w:numFmt w:val="decimal"/>
      <w:lvlText w:val=""/>
      <w:lvlJc w:val="left"/>
    </w:lvl>
    <w:lvl w:ilvl="8" w:tplc="720E155C">
      <w:numFmt w:val="decimal"/>
      <w:lvlText w:val=""/>
      <w:lvlJc w:val="left"/>
    </w:lvl>
  </w:abstractNum>
  <w:abstractNum w:abstractNumId="38" w15:restartNumberingAfterBreak="0">
    <w:nsid w:val="61EB4DA7"/>
    <w:multiLevelType w:val="hybridMultilevel"/>
    <w:tmpl w:val="A1304CAE"/>
    <w:lvl w:ilvl="0" w:tplc="2F8C9E1E">
      <w:start w:val="1"/>
      <w:numFmt w:val="decimal"/>
      <w:lvlText w:val="%1."/>
      <w:lvlJc w:val="left"/>
      <w:pPr>
        <w:tabs>
          <w:tab w:val="num" w:pos="1080"/>
        </w:tabs>
        <w:ind w:left="720" w:hanging="360"/>
      </w:pPr>
    </w:lvl>
    <w:lvl w:ilvl="1" w:tplc="921261BE">
      <w:numFmt w:val="decimal"/>
      <w:lvlText w:val=""/>
      <w:lvlJc w:val="left"/>
    </w:lvl>
    <w:lvl w:ilvl="2" w:tplc="53381AC4">
      <w:numFmt w:val="decimal"/>
      <w:lvlText w:val=""/>
      <w:lvlJc w:val="left"/>
    </w:lvl>
    <w:lvl w:ilvl="3" w:tplc="1A0CB87C">
      <w:numFmt w:val="decimal"/>
      <w:lvlText w:val=""/>
      <w:lvlJc w:val="left"/>
    </w:lvl>
    <w:lvl w:ilvl="4" w:tplc="F34C45DE">
      <w:numFmt w:val="decimal"/>
      <w:lvlText w:val=""/>
      <w:lvlJc w:val="left"/>
    </w:lvl>
    <w:lvl w:ilvl="5" w:tplc="C3763C46">
      <w:numFmt w:val="decimal"/>
      <w:lvlText w:val=""/>
      <w:lvlJc w:val="left"/>
    </w:lvl>
    <w:lvl w:ilvl="6" w:tplc="B1B28340">
      <w:numFmt w:val="decimal"/>
      <w:lvlText w:val=""/>
      <w:lvlJc w:val="left"/>
    </w:lvl>
    <w:lvl w:ilvl="7" w:tplc="A700545E">
      <w:numFmt w:val="decimal"/>
      <w:lvlText w:val=""/>
      <w:lvlJc w:val="left"/>
    </w:lvl>
    <w:lvl w:ilvl="8" w:tplc="2118F8A4">
      <w:numFmt w:val="decimal"/>
      <w:lvlText w:val=""/>
      <w:lvlJc w:val="left"/>
    </w:lvl>
  </w:abstractNum>
  <w:abstractNum w:abstractNumId="39" w15:restartNumberingAfterBreak="0">
    <w:nsid w:val="65732C39"/>
    <w:multiLevelType w:val="hybridMultilevel"/>
    <w:tmpl w:val="60E465A6"/>
    <w:lvl w:ilvl="0" w:tplc="045A4876">
      <w:start w:val="1"/>
      <w:numFmt w:val="none"/>
      <w:lvlText w:val="•"/>
      <w:lvlJc w:val="left"/>
      <w:pPr>
        <w:tabs>
          <w:tab w:val="num" w:pos="1080"/>
        </w:tabs>
        <w:ind w:left="720" w:hanging="360"/>
      </w:pPr>
      <w:rPr>
        <w:rFonts w:ascii="Georgia" w:eastAsia="Georgia" w:hAnsi="Georgia" w:cs="Georgia"/>
      </w:rPr>
    </w:lvl>
    <w:lvl w:ilvl="1" w:tplc="4F68C62E">
      <w:numFmt w:val="decimal"/>
      <w:lvlText w:val=""/>
      <w:lvlJc w:val="left"/>
    </w:lvl>
    <w:lvl w:ilvl="2" w:tplc="7AB4D738">
      <w:numFmt w:val="decimal"/>
      <w:lvlText w:val=""/>
      <w:lvlJc w:val="left"/>
    </w:lvl>
    <w:lvl w:ilvl="3" w:tplc="1550EFC0">
      <w:numFmt w:val="decimal"/>
      <w:lvlText w:val=""/>
      <w:lvlJc w:val="left"/>
    </w:lvl>
    <w:lvl w:ilvl="4" w:tplc="2946EC16">
      <w:numFmt w:val="decimal"/>
      <w:lvlText w:val=""/>
      <w:lvlJc w:val="left"/>
    </w:lvl>
    <w:lvl w:ilvl="5" w:tplc="BF9E8DC8">
      <w:numFmt w:val="decimal"/>
      <w:lvlText w:val=""/>
      <w:lvlJc w:val="left"/>
    </w:lvl>
    <w:lvl w:ilvl="6" w:tplc="BCC0A568">
      <w:numFmt w:val="decimal"/>
      <w:lvlText w:val=""/>
      <w:lvlJc w:val="left"/>
    </w:lvl>
    <w:lvl w:ilvl="7" w:tplc="3246FE5E">
      <w:numFmt w:val="decimal"/>
      <w:lvlText w:val=""/>
      <w:lvlJc w:val="left"/>
    </w:lvl>
    <w:lvl w:ilvl="8" w:tplc="2758D626">
      <w:numFmt w:val="decimal"/>
      <w:lvlText w:val=""/>
      <w:lvlJc w:val="left"/>
    </w:lvl>
  </w:abstractNum>
  <w:abstractNum w:abstractNumId="40" w15:restartNumberingAfterBreak="0">
    <w:nsid w:val="669418CD"/>
    <w:multiLevelType w:val="hybridMultilevel"/>
    <w:tmpl w:val="5E10053A"/>
    <w:lvl w:ilvl="0" w:tplc="CF463682">
      <w:start w:val="1"/>
      <w:numFmt w:val="none"/>
      <w:lvlText w:val="•"/>
      <w:lvlJc w:val="left"/>
      <w:pPr>
        <w:tabs>
          <w:tab w:val="num" w:pos="1080"/>
        </w:tabs>
        <w:ind w:left="720" w:hanging="360"/>
      </w:pPr>
      <w:rPr>
        <w:rFonts w:ascii="Georgia" w:eastAsia="Georgia" w:hAnsi="Georgia" w:cs="Georgia"/>
      </w:rPr>
    </w:lvl>
    <w:lvl w:ilvl="1" w:tplc="660094EC">
      <w:numFmt w:val="decimal"/>
      <w:lvlText w:val=""/>
      <w:lvlJc w:val="left"/>
    </w:lvl>
    <w:lvl w:ilvl="2" w:tplc="D124E530">
      <w:numFmt w:val="decimal"/>
      <w:lvlText w:val=""/>
      <w:lvlJc w:val="left"/>
    </w:lvl>
    <w:lvl w:ilvl="3" w:tplc="015A4BB2">
      <w:numFmt w:val="decimal"/>
      <w:lvlText w:val=""/>
      <w:lvlJc w:val="left"/>
    </w:lvl>
    <w:lvl w:ilvl="4" w:tplc="434E82A6">
      <w:numFmt w:val="decimal"/>
      <w:lvlText w:val=""/>
      <w:lvlJc w:val="left"/>
    </w:lvl>
    <w:lvl w:ilvl="5" w:tplc="B270FF48">
      <w:numFmt w:val="decimal"/>
      <w:lvlText w:val=""/>
      <w:lvlJc w:val="left"/>
    </w:lvl>
    <w:lvl w:ilvl="6" w:tplc="1B5CEE80">
      <w:numFmt w:val="decimal"/>
      <w:lvlText w:val=""/>
      <w:lvlJc w:val="left"/>
    </w:lvl>
    <w:lvl w:ilvl="7" w:tplc="641CF764">
      <w:numFmt w:val="decimal"/>
      <w:lvlText w:val=""/>
      <w:lvlJc w:val="left"/>
    </w:lvl>
    <w:lvl w:ilvl="8" w:tplc="59EE874C">
      <w:numFmt w:val="decimal"/>
      <w:lvlText w:val=""/>
      <w:lvlJc w:val="left"/>
    </w:lvl>
  </w:abstractNum>
  <w:abstractNum w:abstractNumId="41" w15:restartNumberingAfterBreak="0">
    <w:nsid w:val="66CC7A21"/>
    <w:multiLevelType w:val="hybridMultilevel"/>
    <w:tmpl w:val="2048BBD0"/>
    <w:lvl w:ilvl="0" w:tplc="9264A010">
      <w:start w:val="1"/>
      <w:numFmt w:val="bullet"/>
      <w:lvlText w:val=""/>
      <w:lvlJc w:val="left"/>
      <w:pPr>
        <w:tabs>
          <w:tab w:val="num" w:pos="1080"/>
        </w:tabs>
        <w:ind w:left="720" w:hanging="360"/>
      </w:pPr>
      <w:rPr>
        <w:rFonts w:ascii="Symbol" w:hAnsi="Symbol" w:hint="default"/>
      </w:rPr>
    </w:lvl>
    <w:lvl w:ilvl="1" w:tplc="04A232D4">
      <w:numFmt w:val="decimal"/>
      <w:lvlText w:val=""/>
      <w:lvlJc w:val="left"/>
    </w:lvl>
    <w:lvl w:ilvl="2" w:tplc="5A2A85FA">
      <w:numFmt w:val="decimal"/>
      <w:lvlText w:val=""/>
      <w:lvlJc w:val="left"/>
    </w:lvl>
    <w:lvl w:ilvl="3" w:tplc="5AD299BC">
      <w:numFmt w:val="decimal"/>
      <w:lvlText w:val=""/>
      <w:lvlJc w:val="left"/>
    </w:lvl>
    <w:lvl w:ilvl="4" w:tplc="58401256">
      <w:numFmt w:val="decimal"/>
      <w:lvlText w:val=""/>
      <w:lvlJc w:val="left"/>
    </w:lvl>
    <w:lvl w:ilvl="5" w:tplc="B3FEB930">
      <w:numFmt w:val="decimal"/>
      <w:lvlText w:val=""/>
      <w:lvlJc w:val="left"/>
    </w:lvl>
    <w:lvl w:ilvl="6" w:tplc="0374D0CA">
      <w:numFmt w:val="decimal"/>
      <w:lvlText w:val=""/>
      <w:lvlJc w:val="left"/>
    </w:lvl>
    <w:lvl w:ilvl="7" w:tplc="70E439CC">
      <w:numFmt w:val="decimal"/>
      <w:lvlText w:val=""/>
      <w:lvlJc w:val="left"/>
    </w:lvl>
    <w:lvl w:ilvl="8" w:tplc="D2AEE0B0">
      <w:numFmt w:val="decimal"/>
      <w:lvlText w:val=""/>
      <w:lvlJc w:val="left"/>
    </w:lvl>
  </w:abstractNum>
  <w:abstractNum w:abstractNumId="42" w15:restartNumberingAfterBreak="0">
    <w:nsid w:val="6946677B"/>
    <w:multiLevelType w:val="hybridMultilevel"/>
    <w:tmpl w:val="44D62492"/>
    <w:lvl w:ilvl="0" w:tplc="391068C6">
      <w:start w:val="1"/>
      <w:numFmt w:val="bullet"/>
      <w:lvlText w:val=""/>
      <w:lvlJc w:val="left"/>
      <w:pPr>
        <w:tabs>
          <w:tab w:val="num" w:pos="1080"/>
        </w:tabs>
        <w:ind w:left="720" w:hanging="360"/>
      </w:pPr>
      <w:rPr>
        <w:rFonts w:ascii="Symbol" w:hAnsi="Symbol" w:hint="default"/>
      </w:rPr>
    </w:lvl>
    <w:lvl w:ilvl="1" w:tplc="FE98D4C0">
      <w:numFmt w:val="decimal"/>
      <w:lvlText w:val=""/>
      <w:lvlJc w:val="left"/>
    </w:lvl>
    <w:lvl w:ilvl="2" w:tplc="7FCEA7AE">
      <w:numFmt w:val="decimal"/>
      <w:lvlText w:val=""/>
      <w:lvlJc w:val="left"/>
    </w:lvl>
    <w:lvl w:ilvl="3" w:tplc="40DCAF9A">
      <w:numFmt w:val="decimal"/>
      <w:lvlText w:val=""/>
      <w:lvlJc w:val="left"/>
    </w:lvl>
    <w:lvl w:ilvl="4" w:tplc="1D2460E2">
      <w:numFmt w:val="decimal"/>
      <w:lvlText w:val=""/>
      <w:lvlJc w:val="left"/>
    </w:lvl>
    <w:lvl w:ilvl="5" w:tplc="3BAED6B6">
      <w:numFmt w:val="decimal"/>
      <w:lvlText w:val=""/>
      <w:lvlJc w:val="left"/>
    </w:lvl>
    <w:lvl w:ilvl="6" w:tplc="9DC869A6">
      <w:numFmt w:val="decimal"/>
      <w:lvlText w:val=""/>
      <w:lvlJc w:val="left"/>
    </w:lvl>
    <w:lvl w:ilvl="7" w:tplc="6DC47CD8">
      <w:numFmt w:val="decimal"/>
      <w:lvlText w:val=""/>
      <w:lvlJc w:val="left"/>
    </w:lvl>
    <w:lvl w:ilvl="8" w:tplc="10362ACC">
      <w:numFmt w:val="decimal"/>
      <w:lvlText w:val=""/>
      <w:lvlJc w:val="left"/>
    </w:lvl>
  </w:abstractNum>
  <w:abstractNum w:abstractNumId="43" w15:restartNumberingAfterBreak="0">
    <w:nsid w:val="6A4E1080"/>
    <w:multiLevelType w:val="hybridMultilevel"/>
    <w:tmpl w:val="5E9E5AB2"/>
    <w:lvl w:ilvl="0" w:tplc="B0F2C6CE">
      <w:start w:val="1"/>
      <w:numFmt w:val="none"/>
      <w:lvlText w:val="•"/>
      <w:lvlJc w:val="left"/>
      <w:pPr>
        <w:tabs>
          <w:tab w:val="num" w:pos="1080"/>
        </w:tabs>
        <w:ind w:left="720" w:hanging="360"/>
      </w:pPr>
      <w:rPr>
        <w:rFonts w:ascii="Georgia" w:eastAsia="Georgia" w:hAnsi="Georgia" w:cs="Georgia"/>
      </w:rPr>
    </w:lvl>
    <w:lvl w:ilvl="1" w:tplc="4E881516">
      <w:numFmt w:val="decimal"/>
      <w:lvlText w:val=""/>
      <w:lvlJc w:val="left"/>
    </w:lvl>
    <w:lvl w:ilvl="2" w:tplc="6596BF8C">
      <w:numFmt w:val="decimal"/>
      <w:lvlText w:val=""/>
      <w:lvlJc w:val="left"/>
    </w:lvl>
    <w:lvl w:ilvl="3" w:tplc="EE560332">
      <w:numFmt w:val="decimal"/>
      <w:lvlText w:val=""/>
      <w:lvlJc w:val="left"/>
    </w:lvl>
    <w:lvl w:ilvl="4" w:tplc="D0781EA2">
      <w:numFmt w:val="decimal"/>
      <w:lvlText w:val=""/>
      <w:lvlJc w:val="left"/>
    </w:lvl>
    <w:lvl w:ilvl="5" w:tplc="B060DD68">
      <w:numFmt w:val="decimal"/>
      <w:lvlText w:val=""/>
      <w:lvlJc w:val="left"/>
    </w:lvl>
    <w:lvl w:ilvl="6" w:tplc="99340D46">
      <w:numFmt w:val="decimal"/>
      <w:lvlText w:val=""/>
      <w:lvlJc w:val="left"/>
    </w:lvl>
    <w:lvl w:ilvl="7" w:tplc="75E0B458">
      <w:numFmt w:val="decimal"/>
      <w:lvlText w:val=""/>
      <w:lvlJc w:val="left"/>
    </w:lvl>
    <w:lvl w:ilvl="8" w:tplc="18640030">
      <w:numFmt w:val="decimal"/>
      <w:lvlText w:val=""/>
      <w:lvlJc w:val="left"/>
    </w:lvl>
  </w:abstractNum>
  <w:abstractNum w:abstractNumId="44" w15:restartNumberingAfterBreak="0">
    <w:nsid w:val="6EB73043"/>
    <w:multiLevelType w:val="hybridMultilevel"/>
    <w:tmpl w:val="6E368E1C"/>
    <w:lvl w:ilvl="0" w:tplc="67AA3C96">
      <w:start w:val="1"/>
      <w:numFmt w:val="bullet"/>
      <w:lvlText w:val=""/>
      <w:lvlJc w:val="left"/>
      <w:pPr>
        <w:tabs>
          <w:tab w:val="num" w:pos="1080"/>
        </w:tabs>
        <w:ind w:left="720" w:hanging="360"/>
      </w:pPr>
      <w:rPr>
        <w:rFonts w:ascii="Symbol" w:hAnsi="Symbol" w:hint="default"/>
      </w:rPr>
    </w:lvl>
    <w:lvl w:ilvl="1" w:tplc="9D60D232">
      <w:numFmt w:val="decimal"/>
      <w:lvlText w:val=""/>
      <w:lvlJc w:val="left"/>
    </w:lvl>
    <w:lvl w:ilvl="2" w:tplc="5E4AD1B2">
      <w:numFmt w:val="decimal"/>
      <w:lvlText w:val=""/>
      <w:lvlJc w:val="left"/>
    </w:lvl>
    <w:lvl w:ilvl="3" w:tplc="1E4E179A">
      <w:numFmt w:val="decimal"/>
      <w:lvlText w:val=""/>
      <w:lvlJc w:val="left"/>
    </w:lvl>
    <w:lvl w:ilvl="4" w:tplc="F112D3BE">
      <w:numFmt w:val="decimal"/>
      <w:lvlText w:val=""/>
      <w:lvlJc w:val="left"/>
    </w:lvl>
    <w:lvl w:ilvl="5" w:tplc="A96630F2">
      <w:numFmt w:val="decimal"/>
      <w:lvlText w:val=""/>
      <w:lvlJc w:val="left"/>
    </w:lvl>
    <w:lvl w:ilvl="6" w:tplc="107A79BC">
      <w:numFmt w:val="decimal"/>
      <w:lvlText w:val=""/>
      <w:lvlJc w:val="left"/>
    </w:lvl>
    <w:lvl w:ilvl="7" w:tplc="BC2A0AF6">
      <w:numFmt w:val="decimal"/>
      <w:lvlText w:val=""/>
      <w:lvlJc w:val="left"/>
    </w:lvl>
    <w:lvl w:ilvl="8" w:tplc="F5DCBA5A">
      <w:numFmt w:val="decimal"/>
      <w:lvlText w:val=""/>
      <w:lvlJc w:val="left"/>
    </w:lvl>
  </w:abstractNum>
  <w:abstractNum w:abstractNumId="45" w15:restartNumberingAfterBreak="0">
    <w:nsid w:val="72A16667"/>
    <w:multiLevelType w:val="hybridMultilevel"/>
    <w:tmpl w:val="A2C87426"/>
    <w:lvl w:ilvl="0" w:tplc="581A5FA8">
      <w:start w:val="1"/>
      <w:numFmt w:val="bullet"/>
      <w:lvlText w:val=""/>
      <w:lvlJc w:val="left"/>
      <w:pPr>
        <w:tabs>
          <w:tab w:val="num" w:pos="1080"/>
        </w:tabs>
        <w:ind w:left="720" w:hanging="360"/>
      </w:pPr>
      <w:rPr>
        <w:rFonts w:ascii="Symbol" w:hAnsi="Symbol" w:hint="default"/>
      </w:rPr>
    </w:lvl>
    <w:lvl w:ilvl="1" w:tplc="34422AE0">
      <w:numFmt w:val="decimal"/>
      <w:lvlText w:val=""/>
      <w:lvlJc w:val="left"/>
    </w:lvl>
    <w:lvl w:ilvl="2" w:tplc="61D81610">
      <w:numFmt w:val="decimal"/>
      <w:lvlText w:val=""/>
      <w:lvlJc w:val="left"/>
    </w:lvl>
    <w:lvl w:ilvl="3" w:tplc="C71899F8">
      <w:numFmt w:val="decimal"/>
      <w:lvlText w:val=""/>
      <w:lvlJc w:val="left"/>
    </w:lvl>
    <w:lvl w:ilvl="4" w:tplc="58DC4BF8">
      <w:numFmt w:val="decimal"/>
      <w:lvlText w:val=""/>
      <w:lvlJc w:val="left"/>
    </w:lvl>
    <w:lvl w:ilvl="5" w:tplc="EAE852B8">
      <w:numFmt w:val="decimal"/>
      <w:lvlText w:val=""/>
      <w:lvlJc w:val="left"/>
    </w:lvl>
    <w:lvl w:ilvl="6" w:tplc="BD2482A6">
      <w:numFmt w:val="decimal"/>
      <w:lvlText w:val=""/>
      <w:lvlJc w:val="left"/>
    </w:lvl>
    <w:lvl w:ilvl="7" w:tplc="B87E4354">
      <w:numFmt w:val="decimal"/>
      <w:lvlText w:val=""/>
      <w:lvlJc w:val="left"/>
    </w:lvl>
    <w:lvl w:ilvl="8" w:tplc="3AA07330">
      <w:numFmt w:val="decimal"/>
      <w:lvlText w:val=""/>
      <w:lvlJc w:val="left"/>
    </w:lvl>
  </w:abstractNum>
  <w:abstractNum w:abstractNumId="46" w15:restartNumberingAfterBreak="0">
    <w:nsid w:val="7B3867B2"/>
    <w:multiLevelType w:val="hybridMultilevel"/>
    <w:tmpl w:val="E34C5FCE"/>
    <w:lvl w:ilvl="0" w:tplc="FD6CE618">
      <w:start w:val="1"/>
      <w:numFmt w:val="none"/>
      <w:lvlText w:val="•"/>
      <w:lvlJc w:val="left"/>
      <w:pPr>
        <w:tabs>
          <w:tab w:val="num" w:pos="1080"/>
        </w:tabs>
        <w:ind w:left="720" w:hanging="360"/>
      </w:pPr>
      <w:rPr>
        <w:rFonts w:ascii="Georgia" w:eastAsia="Georgia" w:hAnsi="Georgia" w:cs="Georgia"/>
      </w:rPr>
    </w:lvl>
    <w:lvl w:ilvl="1" w:tplc="BE3A53C8">
      <w:numFmt w:val="decimal"/>
      <w:lvlText w:val=""/>
      <w:lvlJc w:val="left"/>
    </w:lvl>
    <w:lvl w:ilvl="2" w:tplc="A9C6BA20">
      <w:numFmt w:val="decimal"/>
      <w:lvlText w:val=""/>
      <w:lvlJc w:val="left"/>
    </w:lvl>
    <w:lvl w:ilvl="3" w:tplc="F7122B0C">
      <w:numFmt w:val="decimal"/>
      <w:lvlText w:val=""/>
      <w:lvlJc w:val="left"/>
    </w:lvl>
    <w:lvl w:ilvl="4" w:tplc="AFAE1CF0">
      <w:numFmt w:val="decimal"/>
      <w:lvlText w:val=""/>
      <w:lvlJc w:val="left"/>
    </w:lvl>
    <w:lvl w:ilvl="5" w:tplc="9A4E3F64">
      <w:numFmt w:val="decimal"/>
      <w:lvlText w:val=""/>
      <w:lvlJc w:val="left"/>
    </w:lvl>
    <w:lvl w:ilvl="6" w:tplc="2D821FCC">
      <w:numFmt w:val="decimal"/>
      <w:lvlText w:val=""/>
      <w:lvlJc w:val="left"/>
    </w:lvl>
    <w:lvl w:ilvl="7" w:tplc="608A0052">
      <w:numFmt w:val="decimal"/>
      <w:lvlText w:val=""/>
      <w:lvlJc w:val="left"/>
    </w:lvl>
    <w:lvl w:ilvl="8" w:tplc="8E7CD67A">
      <w:numFmt w:val="decimal"/>
      <w:lvlText w:val=""/>
      <w:lvlJc w:val="left"/>
    </w:lvl>
  </w:abstractNum>
  <w:abstractNum w:abstractNumId="47" w15:restartNumberingAfterBreak="0">
    <w:nsid w:val="7C517D3F"/>
    <w:multiLevelType w:val="hybridMultilevel"/>
    <w:tmpl w:val="7C94B6F2"/>
    <w:lvl w:ilvl="0" w:tplc="D3668008">
      <w:start w:val="1"/>
      <w:numFmt w:val="bullet"/>
      <w:lvlText w:val=""/>
      <w:lvlJc w:val="left"/>
      <w:pPr>
        <w:tabs>
          <w:tab w:val="num" w:pos="1080"/>
        </w:tabs>
        <w:ind w:left="720" w:hanging="360"/>
      </w:pPr>
      <w:rPr>
        <w:rFonts w:ascii="Symbol" w:hAnsi="Symbol" w:hint="default"/>
      </w:rPr>
    </w:lvl>
    <w:lvl w:ilvl="1" w:tplc="300485C6">
      <w:numFmt w:val="decimal"/>
      <w:lvlText w:val=""/>
      <w:lvlJc w:val="left"/>
    </w:lvl>
    <w:lvl w:ilvl="2" w:tplc="7338CE9A">
      <w:numFmt w:val="decimal"/>
      <w:lvlText w:val=""/>
      <w:lvlJc w:val="left"/>
    </w:lvl>
    <w:lvl w:ilvl="3" w:tplc="937C64BC">
      <w:numFmt w:val="decimal"/>
      <w:lvlText w:val=""/>
      <w:lvlJc w:val="left"/>
    </w:lvl>
    <w:lvl w:ilvl="4" w:tplc="066A92CC">
      <w:numFmt w:val="decimal"/>
      <w:lvlText w:val=""/>
      <w:lvlJc w:val="left"/>
    </w:lvl>
    <w:lvl w:ilvl="5" w:tplc="15B6652E">
      <w:numFmt w:val="decimal"/>
      <w:lvlText w:val=""/>
      <w:lvlJc w:val="left"/>
    </w:lvl>
    <w:lvl w:ilvl="6" w:tplc="0DBE70B4">
      <w:numFmt w:val="decimal"/>
      <w:lvlText w:val=""/>
      <w:lvlJc w:val="left"/>
    </w:lvl>
    <w:lvl w:ilvl="7" w:tplc="2BDAB068">
      <w:numFmt w:val="decimal"/>
      <w:lvlText w:val=""/>
      <w:lvlJc w:val="left"/>
    </w:lvl>
    <w:lvl w:ilvl="8" w:tplc="3AA411EE">
      <w:numFmt w:val="decimal"/>
      <w:lvlText w:val=""/>
      <w:lvlJc w:val="left"/>
    </w:lvl>
  </w:abstractNum>
  <w:abstractNum w:abstractNumId="48" w15:restartNumberingAfterBreak="0">
    <w:nsid w:val="7D0E5EA4"/>
    <w:multiLevelType w:val="hybridMultilevel"/>
    <w:tmpl w:val="F9EC78AA"/>
    <w:lvl w:ilvl="0" w:tplc="A392B02A">
      <w:start w:val="1"/>
      <w:numFmt w:val="bullet"/>
      <w:lvlText w:val=""/>
      <w:lvlJc w:val="left"/>
      <w:pPr>
        <w:tabs>
          <w:tab w:val="num" w:pos="1080"/>
        </w:tabs>
        <w:ind w:left="720" w:hanging="360"/>
      </w:pPr>
      <w:rPr>
        <w:rFonts w:ascii="Symbol" w:hAnsi="Symbol" w:hint="default"/>
      </w:rPr>
    </w:lvl>
    <w:lvl w:ilvl="1" w:tplc="A6F6989C">
      <w:numFmt w:val="decimal"/>
      <w:lvlText w:val=""/>
      <w:lvlJc w:val="left"/>
    </w:lvl>
    <w:lvl w:ilvl="2" w:tplc="0D92E354">
      <w:numFmt w:val="decimal"/>
      <w:lvlText w:val=""/>
      <w:lvlJc w:val="left"/>
    </w:lvl>
    <w:lvl w:ilvl="3" w:tplc="D3E6B088">
      <w:numFmt w:val="decimal"/>
      <w:lvlText w:val=""/>
      <w:lvlJc w:val="left"/>
    </w:lvl>
    <w:lvl w:ilvl="4" w:tplc="C9DA2C86">
      <w:numFmt w:val="decimal"/>
      <w:lvlText w:val=""/>
      <w:lvlJc w:val="left"/>
    </w:lvl>
    <w:lvl w:ilvl="5" w:tplc="93F0ECE8">
      <w:numFmt w:val="decimal"/>
      <w:lvlText w:val=""/>
      <w:lvlJc w:val="left"/>
    </w:lvl>
    <w:lvl w:ilvl="6" w:tplc="2E68CA9A">
      <w:numFmt w:val="decimal"/>
      <w:lvlText w:val=""/>
      <w:lvlJc w:val="left"/>
    </w:lvl>
    <w:lvl w:ilvl="7" w:tplc="0330BED6">
      <w:numFmt w:val="decimal"/>
      <w:lvlText w:val=""/>
      <w:lvlJc w:val="left"/>
    </w:lvl>
    <w:lvl w:ilvl="8" w:tplc="8A6CC55E">
      <w:numFmt w:val="decimal"/>
      <w:lvlText w:val=""/>
      <w:lvlJc w:val="left"/>
    </w:lvl>
  </w:abstractNum>
  <w:num w:numId="1" w16cid:durableId="383723409">
    <w:abstractNumId w:val="10"/>
  </w:num>
  <w:num w:numId="2" w16cid:durableId="1087189299">
    <w:abstractNumId w:val="26"/>
  </w:num>
  <w:num w:numId="3" w16cid:durableId="1685014826">
    <w:abstractNumId w:val="21"/>
  </w:num>
  <w:num w:numId="4" w16cid:durableId="1136223207">
    <w:abstractNumId w:val="35"/>
  </w:num>
  <w:num w:numId="5" w16cid:durableId="1800801377">
    <w:abstractNumId w:val="7"/>
  </w:num>
  <w:num w:numId="6" w16cid:durableId="904025284">
    <w:abstractNumId w:val="36"/>
  </w:num>
  <w:num w:numId="7" w16cid:durableId="1866289688">
    <w:abstractNumId w:val="39"/>
  </w:num>
  <w:num w:numId="8" w16cid:durableId="2024627874">
    <w:abstractNumId w:val="9"/>
  </w:num>
  <w:num w:numId="9" w16cid:durableId="1247957462">
    <w:abstractNumId w:val="0"/>
  </w:num>
  <w:num w:numId="10" w16cid:durableId="1437825034">
    <w:abstractNumId w:val="32"/>
  </w:num>
  <w:num w:numId="11" w16cid:durableId="1163358309">
    <w:abstractNumId w:val="46"/>
  </w:num>
  <w:num w:numId="12" w16cid:durableId="419765504">
    <w:abstractNumId w:val="13"/>
  </w:num>
  <w:num w:numId="13" w16cid:durableId="2141993500">
    <w:abstractNumId w:val="22"/>
  </w:num>
  <w:num w:numId="14" w16cid:durableId="675423996">
    <w:abstractNumId w:val="14"/>
  </w:num>
  <w:num w:numId="15" w16cid:durableId="2060666730">
    <w:abstractNumId w:val="27"/>
  </w:num>
  <w:num w:numId="16" w16cid:durableId="1060055558">
    <w:abstractNumId w:val="40"/>
  </w:num>
  <w:num w:numId="17" w16cid:durableId="1945074348">
    <w:abstractNumId w:val="47"/>
  </w:num>
  <w:num w:numId="18" w16cid:durableId="1488791111">
    <w:abstractNumId w:val="48"/>
  </w:num>
  <w:num w:numId="19" w16cid:durableId="1199859291">
    <w:abstractNumId w:val="8"/>
  </w:num>
  <w:num w:numId="20" w16cid:durableId="1454710262">
    <w:abstractNumId w:val="2"/>
  </w:num>
  <w:num w:numId="21" w16cid:durableId="1681345656">
    <w:abstractNumId w:val="11"/>
  </w:num>
  <w:num w:numId="22" w16cid:durableId="2125226991">
    <w:abstractNumId w:val="6"/>
  </w:num>
  <w:num w:numId="23" w16cid:durableId="942300311">
    <w:abstractNumId w:val="37"/>
  </w:num>
  <w:num w:numId="24" w16cid:durableId="2085911237">
    <w:abstractNumId w:val="24"/>
  </w:num>
  <w:num w:numId="25" w16cid:durableId="1616790408">
    <w:abstractNumId w:val="43"/>
  </w:num>
  <w:num w:numId="26" w16cid:durableId="511141872">
    <w:abstractNumId w:val="18"/>
  </w:num>
  <w:num w:numId="27" w16cid:durableId="534852042">
    <w:abstractNumId w:val="4"/>
  </w:num>
  <w:num w:numId="28" w16cid:durableId="1056710017">
    <w:abstractNumId w:val="28"/>
  </w:num>
  <w:num w:numId="29" w16cid:durableId="1261841239">
    <w:abstractNumId w:val="45"/>
  </w:num>
  <w:num w:numId="30" w16cid:durableId="1312709317">
    <w:abstractNumId w:val="15"/>
  </w:num>
  <w:num w:numId="31" w16cid:durableId="211960475">
    <w:abstractNumId w:val="42"/>
  </w:num>
  <w:num w:numId="32" w16cid:durableId="523714168">
    <w:abstractNumId w:val="30"/>
  </w:num>
  <w:num w:numId="33" w16cid:durableId="1514105943">
    <w:abstractNumId w:val="25"/>
  </w:num>
  <w:num w:numId="34" w16cid:durableId="181556802">
    <w:abstractNumId w:val="41"/>
  </w:num>
  <w:num w:numId="35" w16cid:durableId="1547988429">
    <w:abstractNumId w:val="16"/>
  </w:num>
  <w:num w:numId="36" w16cid:durableId="1341548615">
    <w:abstractNumId w:val="12"/>
  </w:num>
  <w:num w:numId="37" w16cid:durableId="535581945">
    <w:abstractNumId w:val="31"/>
  </w:num>
  <w:num w:numId="38" w16cid:durableId="879895842">
    <w:abstractNumId w:val="3"/>
  </w:num>
  <w:num w:numId="39" w16cid:durableId="591862028">
    <w:abstractNumId w:val="17"/>
  </w:num>
  <w:num w:numId="40" w16cid:durableId="2116250368">
    <w:abstractNumId w:val="29"/>
  </w:num>
  <w:num w:numId="41" w16cid:durableId="1786849921">
    <w:abstractNumId w:val="44"/>
  </w:num>
  <w:num w:numId="42" w16cid:durableId="1023704691">
    <w:abstractNumId w:val="5"/>
  </w:num>
  <w:num w:numId="43" w16cid:durableId="188223667">
    <w:abstractNumId w:val="33"/>
  </w:num>
  <w:num w:numId="44" w16cid:durableId="1797944149">
    <w:abstractNumId w:val="1"/>
  </w:num>
  <w:num w:numId="45" w16cid:durableId="910894687">
    <w:abstractNumId w:val="20"/>
  </w:num>
  <w:num w:numId="46" w16cid:durableId="2082289831">
    <w:abstractNumId w:val="38"/>
  </w:num>
  <w:num w:numId="47" w16cid:durableId="1625768539">
    <w:abstractNumId w:val="19"/>
  </w:num>
  <w:num w:numId="48" w16cid:durableId="622276062">
    <w:abstractNumId w:val="23"/>
  </w:num>
  <w:num w:numId="49" w16cid:durableId="6236565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EF"/>
    <w:rsid w:val="00402633"/>
    <w:rsid w:val="00521FEF"/>
    <w:rsid w:val="00780271"/>
    <w:rsid w:val="00C406BB"/>
    <w:rsid w:val="00C7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704F"/>
  <w15:docId w15:val="{4B1987BF-60C7-D043-836A-36DC4981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6BB"/>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C406BB"/>
    <w:pPr>
      <w:keepNext/>
      <w:keepLines/>
      <w:spacing w:before="40" w:after="0"/>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406B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C406BB"/>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C406BB"/>
    <w:pPr>
      <w:ind w:left="720"/>
      <w:contextualSpacing/>
    </w:pPr>
  </w:style>
  <w:style w:type="paragraph" w:styleId="Footer">
    <w:name w:val="footer"/>
    <w:basedOn w:val="Normal"/>
    <w:link w:val="FooterChar"/>
    <w:uiPriority w:val="99"/>
    <w:unhideWhenUsed/>
    <w:rsid w:val="00780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271"/>
  </w:style>
  <w:style w:type="character" w:styleId="PageNumber">
    <w:name w:val="page number"/>
    <w:basedOn w:val="DefaultParagraphFont"/>
    <w:uiPriority w:val="99"/>
    <w:semiHidden/>
    <w:unhideWhenUsed/>
    <w:rsid w:val="00780271"/>
  </w:style>
  <w:style w:type="paragraph" w:styleId="TOCHeading">
    <w:name w:val="TOC Heading"/>
    <w:basedOn w:val="Heading1"/>
    <w:next w:val="Normal"/>
    <w:uiPriority w:val="39"/>
    <w:unhideWhenUsed/>
    <w:qFormat/>
    <w:rsid w:val="00780271"/>
    <w:pPr>
      <w:spacing w:before="48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780271"/>
    <w:pPr>
      <w:spacing w:before="120" w:after="0"/>
    </w:pPr>
    <w:rPr>
      <w:rFonts w:asciiTheme="minorHAnsi"/>
      <w:b/>
      <w:bCs/>
      <w:i/>
      <w:iCs/>
      <w:sz w:val="24"/>
      <w:szCs w:val="24"/>
    </w:rPr>
  </w:style>
  <w:style w:type="paragraph" w:styleId="TOC2">
    <w:name w:val="toc 2"/>
    <w:basedOn w:val="Normal"/>
    <w:next w:val="Normal"/>
    <w:autoRedefine/>
    <w:uiPriority w:val="39"/>
    <w:unhideWhenUsed/>
    <w:rsid w:val="00780271"/>
    <w:pPr>
      <w:spacing w:before="120" w:after="0"/>
      <w:ind w:left="210"/>
    </w:pPr>
    <w:rPr>
      <w:rFonts w:asciiTheme="minorHAnsi"/>
      <w:b/>
      <w:bCs/>
      <w:sz w:val="22"/>
    </w:rPr>
  </w:style>
  <w:style w:type="character" w:styleId="Hyperlink">
    <w:name w:val="Hyperlink"/>
    <w:basedOn w:val="DefaultParagraphFont"/>
    <w:uiPriority w:val="99"/>
    <w:unhideWhenUsed/>
    <w:rsid w:val="00780271"/>
    <w:rPr>
      <w:color w:val="467886" w:themeColor="hyperlink"/>
      <w:u w:val="single"/>
    </w:rPr>
  </w:style>
  <w:style w:type="paragraph" w:styleId="TOC3">
    <w:name w:val="toc 3"/>
    <w:basedOn w:val="Normal"/>
    <w:next w:val="Normal"/>
    <w:autoRedefine/>
    <w:uiPriority w:val="39"/>
    <w:semiHidden/>
    <w:unhideWhenUsed/>
    <w:rsid w:val="00780271"/>
    <w:pPr>
      <w:spacing w:after="0"/>
      <w:ind w:left="420"/>
    </w:pPr>
    <w:rPr>
      <w:rFonts w:asciiTheme="minorHAnsi"/>
      <w:sz w:val="20"/>
      <w:szCs w:val="20"/>
    </w:rPr>
  </w:style>
  <w:style w:type="paragraph" w:styleId="TOC4">
    <w:name w:val="toc 4"/>
    <w:basedOn w:val="Normal"/>
    <w:next w:val="Normal"/>
    <w:autoRedefine/>
    <w:uiPriority w:val="39"/>
    <w:semiHidden/>
    <w:unhideWhenUsed/>
    <w:rsid w:val="00780271"/>
    <w:pPr>
      <w:spacing w:after="0"/>
      <w:ind w:left="630"/>
    </w:pPr>
    <w:rPr>
      <w:rFonts w:asciiTheme="minorHAnsi"/>
      <w:sz w:val="20"/>
      <w:szCs w:val="20"/>
    </w:rPr>
  </w:style>
  <w:style w:type="paragraph" w:styleId="TOC5">
    <w:name w:val="toc 5"/>
    <w:basedOn w:val="Normal"/>
    <w:next w:val="Normal"/>
    <w:autoRedefine/>
    <w:uiPriority w:val="39"/>
    <w:semiHidden/>
    <w:unhideWhenUsed/>
    <w:rsid w:val="00780271"/>
    <w:pPr>
      <w:spacing w:after="0"/>
      <w:ind w:left="840"/>
    </w:pPr>
    <w:rPr>
      <w:rFonts w:asciiTheme="minorHAnsi"/>
      <w:sz w:val="20"/>
      <w:szCs w:val="20"/>
    </w:rPr>
  </w:style>
  <w:style w:type="paragraph" w:styleId="TOC6">
    <w:name w:val="toc 6"/>
    <w:basedOn w:val="Normal"/>
    <w:next w:val="Normal"/>
    <w:autoRedefine/>
    <w:uiPriority w:val="39"/>
    <w:semiHidden/>
    <w:unhideWhenUsed/>
    <w:rsid w:val="00780271"/>
    <w:pPr>
      <w:spacing w:after="0"/>
      <w:ind w:left="1050"/>
    </w:pPr>
    <w:rPr>
      <w:rFonts w:asciiTheme="minorHAnsi"/>
      <w:sz w:val="20"/>
      <w:szCs w:val="20"/>
    </w:rPr>
  </w:style>
  <w:style w:type="paragraph" w:styleId="TOC7">
    <w:name w:val="toc 7"/>
    <w:basedOn w:val="Normal"/>
    <w:next w:val="Normal"/>
    <w:autoRedefine/>
    <w:uiPriority w:val="39"/>
    <w:semiHidden/>
    <w:unhideWhenUsed/>
    <w:rsid w:val="00780271"/>
    <w:pPr>
      <w:spacing w:after="0"/>
      <w:ind w:left="1260"/>
    </w:pPr>
    <w:rPr>
      <w:rFonts w:asciiTheme="minorHAnsi"/>
      <w:sz w:val="20"/>
      <w:szCs w:val="20"/>
    </w:rPr>
  </w:style>
  <w:style w:type="paragraph" w:styleId="TOC8">
    <w:name w:val="toc 8"/>
    <w:basedOn w:val="Normal"/>
    <w:next w:val="Normal"/>
    <w:autoRedefine/>
    <w:uiPriority w:val="39"/>
    <w:semiHidden/>
    <w:unhideWhenUsed/>
    <w:rsid w:val="00780271"/>
    <w:pPr>
      <w:spacing w:after="0"/>
      <w:ind w:left="1470"/>
    </w:pPr>
    <w:rPr>
      <w:rFonts w:asciiTheme="minorHAnsi"/>
      <w:sz w:val="20"/>
      <w:szCs w:val="20"/>
    </w:rPr>
  </w:style>
  <w:style w:type="paragraph" w:styleId="TOC9">
    <w:name w:val="toc 9"/>
    <w:basedOn w:val="Normal"/>
    <w:next w:val="Normal"/>
    <w:autoRedefine/>
    <w:uiPriority w:val="39"/>
    <w:semiHidden/>
    <w:unhideWhenUsed/>
    <w:rsid w:val="00780271"/>
    <w:pPr>
      <w:spacing w:after="0"/>
      <w:ind w:left="1680"/>
    </w:pPr>
    <w:rPr>
      <w:rFonts w:asci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earnfrombarry.com/ao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0D33D-0464-4D4B-8AC3-B82EC0D56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42</Pages>
  <Words>7184</Words>
  <Characters>46198</Characters>
  <Application>Microsoft Office Word</Application>
  <DocSecurity>0</DocSecurity>
  <Lines>1711</Lines>
  <Paragraphs>1570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Khushi Kothari</cp:lastModifiedBy>
  <cp:revision>2</cp:revision>
  <dcterms:created xsi:type="dcterms:W3CDTF">2026-02-07T07:01:00Z</dcterms:created>
  <dcterms:modified xsi:type="dcterms:W3CDTF">2026-02-07T07:28:00Z</dcterms:modified>
</cp:coreProperties>
</file>