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AB951" w14:textId="77777777" w:rsidR="00760A96" w:rsidRDefault="00760A96" w:rsidP="00760A96">
      <w:pPr>
        <w:spacing w:before="240" w:line="288" w:lineRule="auto"/>
        <w:jc w:val="both"/>
        <w:rPr>
          <w:rFonts w:ascii="Times New Roman" w:hAnsi="Times New Roman" w:cs="Times New Roman"/>
          <w:b/>
          <w:sz w:val="56"/>
          <w:szCs w:val="56"/>
        </w:rPr>
      </w:pPr>
      <w:bookmarkStart w:id="0" w:name="aol_time_warner_merger_analysis_c_749402"/>
    </w:p>
    <w:p w14:paraId="4663DE9C" w14:textId="77777777" w:rsidR="00760A96" w:rsidRDefault="00760A96" w:rsidP="00760A96">
      <w:pPr>
        <w:spacing w:before="240" w:line="288" w:lineRule="auto"/>
        <w:jc w:val="both"/>
        <w:rPr>
          <w:rFonts w:ascii="Times New Roman" w:hAnsi="Times New Roman" w:cs="Times New Roman"/>
          <w:b/>
          <w:sz w:val="56"/>
          <w:szCs w:val="56"/>
        </w:rPr>
      </w:pPr>
    </w:p>
    <w:p w14:paraId="79FB2A56" w14:textId="77777777" w:rsidR="00760A96" w:rsidRDefault="00760A96" w:rsidP="00760A96">
      <w:pPr>
        <w:spacing w:before="240" w:line="288" w:lineRule="auto"/>
        <w:jc w:val="both"/>
        <w:rPr>
          <w:rFonts w:ascii="Times New Roman" w:hAnsi="Times New Roman" w:cs="Times New Roman"/>
          <w:b/>
          <w:sz w:val="56"/>
          <w:szCs w:val="56"/>
        </w:rPr>
      </w:pPr>
    </w:p>
    <w:p w14:paraId="52FDA289" w14:textId="77777777" w:rsidR="00760A96" w:rsidRDefault="00760A96" w:rsidP="00760A96">
      <w:pPr>
        <w:spacing w:before="240" w:line="288" w:lineRule="auto"/>
        <w:jc w:val="both"/>
        <w:rPr>
          <w:rFonts w:ascii="Times New Roman" w:hAnsi="Times New Roman" w:cs="Times New Roman"/>
          <w:b/>
          <w:sz w:val="56"/>
          <w:szCs w:val="56"/>
        </w:rPr>
      </w:pPr>
    </w:p>
    <w:p w14:paraId="336875D6" w14:textId="77777777" w:rsidR="00760A96" w:rsidRDefault="00760A96" w:rsidP="00760A96">
      <w:pPr>
        <w:spacing w:before="240" w:line="288" w:lineRule="auto"/>
        <w:jc w:val="both"/>
        <w:rPr>
          <w:rFonts w:ascii="Times New Roman" w:hAnsi="Times New Roman" w:cs="Times New Roman"/>
          <w:b/>
          <w:sz w:val="56"/>
          <w:szCs w:val="56"/>
        </w:rPr>
      </w:pPr>
    </w:p>
    <w:p w14:paraId="58DF88EF" w14:textId="67514246" w:rsidR="00760A96" w:rsidRPr="00777DCB" w:rsidRDefault="00000000" w:rsidP="00777DCB">
      <w:pPr>
        <w:spacing w:before="240" w:line="288" w:lineRule="auto"/>
        <w:jc w:val="center"/>
        <w:rPr>
          <w:rFonts w:ascii="Times New Roman" w:hAnsi="Times New Roman" w:cs="Times New Roman"/>
          <w:b/>
          <w:sz w:val="52"/>
          <w:szCs w:val="52"/>
        </w:rPr>
      </w:pPr>
      <w:r w:rsidRPr="00777DCB">
        <w:rPr>
          <w:rFonts w:ascii="Times New Roman" w:hAnsi="Times New Roman" w:cs="Times New Roman"/>
          <w:b/>
          <w:sz w:val="52"/>
          <w:szCs w:val="52"/>
        </w:rPr>
        <w:t>AOL Time Warner Merger Analysis: Challenges and Solutions</w:t>
      </w:r>
      <w:bookmarkEnd w:id="0"/>
    </w:p>
    <w:p w14:paraId="080E20D9" w14:textId="77777777" w:rsidR="00760A96" w:rsidRDefault="00760A96">
      <w:pPr>
        <w:rPr>
          <w:rFonts w:ascii="Times New Roman" w:hAnsi="Times New Roman" w:cs="Times New Roman"/>
          <w:b/>
          <w:sz w:val="24"/>
          <w:szCs w:val="24"/>
        </w:rPr>
      </w:pPr>
      <w:r>
        <w:rPr>
          <w:rFonts w:ascii="Times New Roman" w:hAnsi="Times New Roman" w:cs="Times New Roman"/>
          <w:b/>
          <w:sz w:val="24"/>
          <w:szCs w:val="24"/>
        </w:rPr>
        <w:br w:type="page"/>
      </w:r>
    </w:p>
    <w:sdt>
      <w:sdtPr>
        <w:id w:val="-1963951254"/>
        <w:docPartObj>
          <w:docPartGallery w:val="Table of Contents"/>
          <w:docPartUnique/>
        </w:docPartObj>
      </w:sdtPr>
      <w:sdtEndPr>
        <w:rPr>
          <w:rFonts w:ascii="Georgia" w:eastAsiaTheme="minorHAnsi" w:hAnsiTheme="minorHAnsi" w:cstheme="minorBidi"/>
          <w:noProof/>
          <w:color w:val="auto"/>
          <w:sz w:val="21"/>
          <w:szCs w:val="22"/>
        </w:rPr>
      </w:sdtEndPr>
      <w:sdtContent>
        <w:p w14:paraId="50A7BD96" w14:textId="44066C61" w:rsidR="00760A96" w:rsidRDefault="00760A96">
          <w:pPr>
            <w:pStyle w:val="TOCHeading"/>
          </w:pPr>
          <w:r>
            <w:t>Table of Contents</w:t>
          </w:r>
        </w:p>
        <w:p w14:paraId="0718F442" w14:textId="4A01678D" w:rsidR="00760A96" w:rsidRDefault="00760A96">
          <w:pPr>
            <w:pStyle w:val="TOC1"/>
            <w:tabs>
              <w:tab w:val="right" w:leader="dot" w:pos="8680"/>
            </w:tabs>
            <w:rPr>
              <w:noProof/>
            </w:rPr>
          </w:pPr>
          <w:r>
            <w:rPr>
              <w:b w:val="0"/>
              <w:bCs w:val="0"/>
            </w:rPr>
            <w:fldChar w:fldCharType="begin"/>
          </w:r>
          <w:r>
            <w:instrText xml:space="preserve"> TOC \o "1-3" \h \z \u </w:instrText>
          </w:r>
          <w:r>
            <w:rPr>
              <w:b w:val="0"/>
              <w:bCs w:val="0"/>
            </w:rPr>
            <w:fldChar w:fldCharType="separate"/>
          </w:r>
          <w:hyperlink w:anchor="_Toc221391239" w:history="1">
            <w:r w:rsidRPr="00486BAE">
              <w:rPr>
                <w:rStyle w:val="Hyperlink"/>
                <w:noProof/>
              </w:rPr>
              <w:t>Executive Summary</w:t>
            </w:r>
            <w:r>
              <w:rPr>
                <w:noProof/>
                <w:webHidden/>
              </w:rPr>
              <w:tab/>
            </w:r>
            <w:r>
              <w:rPr>
                <w:noProof/>
                <w:webHidden/>
              </w:rPr>
              <w:fldChar w:fldCharType="begin"/>
            </w:r>
            <w:r>
              <w:rPr>
                <w:noProof/>
                <w:webHidden/>
              </w:rPr>
              <w:instrText xml:space="preserve"> PAGEREF _Toc221391239 \h </w:instrText>
            </w:r>
            <w:r>
              <w:rPr>
                <w:noProof/>
                <w:webHidden/>
              </w:rPr>
            </w:r>
            <w:r>
              <w:rPr>
                <w:noProof/>
                <w:webHidden/>
              </w:rPr>
              <w:fldChar w:fldCharType="separate"/>
            </w:r>
            <w:r>
              <w:rPr>
                <w:noProof/>
                <w:webHidden/>
              </w:rPr>
              <w:t>3</w:t>
            </w:r>
            <w:r>
              <w:rPr>
                <w:noProof/>
                <w:webHidden/>
              </w:rPr>
              <w:fldChar w:fldCharType="end"/>
            </w:r>
          </w:hyperlink>
        </w:p>
        <w:p w14:paraId="635F481D" w14:textId="7F35C0D3" w:rsidR="00760A96" w:rsidRDefault="00760A96">
          <w:pPr>
            <w:pStyle w:val="TOC1"/>
            <w:tabs>
              <w:tab w:val="right" w:leader="dot" w:pos="8680"/>
            </w:tabs>
            <w:rPr>
              <w:noProof/>
            </w:rPr>
          </w:pPr>
          <w:hyperlink w:anchor="_Toc221391240" w:history="1">
            <w:r w:rsidRPr="00486BAE">
              <w:rPr>
                <w:rStyle w:val="Hyperlink"/>
                <w:noProof/>
              </w:rPr>
              <w:t>Problem 1: Incomplete Historical Financial Data</w:t>
            </w:r>
            <w:r>
              <w:rPr>
                <w:noProof/>
                <w:webHidden/>
              </w:rPr>
              <w:tab/>
            </w:r>
            <w:r>
              <w:rPr>
                <w:noProof/>
                <w:webHidden/>
              </w:rPr>
              <w:fldChar w:fldCharType="begin"/>
            </w:r>
            <w:r>
              <w:rPr>
                <w:noProof/>
                <w:webHidden/>
              </w:rPr>
              <w:instrText xml:space="preserve"> PAGEREF _Toc221391240 \h </w:instrText>
            </w:r>
            <w:r>
              <w:rPr>
                <w:noProof/>
                <w:webHidden/>
              </w:rPr>
            </w:r>
            <w:r>
              <w:rPr>
                <w:noProof/>
                <w:webHidden/>
              </w:rPr>
              <w:fldChar w:fldCharType="separate"/>
            </w:r>
            <w:r>
              <w:rPr>
                <w:noProof/>
                <w:webHidden/>
              </w:rPr>
              <w:t>3</w:t>
            </w:r>
            <w:r>
              <w:rPr>
                <w:noProof/>
                <w:webHidden/>
              </w:rPr>
              <w:fldChar w:fldCharType="end"/>
            </w:r>
          </w:hyperlink>
        </w:p>
        <w:p w14:paraId="595E6CF5" w14:textId="6A7D0149" w:rsidR="00760A96" w:rsidRDefault="00760A96">
          <w:pPr>
            <w:pStyle w:val="TOC1"/>
            <w:tabs>
              <w:tab w:val="right" w:leader="dot" w:pos="8680"/>
            </w:tabs>
            <w:rPr>
              <w:noProof/>
            </w:rPr>
          </w:pPr>
          <w:hyperlink w:anchor="_Toc221391241" w:history="1">
            <w:r w:rsidRPr="00486BAE">
              <w:rPr>
                <w:rStyle w:val="Hyperlink"/>
                <w:noProof/>
              </w:rPr>
              <w:t>Problem 2: Purchase Price Allocation and Fair Value Estimation</w:t>
            </w:r>
            <w:r>
              <w:rPr>
                <w:noProof/>
                <w:webHidden/>
              </w:rPr>
              <w:tab/>
            </w:r>
            <w:r>
              <w:rPr>
                <w:noProof/>
                <w:webHidden/>
              </w:rPr>
              <w:fldChar w:fldCharType="begin"/>
            </w:r>
            <w:r>
              <w:rPr>
                <w:noProof/>
                <w:webHidden/>
              </w:rPr>
              <w:instrText xml:space="preserve"> PAGEREF _Toc221391241 \h </w:instrText>
            </w:r>
            <w:r>
              <w:rPr>
                <w:noProof/>
                <w:webHidden/>
              </w:rPr>
            </w:r>
            <w:r>
              <w:rPr>
                <w:noProof/>
                <w:webHidden/>
              </w:rPr>
              <w:fldChar w:fldCharType="separate"/>
            </w:r>
            <w:r>
              <w:rPr>
                <w:noProof/>
                <w:webHidden/>
              </w:rPr>
              <w:t>5</w:t>
            </w:r>
            <w:r>
              <w:rPr>
                <w:noProof/>
                <w:webHidden/>
              </w:rPr>
              <w:fldChar w:fldCharType="end"/>
            </w:r>
          </w:hyperlink>
        </w:p>
        <w:p w14:paraId="1686C67A" w14:textId="228C0457" w:rsidR="00760A96" w:rsidRDefault="00760A96">
          <w:pPr>
            <w:pStyle w:val="TOC1"/>
            <w:tabs>
              <w:tab w:val="right" w:leader="dot" w:pos="8680"/>
            </w:tabs>
            <w:rPr>
              <w:noProof/>
            </w:rPr>
          </w:pPr>
          <w:hyperlink w:anchor="_Toc221391242" w:history="1">
            <w:r w:rsidRPr="00486BAE">
              <w:rPr>
                <w:rStyle w:val="Hyperlink"/>
                <w:noProof/>
              </w:rPr>
              <w:t>Problem 3: Accounting Method Comparison (Purchase vs. Pooling)</w:t>
            </w:r>
            <w:r>
              <w:rPr>
                <w:noProof/>
                <w:webHidden/>
              </w:rPr>
              <w:tab/>
            </w:r>
            <w:r>
              <w:rPr>
                <w:noProof/>
                <w:webHidden/>
              </w:rPr>
              <w:fldChar w:fldCharType="begin"/>
            </w:r>
            <w:r>
              <w:rPr>
                <w:noProof/>
                <w:webHidden/>
              </w:rPr>
              <w:instrText xml:space="preserve"> PAGEREF _Toc221391242 \h </w:instrText>
            </w:r>
            <w:r>
              <w:rPr>
                <w:noProof/>
                <w:webHidden/>
              </w:rPr>
            </w:r>
            <w:r>
              <w:rPr>
                <w:noProof/>
                <w:webHidden/>
              </w:rPr>
              <w:fldChar w:fldCharType="separate"/>
            </w:r>
            <w:r>
              <w:rPr>
                <w:noProof/>
                <w:webHidden/>
              </w:rPr>
              <w:t>6</w:t>
            </w:r>
            <w:r>
              <w:rPr>
                <w:noProof/>
                <w:webHidden/>
              </w:rPr>
              <w:fldChar w:fldCharType="end"/>
            </w:r>
          </w:hyperlink>
        </w:p>
        <w:p w14:paraId="4B78F722" w14:textId="45D2A552" w:rsidR="00760A96" w:rsidRDefault="00760A96">
          <w:pPr>
            <w:pStyle w:val="TOC1"/>
            <w:tabs>
              <w:tab w:val="right" w:leader="dot" w:pos="8680"/>
            </w:tabs>
            <w:rPr>
              <w:noProof/>
            </w:rPr>
          </w:pPr>
          <w:hyperlink w:anchor="_Toc221391243" w:history="1">
            <w:r w:rsidRPr="00486BAE">
              <w:rPr>
                <w:rStyle w:val="Hyperlink"/>
                <w:noProof/>
              </w:rPr>
              <w:t>Problem 4: Synergy Estimation and DCF Valuation</w:t>
            </w:r>
            <w:r>
              <w:rPr>
                <w:noProof/>
                <w:webHidden/>
              </w:rPr>
              <w:tab/>
            </w:r>
            <w:r>
              <w:rPr>
                <w:noProof/>
                <w:webHidden/>
              </w:rPr>
              <w:fldChar w:fldCharType="begin"/>
            </w:r>
            <w:r>
              <w:rPr>
                <w:noProof/>
                <w:webHidden/>
              </w:rPr>
              <w:instrText xml:space="preserve"> PAGEREF _Toc221391243 \h </w:instrText>
            </w:r>
            <w:r>
              <w:rPr>
                <w:noProof/>
                <w:webHidden/>
              </w:rPr>
            </w:r>
            <w:r>
              <w:rPr>
                <w:noProof/>
                <w:webHidden/>
              </w:rPr>
              <w:fldChar w:fldCharType="separate"/>
            </w:r>
            <w:r>
              <w:rPr>
                <w:noProof/>
                <w:webHidden/>
              </w:rPr>
              <w:t>8</w:t>
            </w:r>
            <w:r>
              <w:rPr>
                <w:noProof/>
                <w:webHidden/>
              </w:rPr>
              <w:fldChar w:fldCharType="end"/>
            </w:r>
          </w:hyperlink>
        </w:p>
        <w:p w14:paraId="7AADB1C2" w14:textId="1DD00BA1" w:rsidR="00760A96" w:rsidRDefault="00760A96">
          <w:pPr>
            <w:pStyle w:val="TOC1"/>
            <w:tabs>
              <w:tab w:val="right" w:leader="dot" w:pos="8680"/>
            </w:tabs>
            <w:rPr>
              <w:noProof/>
            </w:rPr>
          </w:pPr>
          <w:hyperlink w:anchor="_Toc221391244" w:history="1">
            <w:r w:rsidRPr="00486BAE">
              <w:rPr>
                <w:rStyle w:val="Hyperlink"/>
                <w:noProof/>
              </w:rPr>
              <w:t>Problem 5: Integration Risk Assessment and Recommendation Framework</w:t>
            </w:r>
            <w:r>
              <w:rPr>
                <w:noProof/>
                <w:webHidden/>
              </w:rPr>
              <w:tab/>
            </w:r>
            <w:r>
              <w:rPr>
                <w:noProof/>
                <w:webHidden/>
              </w:rPr>
              <w:fldChar w:fldCharType="begin"/>
            </w:r>
            <w:r>
              <w:rPr>
                <w:noProof/>
                <w:webHidden/>
              </w:rPr>
              <w:instrText xml:space="preserve"> PAGEREF _Toc221391244 \h </w:instrText>
            </w:r>
            <w:r>
              <w:rPr>
                <w:noProof/>
                <w:webHidden/>
              </w:rPr>
            </w:r>
            <w:r>
              <w:rPr>
                <w:noProof/>
                <w:webHidden/>
              </w:rPr>
              <w:fldChar w:fldCharType="separate"/>
            </w:r>
            <w:r>
              <w:rPr>
                <w:noProof/>
                <w:webHidden/>
              </w:rPr>
              <w:t>10</w:t>
            </w:r>
            <w:r>
              <w:rPr>
                <w:noProof/>
                <w:webHidden/>
              </w:rPr>
              <w:fldChar w:fldCharType="end"/>
            </w:r>
          </w:hyperlink>
        </w:p>
        <w:p w14:paraId="74895A95" w14:textId="29136916" w:rsidR="00760A96" w:rsidRDefault="00760A96">
          <w:pPr>
            <w:pStyle w:val="TOC1"/>
            <w:tabs>
              <w:tab w:val="right" w:leader="dot" w:pos="8680"/>
            </w:tabs>
            <w:rPr>
              <w:noProof/>
            </w:rPr>
          </w:pPr>
          <w:hyperlink w:anchor="_Toc221391245" w:history="1">
            <w:r w:rsidRPr="00486BAE">
              <w:rPr>
                <w:rStyle w:val="Hyperlink"/>
                <w:noProof/>
              </w:rPr>
              <w:t>Conclusion</w:t>
            </w:r>
            <w:r>
              <w:rPr>
                <w:noProof/>
                <w:webHidden/>
              </w:rPr>
              <w:tab/>
            </w:r>
            <w:r>
              <w:rPr>
                <w:noProof/>
                <w:webHidden/>
              </w:rPr>
              <w:fldChar w:fldCharType="begin"/>
            </w:r>
            <w:r>
              <w:rPr>
                <w:noProof/>
                <w:webHidden/>
              </w:rPr>
              <w:instrText xml:space="preserve"> PAGEREF _Toc221391245 \h </w:instrText>
            </w:r>
            <w:r>
              <w:rPr>
                <w:noProof/>
                <w:webHidden/>
              </w:rPr>
            </w:r>
            <w:r>
              <w:rPr>
                <w:noProof/>
                <w:webHidden/>
              </w:rPr>
              <w:fldChar w:fldCharType="separate"/>
            </w:r>
            <w:r>
              <w:rPr>
                <w:noProof/>
                <w:webHidden/>
              </w:rPr>
              <w:t>12</w:t>
            </w:r>
            <w:r>
              <w:rPr>
                <w:noProof/>
                <w:webHidden/>
              </w:rPr>
              <w:fldChar w:fldCharType="end"/>
            </w:r>
          </w:hyperlink>
        </w:p>
        <w:p w14:paraId="5464F0C0" w14:textId="408CE796" w:rsidR="00760A96" w:rsidRDefault="00760A96">
          <w:pPr>
            <w:pStyle w:val="TOC1"/>
            <w:tabs>
              <w:tab w:val="right" w:leader="dot" w:pos="8680"/>
            </w:tabs>
            <w:rPr>
              <w:noProof/>
            </w:rPr>
          </w:pPr>
          <w:hyperlink w:anchor="_Toc221391246" w:history="1">
            <w:r w:rsidRPr="00486BAE">
              <w:rPr>
                <w:rStyle w:val="Hyperlink"/>
                <w:noProof/>
              </w:rPr>
              <w:t>References</w:t>
            </w:r>
            <w:r>
              <w:rPr>
                <w:noProof/>
                <w:webHidden/>
              </w:rPr>
              <w:tab/>
            </w:r>
            <w:r>
              <w:rPr>
                <w:noProof/>
                <w:webHidden/>
              </w:rPr>
              <w:fldChar w:fldCharType="begin"/>
            </w:r>
            <w:r>
              <w:rPr>
                <w:noProof/>
                <w:webHidden/>
              </w:rPr>
              <w:instrText xml:space="preserve"> PAGEREF _Toc221391246 \h </w:instrText>
            </w:r>
            <w:r>
              <w:rPr>
                <w:noProof/>
                <w:webHidden/>
              </w:rPr>
            </w:r>
            <w:r>
              <w:rPr>
                <w:noProof/>
                <w:webHidden/>
              </w:rPr>
              <w:fldChar w:fldCharType="separate"/>
            </w:r>
            <w:r>
              <w:rPr>
                <w:noProof/>
                <w:webHidden/>
              </w:rPr>
              <w:t>12</w:t>
            </w:r>
            <w:r>
              <w:rPr>
                <w:noProof/>
                <w:webHidden/>
              </w:rPr>
              <w:fldChar w:fldCharType="end"/>
            </w:r>
          </w:hyperlink>
        </w:p>
        <w:p w14:paraId="4E20FE4E" w14:textId="789D4253" w:rsidR="00760A96" w:rsidRDefault="00760A96">
          <w:r>
            <w:rPr>
              <w:b/>
              <w:bCs/>
              <w:noProof/>
            </w:rPr>
            <w:fldChar w:fldCharType="end"/>
          </w:r>
        </w:p>
      </w:sdtContent>
    </w:sdt>
    <w:p w14:paraId="39B2EDC7" w14:textId="497D56A1" w:rsidR="00760A96" w:rsidRDefault="00760A96">
      <w:pPr>
        <w:rPr>
          <w:rFonts w:ascii="Times New Roman" w:hAnsi="Times New Roman" w:cs="Times New Roman"/>
          <w:sz w:val="24"/>
          <w:szCs w:val="24"/>
        </w:rPr>
      </w:pPr>
      <w:r>
        <w:rPr>
          <w:rFonts w:ascii="Times New Roman" w:hAnsi="Times New Roman" w:cs="Times New Roman"/>
          <w:sz w:val="24"/>
          <w:szCs w:val="24"/>
        </w:rPr>
        <w:br w:type="page"/>
      </w:r>
    </w:p>
    <w:p w14:paraId="687127B1" w14:textId="77777777" w:rsidR="00C56532" w:rsidRPr="00760A96" w:rsidRDefault="00C56532" w:rsidP="00760A96">
      <w:pPr>
        <w:spacing w:before="240" w:line="288" w:lineRule="auto"/>
        <w:jc w:val="both"/>
        <w:rPr>
          <w:rFonts w:ascii="Times New Roman" w:hAnsi="Times New Roman" w:cs="Times New Roman"/>
          <w:sz w:val="24"/>
          <w:szCs w:val="24"/>
        </w:rPr>
      </w:pPr>
    </w:p>
    <w:p w14:paraId="7DE27F71" w14:textId="77777777" w:rsidR="00C56532" w:rsidRPr="00760A96" w:rsidRDefault="00000000" w:rsidP="00760A96">
      <w:pPr>
        <w:pStyle w:val="Heading1"/>
      </w:pPr>
      <w:bookmarkStart w:id="1" w:name="executive_summary"/>
      <w:bookmarkStart w:id="2" w:name="_Toc221391239"/>
      <w:r w:rsidRPr="00760A96">
        <w:t>Executive Summary</w:t>
      </w:r>
      <w:bookmarkEnd w:id="1"/>
      <w:bookmarkEnd w:id="2"/>
    </w:p>
    <w:p w14:paraId="754007C3"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This report documents the significant challenges encountered during the financial analysis of the AOL-Time Warner merger announced in January 2000, valued at approximately $165 billion. The merger represented the largest corporate combination in history at that time and presented unique analytical challenges due to data limitations, accounting complexity, and the unprecedented nature of an internet company acquiring a traditional media conglomerate.</w:t>
      </w:r>
    </w:p>
    <w:p w14:paraId="3476AB77"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The analysis required developing robust methodologies to overcome incomplete historical data, estimate fair values for intangible assets, reconcile different accounting treatments, and assess synergy realization in a rapidly evolving industry. This report details the five major problem areas encountered and the systematic solutions implemented to produce a comprehensive financial analysis.</w:t>
      </w:r>
    </w:p>
    <w:p w14:paraId="0AD5223A" w14:textId="77777777" w:rsidR="00760A96" w:rsidRPr="00760A96" w:rsidRDefault="00760A96" w:rsidP="00760A96">
      <w:pPr>
        <w:pStyle w:val="Heading1"/>
        <w:rPr>
          <w:sz w:val="24"/>
          <w:szCs w:val="24"/>
        </w:rPr>
      </w:pPr>
      <w:bookmarkStart w:id="3" w:name="problem_1_incomplete_historical_f_26df23"/>
    </w:p>
    <w:p w14:paraId="479CD629" w14:textId="66EC1B03" w:rsidR="00C56532" w:rsidRPr="00760A96" w:rsidRDefault="00000000" w:rsidP="00760A96">
      <w:pPr>
        <w:pStyle w:val="Heading1"/>
      </w:pPr>
      <w:bookmarkStart w:id="4" w:name="_Toc221391240"/>
      <w:r w:rsidRPr="00760A96">
        <w:t>Problem 1: Incomplete Historical Financial Data</w:t>
      </w:r>
      <w:bookmarkEnd w:id="3"/>
      <w:bookmarkEnd w:id="4"/>
    </w:p>
    <w:p w14:paraId="66D0CC3E" w14:textId="77777777" w:rsidR="00C56532" w:rsidRPr="00760A96" w:rsidRDefault="00000000" w:rsidP="00760A96">
      <w:pPr>
        <w:spacing w:before="240" w:line="271" w:lineRule="auto"/>
        <w:jc w:val="both"/>
        <w:rPr>
          <w:rFonts w:ascii="Times New Roman" w:hAnsi="Times New Roman" w:cs="Times New Roman"/>
          <w:sz w:val="24"/>
          <w:szCs w:val="24"/>
        </w:rPr>
      </w:pPr>
      <w:bookmarkStart w:id="5" w:name="challenge_description"/>
      <w:r w:rsidRPr="00760A96">
        <w:rPr>
          <w:rFonts w:ascii="Times New Roman" w:hAnsi="Times New Roman" w:cs="Times New Roman"/>
          <w:b/>
          <w:sz w:val="24"/>
          <w:szCs w:val="24"/>
        </w:rPr>
        <w:t>Challenge Description</w:t>
      </w:r>
      <w:bookmarkEnd w:id="5"/>
    </w:p>
    <w:p w14:paraId="73384F32"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The most significant obstacle in analyzing the AOL-Time Warner merger was the scarcity of complete, publicly available historical financial data for both companies for the fiscal year 1999. While the merger was announced in January 2000, detailed consolidated financial statements for the most recent fiscal year were not readily accessible through standard sources.</w:t>
      </w:r>
    </w:p>
    <w:p w14:paraId="524327DA"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Specific data gaps included:</w:t>
      </w:r>
    </w:p>
    <w:p w14:paraId="755CA53E" w14:textId="77777777" w:rsidR="00C56532" w:rsidRPr="00760A96" w:rsidRDefault="00000000" w:rsidP="00760A96">
      <w:pPr>
        <w:numPr>
          <w:ilvl w:val="0"/>
          <w:numId w:val="1"/>
        </w:numPr>
        <w:jc w:val="both"/>
        <w:rPr>
          <w:rFonts w:ascii="Times New Roman" w:hAnsi="Times New Roman" w:cs="Times New Roman"/>
          <w:sz w:val="24"/>
          <w:szCs w:val="24"/>
        </w:rPr>
      </w:pPr>
      <w:r w:rsidRPr="00760A96">
        <w:rPr>
          <w:rFonts w:ascii="Times New Roman" w:hAnsi="Times New Roman" w:cs="Times New Roman"/>
          <w:sz w:val="24"/>
          <w:szCs w:val="24"/>
        </w:rPr>
        <w:t>Complete balance sheet details for AOL as of December 31, 1999</w:t>
      </w:r>
    </w:p>
    <w:p w14:paraId="7E3C2D90" w14:textId="77777777" w:rsidR="00C56532" w:rsidRPr="00760A96" w:rsidRDefault="00000000" w:rsidP="00760A96">
      <w:pPr>
        <w:numPr>
          <w:ilvl w:val="0"/>
          <w:numId w:val="1"/>
        </w:numPr>
        <w:jc w:val="both"/>
        <w:rPr>
          <w:rFonts w:ascii="Times New Roman" w:hAnsi="Times New Roman" w:cs="Times New Roman"/>
          <w:sz w:val="24"/>
          <w:szCs w:val="24"/>
        </w:rPr>
      </w:pPr>
      <w:r w:rsidRPr="00760A96">
        <w:rPr>
          <w:rFonts w:ascii="Times New Roman" w:hAnsi="Times New Roman" w:cs="Times New Roman"/>
          <w:sz w:val="24"/>
          <w:szCs w:val="24"/>
        </w:rPr>
        <w:t>Detailed asset composition and fair value estimates for Time Warner</w:t>
      </w:r>
    </w:p>
    <w:p w14:paraId="65ACD8AF" w14:textId="77777777" w:rsidR="00C56532" w:rsidRPr="00760A96" w:rsidRDefault="00000000" w:rsidP="00760A96">
      <w:pPr>
        <w:numPr>
          <w:ilvl w:val="0"/>
          <w:numId w:val="1"/>
        </w:numPr>
        <w:jc w:val="both"/>
        <w:rPr>
          <w:rFonts w:ascii="Times New Roman" w:hAnsi="Times New Roman" w:cs="Times New Roman"/>
          <w:sz w:val="24"/>
          <w:szCs w:val="24"/>
        </w:rPr>
      </w:pPr>
      <w:r w:rsidRPr="00760A96">
        <w:rPr>
          <w:rFonts w:ascii="Times New Roman" w:hAnsi="Times New Roman" w:cs="Times New Roman"/>
          <w:sz w:val="24"/>
          <w:szCs w:val="24"/>
        </w:rPr>
        <w:t>Granular income statement line items beyond revenue and net income</w:t>
      </w:r>
    </w:p>
    <w:p w14:paraId="330196A7" w14:textId="77777777" w:rsidR="00C56532" w:rsidRPr="00760A96" w:rsidRDefault="00000000" w:rsidP="00760A96">
      <w:pPr>
        <w:numPr>
          <w:ilvl w:val="0"/>
          <w:numId w:val="1"/>
        </w:numPr>
        <w:jc w:val="both"/>
        <w:rPr>
          <w:rFonts w:ascii="Times New Roman" w:hAnsi="Times New Roman" w:cs="Times New Roman"/>
          <w:sz w:val="24"/>
          <w:szCs w:val="24"/>
        </w:rPr>
      </w:pPr>
      <w:r w:rsidRPr="00760A96">
        <w:rPr>
          <w:rFonts w:ascii="Times New Roman" w:hAnsi="Times New Roman" w:cs="Times New Roman"/>
          <w:sz w:val="24"/>
          <w:szCs w:val="24"/>
        </w:rPr>
        <w:t>Cash flow statement components for operating, investing, and financing activities</w:t>
      </w:r>
    </w:p>
    <w:p w14:paraId="5EFD5FC7" w14:textId="77777777" w:rsidR="00C56532" w:rsidRPr="00760A96" w:rsidRDefault="00000000" w:rsidP="00760A96">
      <w:pPr>
        <w:numPr>
          <w:ilvl w:val="0"/>
          <w:numId w:val="1"/>
        </w:numPr>
        <w:jc w:val="both"/>
        <w:rPr>
          <w:rFonts w:ascii="Times New Roman" w:hAnsi="Times New Roman" w:cs="Times New Roman"/>
          <w:sz w:val="24"/>
          <w:szCs w:val="24"/>
        </w:rPr>
      </w:pPr>
      <w:r w:rsidRPr="00760A96">
        <w:rPr>
          <w:rFonts w:ascii="Times New Roman" w:hAnsi="Times New Roman" w:cs="Times New Roman"/>
          <w:sz w:val="24"/>
          <w:szCs w:val="24"/>
        </w:rPr>
        <w:t>Segment-level financial information for both companies</w:t>
      </w:r>
    </w:p>
    <w:p w14:paraId="395050B3"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This created a fundamental problem: how could we perform rigorous purchase price allocation, goodwill calculation, and pro forma financial statement preparation without baseline financial data?</w:t>
      </w:r>
    </w:p>
    <w:p w14:paraId="75EE02E0" w14:textId="77777777" w:rsidR="00760A96" w:rsidRDefault="00760A96" w:rsidP="00760A96">
      <w:pPr>
        <w:spacing w:before="240" w:line="271" w:lineRule="auto"/>
        <w:jc w:val="both"/>
        <w:rPr>
          <w:rFonts w:ascii="Times New Roman" w:hAnsi="Times New Roman" w:cs="Times New Roman"/>
          <w:b/>
          <w:sz w:val="24"/>
          <w:szCs w:val="24"/>
        </w:rPr>
      </w:pPr>
      <w:bookmarkStart w:id="6" w:name="solution_implemented"/>
    </w:p>
    <w:p w14:paraId="321D6437" w14:textId="77777777" w:rsidR="00760A96" w:rsidRDefault="00760A96" w:rsidP="00760A96">
      <w:pPr>
        <w:spacing w:before="240" w:line="271" w:lineRule="auto"/>
        <w:jc w:val="both"/>
        <w:rPr>
          <w:rFonts w:ascii="Times New Roman" w:hAnsi="Times New Roman" w:cs="Times New Roman"/>
          <w:b/>
          <w:sz w:val="24"/>
          <w:szCs w:val="24"/>
        </w:rPr>
      </w:pPr>
    </w:p>
    <w:p w14:paraId="4D7D6D53" w14:textId="77777777" w:rsidR="00760A96" w:rsidRDefault="00760A96" w:rsidP="00760A96">
      <w:pPr>
        <w:spacing w:before="240" w:line="271" w:lineRule="auto"/>
        <w:jc w:val="both"/>
        <w:rPr>
          <w:rFonts w:ascii="Times New Roman" w:hAnsi="Times New Roman" w:cs="Times New Roman"/>
          <w:b/>
          <w:sz w:val="24"/>
          <w:szCs w:val="24"/>
        </w:rPr>
      </w:pPr>
    </w:p>
    <w:p w14:paraId="5934C316" w14:textId="71A1210A" w:rsidR="00C56532" w:rsidRPr="00760A96" w:rsidRDefault="00000000" w:rsidP="00760A96">
      <w:pPr>
        <w:spacing w:before="240" w:line="271" w:lineRule="auto"/>
        <w:jc w:val="both"/>
        <w:rPr>
          <w:rFonts w:ascii="Times New Roman" w:hAnsi="Times New Roman" w:cs="Times New Roman"/>
          <w:sz w:val="24"/>
          <w:szCs w:val="24"/>
        </w:rPr>
      </w:pPr>
      <w:r w:rsidRPr="00760A96">
        <w:rPr>
          <w:rFonts w:ascii="Times New Roman" w:hAnsi="Times New Roman" w:cs="Times New Roman"/>
          <w:b/>
          <w:sz w:val="24"/>
          <w:szCs w:val="24"/>
        </w:rPr>
        <w:lastRenderedPageBreak/>
        <w:t>Solution Implemented</w:t>
      </w:r>
      <w:bookmarkEnd w:id="6"/>
    </w:p>
    <w:p w14:paraId="582CF796"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To address this challenge, we developed a multi-source data triangulation approach:</w:t>
      </w:r>
    </w:p>
    <w:p w14:paraId="5023121A"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Primary Sources Utilized:</w:t>
      </w:r>
    </w:p>
    <w:p w14:paraId="6C7A5CC3" w14:textId="77777777" w:rsidR="00C56532" w:rsidRPr="00760A96" w:rsidRDefault="00000000" w:rsidP="00760A96">
      <w:pPr>
        <w:numPr>
          <w:ilvl w:val="0"/>
          <w:numId w:val="2"/>
        </w:numPr>
        <w:jc w:val="both"/>
        <w:rPr>
          <w:rFonts w:ascii="Times New Roman" w:hAnsi="Times New Roman" w:cs="Times New Roman"/>
          <w:sz w:val="24"/>
          <w:szCs w:val="24"/>
        </w:rPr>
      </w:pPr>
      <w:r w:rsidRPr="00760A96">
        <w:rPr>
          <w:rFonts w:ascii="Times New Roman" w:hAnsi="Times New Roman" w:cs="Times New Roman"/>
          <w:sz w:val="24"/>
          <w:szCs w:val="24"/>
        </w:rPr>
        <w:t>SEC EDGAR filings: Retrieved 10-K annual reports and proxy statements from both companies</w:t>
      </w:r>
    </w:p>
    <w:p w14:paraId="2D45A591" w14:textId="77777777" w:rsidR="00C56532" w:rsidRPr="00760A96" w:rsidRDefault="00000000" w:rsidP="00760A96">
      <w:pPr>
        <w:numPr>
          <w:ilvl w:val="0"/>
          <w:numId w:val="2"/>
        </w:numPr>
        <w:jc w:val="both"/>
        <w:rPr>
          <w:rFonts w:ascii="Times New Roman" w:hAnsi="Times New Roman" w:cs="Times New Roman"/>
          <w:sz w:val="24"/>
          <w:szCs w:val="24"/>
        </w:rPr>
      </w:pPr>
      <w:r w:rsidRPr="00760A96">
        <w:rPr>
          <w:rFonts w:ascii="Times New Roman" w:hAnsi="Times New Roman" w:cs="Times New Roman"/>
          <w:sz w:val="24"/>
          <w:szCs w:val="24"/>
        </w:rPr>
        <w:t>Historical case studies: Accessed Stanford GSB case materials that contained summarized financial data</w:t>
      </w:r>
    </w:p>
    <w:p w14:paraId="63ED87C3" w14:textId="77777777" w:rsidR="00C56532" w:rsidRPr="00760A96" w:rsidRDefault="00000000" w:rsidP="00760A96">
      <w:pPr>
        <w:numPr>
          <w:ilvl w:val="0"/>
          <w:numId w:val="2"/>
        </w:numPr>
        <w:jc w:val="both"/>
        <w:rPr>
          <w:rFonts w:ascii="Times New Roman" w:hAnsi="Times New Roman" w:cs="Times New Roman"/>
          <w:sz w:val="24"/>
          <w:szCs w:val="24"/>
        </w:rPr>
      </w:pPr>
      <w:r w:rsidRPr="00760A96">
        <w:rPr>
          <w:rFonts w:ascii="Times New Roman" w:hAnsi="Times New Roman" w:cs="Times New Roman"/>
          <w:sz w:val="24"/>
          <w:szCs w:val="24"/>
        </w:rPr>
        <w:t>Contemporary financial press: Used Wall Street Journal and Fortune magazine articles from 2000-2002 that cited specific financial metrics</w:t>
      </w:r>
    </w:p>
    <w:p w14:paraId="2A7E26BF" w14:textId="77777777" w:rsidR="00C56532" w:rsidRPr="00760A96" w:rsidRDefault="00000000" w:rsidP="00760A96">
      <w:pPr>
        <w:numPr>
          <w:ilvl w:val="0"/>
          <w:numId w:val="2"/>
        </w:numPr>
        <w:jc w:val="both"/>
        <w:rPr>
          <w:rFonts w:ascii="Times New Roman" w:hAnsi="Times New Roman" w:cs="Times New Roman"/>
          <w:sz w:val="24"/>
          <w:szCs w:val="24"/>
        </w:rPr>
      </w:pPr>
      <w:r w:rsidRPr="00760A96">
        <w:rPr>
          <w:rFonts w:ascii="Times New Roman" w:hAnsi="Times New Roman" w:cs="Times New Roman"/>
          <w:sz w:val="24"/>
          <w:szCs w:val="24"/>
        </w:rPr>
        <w:t>Academic research papers: Consulted journal articles analyzing the merger that included financial tables</w:t>
      </w:r>
    </w:p>
    <w:p w14:paraId="793FEF87" w14:textId="77777777" w:rsidR="00760A96" w:rsidRDefault="00760A96" w:rsidP="00760A96">
      <w:pPr>
        <w:spacing w:after="210"/>
        <w:jc w:val="both"/>
        <w:rPr>
          <w:rFonts w:ascii="Times New Roman" w:hAnsi="Times New Roman" w:cs="Times New Roman"/>
          <w:b/>
          <w:sz w:val="24"/>
          <w:szCs w:val="24"/>
        </w:rPr>
      </w:pPr>
    </w:p>
    <w:p w14:paraId="44A13E3C" w14:textId="5FD7EA2F"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Data Validation Process:</w:t>
      </w:r>
    </w:p>
    <w:p w14:paraId="78DD5D42"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We cross-referenced each financial figure across multiple sources. For example, AOL's 1999 revenue was verified across three independent sources before being accepted. When exact figures were unavailable, we used the following estimation hierarchy:</w:t>
      </w:r>
    </w:p>
    <w:p w14:paraId="5F4FA888" w14:textId="77777777" w:rsidR="00C56532" w:rsidRPr="00760A96" w:rsidRDefault="00000000" w:rsidP="00760A96">
      <w:pPr>
        <w:numPr>
          <w:ilvl w:val="0"/>
          <w:numId w:val="3"/>
        </w:numPr>
        <w:jc w:val="both"/>
        <w:rPr>
          <w:rFonts w:ascii="Times New Roman" w:hAnsi="Times New Roman" w:cs="Times New Roman"/>
          <w:sz w:val="24"/>
          <w:szCs w:val="24"/>
        </w:rPr>
      </w:pPr>
      <w:r w:rsidRPr="00760A96">
        <w:rPr>
          <w:rFonts w:ascii="Times New Roman" w:hAnsi="Times New Roman" w:cs="Times New Roman"/>
          <w:sz w:val="24"/>
          <w:szCs w:val="24"/>
        </w:rPr>
        <w:t>Official SEC filings (highest priority)</w:t>
      </w:r>
    </w:p>
    <w:p w14:paraId="0E01577B" w14:textId="77777777" w:rsidR="00C56532" w:rsidRPr="00760A96" w:rsidRDefault="00000000" w:rsidP="00760A96">
      <w:pPr>
        <w:numPr>
          <w:ilvl w:val="0"/>
          <w:numId w:val="3"/>
        </w:numPr>
        <w:jc w:val="both"/>
        <w:rPr>
          <w:rFonts w:ascii="Times New Roman" w:hAnsi="Times New Roman" w:cs="Times New Roman"/>
          <w:sz w:val="24"/>
          <w:szCs w:val="24"/>
        </w:rPr>
      </w:pPr>
      <w:r w:rsidRPr="00760A96">
        <w:rPr>
          <w:rFonts w:ascii="Times New Roman" w:hAnsi="Times New Roman" w:cs="Times New Roman"/>
          <w:sz w:val="24"/>
          <w:szCs w:val="24"/>
        </w:rPr>
        <w:t>Contemporaneous financial press citing company sources</w:t>
      </w:r>
    </w:p>
    <w:p w14:paraId="6485B6A3" w14:textId="77777777" w:rsidR="00C56532" w:rsidRPr="00760A96" w:rsidRDefault="00000000" w:rsidP="00760A96">
      <w:pPr>
        <w:numPr>
          <w:ilvl w:val="0"/>
          <w:numId w:val="3"/>
        </w:numPr>
        <w:jc w:val="both"/>
        <w:rPr>
          <w:rFonts w:ascii="Times New Roman" w:hAnsi="Times New Roman" w:cs="Times New Roman"/>
          <w:sz w:val="24"/>
          <w:szCs w:val="24"/>
        </w:rPr>
      </w:pPr>
      <w:r w:rsidRPr="00760A96">
        <w:rPr>
          <w:rFonts w:ascii="Times New Roman" w:hAnsi="Times New Roman" w:cs="Times New Roman"/>
          <w:sz w:val="24"/>
          <w:szCs w:val="24"/>
        </w:rPr>
        <w:t>Academic case studies with cited sources</w:t>
      </w:r>
    </w:p>
    <w:p w14:paraId="78BC8AD1" w14:textId="77777777" w:rsidR="00C56532" w:rsidRPr="00760A96" w:rsidRDefault="00000000" w:rsidP="00760A96">
      <w:pPr>
        <w:numPr>
          <w:ilvl w:val="0"/>
          <w:numId w:val="3"/>
        </w:numPr>
        <w:jc w:val="both"/>
        <w:rPr>
          <w:rFonts w:ascii="Times New Roman" w:hAnsi="Times New Roman" w:cs="Times New Roman"/>
          <w:sz w:val="24"/>
          <w:szCs w:val="24"/>
        </w:rPr>
      </w:pPr>
      <w:r w:rsidRPr="00760A96">
        <w:rPr>
          <w:rFonts w:ascii="Times New Roman" w:hAnsi="Times New Roman" w:cs="Times New Roman"/>
          <w:sz w:val="24"/>
          <w:szCs w:val="24"/>
        </w:rPr>
        <w:t>Industry-standard financial ratios to estimate missing components</w:t>
      </w:r>
    </w:p>
    <w:p w14:paraId="377E2DF2" w14:textId="77777777" w:rsidR="00760A96" w:rsidRDefault="00760A96" w:rsidP="00760A96">
      <w:pPr>
        <w:spacing w:after="210"/>
        <w:jc w:val="both"/>
        <w:rPr>
          <w:rFonts w:ascii="Times New Roman" w:hAnsi="Times New Roman" w:cs="Times New Roman"/>
          <w:b/>
          <w:sz w:val="24"/>
          <w:szCs w:val="24"/>
        </w:rPr>
      </w:pPr>
    </w:p>
    <w:p w14:paraId="74265A93" w14:textId="09CDCEAB"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Key Data Points Established:</w:t>
      </w:r>
    </w:p>
    <w:p w14:paraId="7E6DB3C2"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Through this process, we successfully established:</w:t>
      </w:r>
    </w:p>
    <w:p w14:paraId="51960B24" w14:textId="77777777" w:rsidR="00C56532" w:rsidRPr="00760A96" w:rsidRDefault="00000000" w:rsidP="00760A96">
      <w:pPr>
        <w:numPr>
          <w:ilvl w:val="0"/>
          <w:numId w:val="4"/>
        </w:numPr>
        <w:jc w:val="both"/>
        <w:rPr>
          <w:rFonts w:ascii="Times New Roman" w:hAnsi="Times New Roman" w:cs="Times New Roman"/>
          <w:sz w:val="24"/>
          <w:szCs w:val="24"/>
        </w:rPr>
      </w:pPr>
      <w:r w:rsidRPr="00760A96">
        <w:rPr>
          <w:rFonts w:ascii="Times New Roman" w:hAnsi="Times New Roman" w:cs="Times New Roman"/>
          <w:sz w:val="24"/>
          <w:szCs w:val="24"/>
        </w:rPr>
        <w:t>AOL 1999 revenue: $4.8 billion; Net income: $1.2 billion</w:t>
      </w:r>
    </w:p>
    <w:p w14:paraId="0436530D" w14:textId="77777777" w:rsidR="00C56532" w:rsidRPr="00760A96" w:rsidRDefault="00000000" w:rsidP="00760A96">
      <w:pPr>
        <w:numPr>
          <w:ilvl w:val="0"/>
          <w:numId w:val="4"/>
        </w:numPr>
        <w:jc w:val="both"/>
        <w:rPr>
          <w:rFonts w:ascii="Times New Roman" w:hAnsi="Times New Roman" w:cs="Times New Roman"/>
          <w:sz w:val="24"/>
          <w:szCs w:val="24"/>
        </w:rPr>
      </w:pPr>
      <w:r w:rsidRPr="00760A96">
        <w:rPr>
          <w:rFonts w:ascii="Times New Roman" w:hAnsi="Times New Roman" w:cs="Times New Roman"/>
          <w:sz w:val="24"/>
          <w:szCs w:val="24"/>
        </w:rPr>
        <w:t>Time Warner 1999 revenue: $27.3 billion; Net income: $1.9 billion</w:t>
      </w:r>
    </w:p>
    <w:p w14:paraId="331CCD93" w14:textId="77777777" w:rsidR="00C56532" w:rsidRPr="00760A96" w:rsidRDefault="00000000" w:rsidP="00760A96">
      <w:pPr>
        <w:numPr>
          <w:ilvl w:val="0"/>
          <w:numId w:val="4"/>
        </w:numPr>
        <w:jc w:val="both"/>
        <w:rPr>
          <w:rFonts w:ascii="Times New Roman" w:hAnsi="Times New Roman" w:cs="Times New Roman"/>
          <w:sz w:val="24"/>
          <w:szCs w:val="24"/>
        </w:rPr>
      </w:pPr>
      <w:r w:rsidRPr="00760A96">
        <w:rPr>
          <w:rFonts w:ascii="Times New Roman" w:hAnsi="Times New Roman" w:cs="Times New Roman"/>
          <w:sz w:val="24"/>
          <w:szCs w:val="24"/>
        </w:rPr>
        <w:t>AOL market capitalization: $165 billion (January 2000)</w:t>
      </w:r>
    </w:p>
    <w:p w14:paraId="73074E8D" w14:textId="77777777" w:rsidR="00C56532" w:rsidRPr="00760A96" w:rsidRDefault="00000000" w:rsidP="00760A96">
      <w:pPr>
        <w:numPr>
          <w:ilvl w:val="0"/>
          <w:numId w:val="4"/>
        </w:numPr>
        <w:jc w:val="both"/>
        <w:rPr>
          <w:rFonts w:ascii="Times New Roman" w:hAnsi="Times New Roman" w:cs="Times New Roman"/>
          <w:sz w:val="24"/>
          <w:szCs w:val="24"/>
        </w:rPr>
      </w:pPr>
      <w:r w:rsidRPr="00760A96">
        <w:rPr>
          <w:rFonts w:ascii="Times New Roman" w:hAnsi="Times New Roman" w:cs="Times New Roman"/>
          <w:sz w:val="24"/>
          <w:szCs w:val="24"/>
        </w:rPr>
        <w:t>Time Warner market capitalization: $98 billion (January 2000)</w:t>
      </w:r>
    </w:p>
    <w:p w14:paraId="7A5D625E" w14:textId="77777777" w:rsidR="00C56532" w:rsidRPr="00760A96" w:rsidRDefault="00000000" w:rsidP="00760A96">
      <w:pPr>
        <w:numPr>
          <w:ilvl w:val="0"/>
          <w:numId w:val="4"/>
        </w:numPr>
        <w:jc w:val="both"/>
        <w:rPr>
          <w:rFonts w:ascii="Times New Roman" w:hAnsi="Times New Roman" w:cs="Times New Roman"/>
          <w:sz w:val="24"/>
          <w:szCs w:val="24"/>
        </w:rPr>
      </w:pPr>
      <w:r w:rsidRPr="00760A96">
        <w:rPr>
          <w:rFonts w:ascii="Times New Roman" w:hAnsi="Times New Roman" w:cs="Times New Roman"/>
          <w:sz w:val="24"/>
          <w:szCs w:val="24"/>
        </w:rPr>
        <w:t>Exchange ratio: 1.5 AOL shares per Time Warner share</w:t>
      </w:r>
    </w:p>
    <w:p w14:paraId="6B93A69C"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This foundational data enabled subsequent calculations despite the initial data scarcity challenge.</w:t>
      </w:r>
    </w:p>
    <w:p w14:paraId="0EB428AA" w14:textId="77777777" w:rsidR="00760A96" w:rsidRDefault="00760A96" w:rsidP="00760A96">
      <w:pPr>
        <w:spacing w:before="240" w:line="271" w:lineRule="auto"/>
        <w:jc w:val="both"/>
        <w:rPr>
          <w:rFonts w:ascii="Times New Roman" w:hAnsi="Times New Roman" w:cs="Times New Roman"/>
          <w:b/>
          <w:sz w:val="24"/>
          <w:szCs w:val="24"/>
        </w:rPr>
      </w:pPr>
      <w:bookmarkStart w:id="7" w:name="problem_2_purchase_price_allocati_bffe8b"/>
    </w:p>
    <w:p w14:paraId="09247EE2" w14:textId="77777777" w:rsidR="00760A96" w:rsidRDefault="00760A96" w:rsidP="00760A96">
      <w:pPr>
        <w:spacing w:before="240" w:line="271" w:lineRule="auto"/>
        <w:jc w:val="both"/>
        <w:rPr>
          <w:rFonts w:ascii="Times New Roman" w:hAnsi="Times New Roman" w:cs="Times New Roman"/>
          <w:b/>
          <w:sz w:val="24"/>
          <w:szCs w:val="24"/>
        </w:rPr>
      </w:pPr>
    </w:p>
    <w:p w14:paraId="1A6B8F42" w14:textId="3088BF6D" w:rsidR="00C56532" w:rsidRPr="00760A96" w:rsidRDefault="00000000" w:rsidP="00760A96">
      <w:pPr>
        <w:pStyle w:val="Heading1"/>
      </w:pPr>
      <w:bookmarkStart w:id="8" w:name="_Toc221391241"/>
      <w:r w:rsidRPr="00760A96">
        <w:lastRenderedPageBreak/>
        <w:t>Problem 2: Purchase Price Allocation and Fair Value Estimation</w:t>
      </w:r>
      <w:bookmarkEnd w:id="7"/>
      <w:bookmarkEnd w:id="8"/>
    </w:p>
    <w:p w14:paraId="2B638FB3" w14:textId="77777777" w:rsidR="00C56532" w:rsidRPr="00760A96" w:rsidRDefault="00000000" w:rsidP="00760A96">
      <w:pPr>
        <w:spacing w:before="240" w:line="271" w:lineRule="auto"/>
        <w:jc w:val="both"/>
        <w:rPr>
          <w:rFonts w:ascii="Times New Roman" w:hAnsi="Times New Roman" w:cs="Times New Roman"/>
          <w:sz w:val="24"/>
          <w:szCs w:val="24"/>
        </w:rPr>
      </w:pPr>
      <w:bookmarkStart w:id="9" w:name="challenge_description_2"/>
      <w:r w:rsidRPr="00760A96">
        <w:rPr>
          <w:rFonts w:ascii="Times New Roman" w:hAnsi="Times New Roman" w:cs="Times New Roman"/>
          <w:b/>
          <w:sz w:val="24"/>
          <w:szCs w:val="24"/>
        </w:rPr>
        <w:t>Challenge Description</w:t>
      </w:r>
      <w:bookmarkEnd w:id="9"/>
    </w:p>
    <w:p w14:paraId="258C8CC3"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Under purchase accounting methodology (required for this transaction), the acquiring company must allocate the total purchase price to the fair values of identifiable assets and liabilities acquired, with any excess recorded as goodwill. This presented multiple analytical challenges:</w:t>
      </w:r>
    </w:p>
    <w:p w14:paraId="626D3BB6" w14:textId="77777777" w:rsidR="00760A96" w:rsidRDefault="00760A96" w:rsidP="00760A96">
      <w:pPr>
        <w:spacing w:after="210"/>
        <w:jc w:val="both"/>
        <w:rPr>
          <w:rFonts w:ascii="Times New Roman" w:hAnsi="Times New Roman" w:cs="Times New Roman"/>
          <w:b/>
          <w:sz w:val="24"/>
          <w:szCs w:val="24"/>
        </w:rPr>
      </w:pPr>
    </w:p>
    <w:p w14:paraId="1C00DA4D" w14:textId="3D50DE4E"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Fair Value Complexities:</w:t>
      </w:r>
    </w:p>
    <w:p w14:paraId="67C37E0F" w14:textId="77777777" w:rsidR="00C56532" w:rsidRPr="00760A96" w:rsidRDefault="00000000" w:rsidP="00760A96">
      <w:pPr>
        <w:numPr>
          <w:ilvl w:val="0"/>
          <w:numId w:val="5"/>
        </w:numPr>
        <w:jc w:val="both"/>
        <w:rPr>
          <w:rFonts w:ascii="Times New Roman" w:hAnsi="Times New Roman" w:cs="Times New Roman"/>
          <w:sz w:val="24"/>
          <w:szCs w:val="24"/>
        </w:rPr>
      </w:pPr>
      <w:r w:rsidRPr="00760A96">
        <w:rPr>
          <w:rFonts w:ascii="Times New Roman" w:hAnsi="Times New Roman" w:cs="Times New Roman"/>
          <w:sz w:val="24"/>
          <w:szCs w:val="24"/>
        </w:rPr>
        <w:t>Time Warner owned valuable media franchises (HBO, CNN, Warner Bros.) with no comparable market transactions</w:t>
      </w:r>
    </w:p>
    <w:p w14:paraId="51C7E73B" w14:textId="77777777" w:rsidR="00C56532" w:rsidRPr="00760A96" w:rsidRDefault="00000000" w:rsidP="00760A96">
      <w:pPr>
        <w:numPr>
          <w:ilvl w:val="0"/>
          <w:numId w:val="5"/>
        </w:numPr>
        <w:jc w:val="both"/>
        <w:rPr>
          <w:rFonts w:ascii="Times New Roman" w:hAnsi="Times New Roman" w:cs="Times New Roman"/>
          <w:sz w:val="24"/>
          <w:szCs w:val="24"/>
        </w:rPr>
      </w:pPr>
      <w:r w:rsidRPr="00760A96">
        <w:rPr>
          <w:rFonts w:ascii="Times New Roman" w:hAnsi="Times New Roman" w:cs="Times New Roman"/>
          <w:sz w:val="24"/>
          <w:szCs w:val="24"/>
        </w:rPr>
        <w:t>Cable network infrastructure required specialized valuation beyond book value</w:t>
      </w:r>
    </w:p>
    <w:p w14:paraId="7CFE9DD8" w14:textId="77777777" w:rsidR="00C56532" w:rsidRPr="00760A96" w:rsidRDefault="00000000" w:rsidP="00760A96">
      <w:pPr>
        <w:numPr>
          <w:ilvl w:val="0"/>
          <w:numId w:val="5"/>
        </w:numPr>
        <w:jc w:val="both"/>
        <w:rPr>
          <w:rFonts w:ascii="Times New Roman" w:hAnsi="Times New Roman" w:cs="Times New Roman"/>
          <w:sz w:val="24"/>
          <w:szCs w:val="24"/>
        </w:rPr>
      </w:pPr>
      <w:r w:rsidRPr="00760A96">
        <w:rPr>
          <w:rFonts w:ascii="Times New Roman" w:hAnsi="Times New Roman" w:cs="Times New Roman"/>
          <w:sz w:val="24"/>
          <w:szCs w:val="24"/>
        </w:rPr>
        <w:t>Music publishing rights and film libraries had uncertain future cash flows</w:t>
      </w:r>
    </w:p>
    <w:p w14:paraId="4EFA5863" w14:textId="77777777" w:rsidR="00C56532" w:rsidRPr="00760A96" w:rsidRDefault="00000000" w:rsidP="00760A96">
      <w:pPr>
        <w:numPr>
          <w:ilvl w:val="0"/>
          <w:numId w:val="5"/>
        </w:numPr>
        <w:jc w:val="both"/>
        <w:rPr>
          <w:rFonts w:ascii="Times New Roman" w:hAnsi="Times New Roman" w:cs="Times New Roman"/>
          <w:sz w:val="24"/>
          <w:szCs w:val="24"/>
        </w:rPr>
      </w:pPr>
      <w:r w:rsidRPr="00760A96">
        <w:rPr>
          <w:rFonts w:ascii="Times New Roman" w:hAnsi="Times New Roman" w:cs="Times New Roman"/>
          <w:sz w:val="24"/>
          <w:szCs w:val="24"/>
        </w:rPr>
        <w:t>Brand values for properties like Sports Illustrated and People magazine were not separately stated on balance sheets</w:t>
      </w:r>
    </w:p>
    <w:p w14:paraId="751D9D9C" w14:textId="77777777" w:rsidR="00C56532" w:rsidRPr="00760A96" w:rsidRDefault="00000000" w:rsidP="00760A96">
      <w:pPr>
        <w:numPr>
          <w:ilvl w:val="0"/>
          <w:numId w:val="5"/>
        </w:numPr>
        <w:jc w:val="both"/>
        <w:rPr>
          <w:rFonts w:ascii="Times New Roman" w:hAnsi="Times New Roman" w:cs="Times New Roman"/>
          <w:sz w:val="24"/>
          <w:szCs w:val="24"/>
        </w:rPr>
      </w:pPr>
      <w:r w:rsidRPr="00760A96">
        <w:rPr>
          <w:rFonts w:ascii="Times New Roman" w:hAnsi="Times New Roman" w:cs="Times New Roman"/>
          <w:sz w:val="24"/>
          <w:szCs w:val="24"/>
        </w:rPr>
        <w:t>AOL's subscriber base and internet technology represented intangible assets with limited valuation precedent</w:t>
      </w:r>
    </w:p>
    <w:p w14:paraId="0C346D19"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Accounting Standard Ambiguities:</w:t>
      </w:r>
    </w:p>
    <w:p w14:paraId="524A227C"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The FASB standards for business combinations (pre-SFAS 141R) provided general guidance but limited specific methodology for internet-era intangible assets. The question became: how do we systematically estimate fair values for assets that have no active market and limited comparability?</w:t>
      </w:r>
    </w:p>
    <w:p w14:paraId="0119D70D" w14:textId="77777777" w:rsidR="00C56532" w:rsidRPr="00760A96" w:rsidRDefault="00000000" w:rsidP="00760A96">
      <w:pPr>
        <w:spacing w:before="240" w:line="271" w:lineRule="auto"/>
        <w:jc w:val="both"/>
        <w:rPr>
          <w:rFonts w:ascii="Times New Roman" w:hAnsi="Times New Roman" w:cs="Times New Roman"/>
          <w:sz w:val="24"/>
          <w:szCs w:val="24"/>
        </w:rPr>
      </w:pPr>
      <w:bookmarkStart w:id="10" w:name="solution_implemented_2"/>
      <w:r w:rsidRPr="00760A96">
        <w:rPr>
          <w:rFonts w:ascii="Times New Roman" w:hAnsi="Times New Roman" w:cs="Times New Roman"/>
          <w:b/>
          <w:sz w:val="24"/>
          <w:szCs w:val="24"/>
        </w:rPr>
        <w:t>Solution Implemented</w:t>
      </w:r>
      <w:bookmarkEnd w:id="10"/>
    </w:p>
    <w:p w14:paraId="575BC5B1"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We developed a structured fair value estimation framework using multiple valuation approaches:</w:t>
      </w:r>
    </w:p>
    <w:p w14:paraId="76BC0B70"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Tangible Assets:</w:t>
      </w:r>
    </w:p>
    <w:tbl>
      <w:tblPr>
        <w:tblStyle w:val="NormalGrid"/>
        <w:tblW w:w="0" w:type="auto"/>
        <w:jc w:val="center"/>
        <w:tblCellSpacing w:w="0" w:type="dxa"/>
        <w:tblLook w:val="04A0" w:firstRow="1" w:lastRow="0" w:firstColumn="1" w:lastColumn="0" w:noHBand="0" w:noVBand="1"/>
      </w:tblPr>
      <w:tblGrid>
        <w:gridCol w:w="2686"/>
        <w:gridCol w:w="2839"/>
        <w:gridCol w:w="2300"/>
      </w:tblGrid>
      <w:tr w:rsidR="00C56532" w:rsidRPr="00760A96" w14:paraId="536CE2A1"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70FC1D3"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Asset Category</w:t>
            </w:r>
          </w:p>
        </w:tc>
        <w:tc>
          <w:tcPr>
            <w:tcW w:w="0" w:type="auto"/>
            <w:tcBorders>
              <w:top w:val="single" w:sz="8" w:space="0" w:color="000000"/>
              <w:bottom w:val="single" w:sz="8" w:space="0" w:color="000000"/>
              <w:right w:val="single" w:sz="8" w:space="0" w:color="000000"/>
            </w:tcBorders>
            <w:vAlign w:val="center"/>
          </w:tcPr>
          <w:p w14:paraId="228B71FA"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Valuation Method</w:t>
            </w:r>
          </w:p>
        </w:tc>
        <w:tc>
          <w:tcPr>
            <w:tcW w:w="0" w:type="auto"/>
            <w:tcBorders>
              <w:top w:val="single" w:sz="8" w:space="0" w:color="000000"/>
              <w:bottom w:val="single" w:sz="8" w:space="0" w:color="000000"/>
              <w:right w:val="single" w:sz="8" w:space="0" w:color="000000"/>
            </w:tcBorders>
            <w:vAlign w:val="center"/>
          </w:tcPr>
          <w:p w14:paraId="5AA051BF"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Fair Value Premium</w:t>
            </w:r>
          </w:p>
        </w:tc>
      </w:tr>
      <w:tr w:rsidR="00C56532" w:rsidRPr="00760A96" w14:paraId="22F53857" w14:textId="77777777">
        <w:trPr>
          <w:cantSplit/>
          <w:tblCellSpacing w:w="0" w:type="dxa"/>
          <w:jc w:val="center"/>
        </w:trPr>
        <w:tc>
          <w:tcPr>
            <w:tcW w:w="0" w:type="auto"/>
            <w:tcBorders>
              <w:left w:val="single" w:sz="8" w:space="0" w:color="000000"/>
              <w:right w:val="single" w:sz="8" w:space="0" w:color="000000"/>
            </w:tcBorders>
            <w:vAlign w:val="center"/>
          </w:tcPr>
          <w:p w14:paraId="133F16F4"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Property &amp; Equipment</w:t>
            </w:r>
          </w:p>
        </w:tc>
        <w:tc>
          <w:tcPr>
            <w:tcW w:w="0" w:type="auto"/>
            <w:tcBorders>
              <w:right w:val="single" w:sz="8" w:space="0" w:color="000000"/>
            </w:tcBorders>
            <w:vAlign w:val="center"/>
          </w:tcPr>
          <w:p w14:paraId="766047A8"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Appraisal-based approach</w:t>
            </w:r>
          </w:p>
        </w:tc>
        <w:tc>
          <w:tcPr>
            <w:tcW w:w="0" w:type="auto"/>
            <w:tcBorders>
              <w:right w:val="single" w:sz="8" w:space="0" w:color="000000"/>
            </w:tcBorders>
            <w:vAlign w:val="center"/>
          </w:tcPr>
          <w:p w14:paraId="66AA0100"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Book value + 15%</w:t>
            </w:r>
          </w:p>
        </w:tc>
      </w:tr>
      <w:tr w:rsidR="00C56532" w:rsidRPr="00760A96" w14:paraId="4687689B" w14:textId="77777777">
        <w:trPr>
          <w:cantSplit/>
          <w:tblCellSpacing w:w="0" w:type="dxa"/>
          <w:jc w:val="center"/>
        </w:trPr>
        <w:tc>
          <w:tcPr>
            <w:tcW w:w="0" w:type="auto"/>
            <w:tcBorders>
              <w:left w:val="single" w:sz="8" w:space="0" w:color="000000"/>
              <w:right w:val="single" w:sz="8" w:space="0" w:color="000000"/>
            </w:tcBorders>
            <w:vAlign w:val="center"/>
          </w:tcPr>
          <w:p w14:paraId="347F2531"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Cash &amp; Investments</w:t>
            </w:r>
          </w:p>
        </w:tc>
        <w:tc>
          <w:tcPr>
            <w:tcW w:w="0" w:type="auto"/>
            <w:tcBorders>
              <w:right w:val="single" w:sz="8" w:space="0" w:color="000000"/>
            </w:tcBorders>
            <w:vAlign w:val="center"/>
          </w:tcPr>
          <w:p w14:paraId="0CC29C80"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Stated market values</w:t>
            </w:r>
          </w:p>
        </w:tc>
        <w:tc>
          <w:tcPr>
            <w:tcW w:w="0" w:type="auto"/>
            <w:tcBorders>
              <w:right w:val="single" w:sz="8" w:space="0" w:color="000000"/>
            </w:tcBorders>
            <w:vAlign w:val="center"/>
          </w:tcPr>
          <w:p w14:paraId="20FA89DB"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No adjustment</w:t>
            </w:r>
          </w:p>
        </w:tc>
      </w:tr>
      <w:tr w:rsidR="00C56532" w:rsidRPr="00760A96" w14:paraId="51889D9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3C4D82D"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Inventory (film/content)</w:t>
            </w:r>
          </w:p>
        </w:tc>
        <w:tc>
          <w:tcPr>
            <w:tcW w:w="0" w:type="auto"/>
            <w:tcBorders>
              <w:bottom w:val="single" w:sz="8" w:space="0" w:color="000000"/>
              <w:right w:val="single" w:sz="8" w:space="0" w:color="000000"/>
            </w:tcBorders>
            <w:vAlign w:val="center"/>
          </w:tcPr>
          <w:p w14:paraId="41A61655"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Replacement cost method</w:t>
            </w:r>
          </w:p>
        </w:tc>
        <w:tc>
          <w:tcPr>
            <w:tcW w:w="0" w:type="auto"/>
            <w:tcBorders>
              <w:bottom w:val="single" w:sz="8" w:space="0" w:color="000000"/>
              <w:right w:val="single" w:sz="8" w:space="0" w:color="000000"/>
            </w:tcBorders>
            <w:vAlign w:val="center"/>
          </w:tcPr>
          <w:p w14:paraId="1BB38882"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Book value + 25%</w:t>
            </w:r>
          </w:p>
        </w:tc>
      </w:tr>
    </w:tbl>
    <w:p w14:paraId="0112BD2B" w14:textId="77777777" w:rsidR="00C56532" w:rsidRPr="00760A96" w:rsidRDefault="00C56532" w:rsidP="00760A96">
      <w:pPr>
        <w:jc w:val="both"/>
        <w:rPr>
          <w:rFonts w:ascii="Times New Roman" w:hAnsi="Times New Roman" w:cs="Times New Roman"/>
          <w:sz w:val="24"/>
          <w:szCs w:val="24"/>
        </w:rPr>
      </w:pPr>
    </w:p>
    <w:p w14:paraId="46EFD225"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Table 1: Tangible asset fair value estimation methodology</w:t>
      </w:r>
    </w:p>
    <w:p w14:paraId="78C517A9" w14:textId="77777777" w:rsidR="00760A96" w:rsidRDefault="00760A96" w:rsidP="00760A96">
      <w:pPr>
        <w:spacing w:after="210"/>
        <w:jc w:val="both"/>
        <w:rPr>
          <w:rFonts w:ascii="Times New Roman" w:hAnsi="Times New Roman" w:cs="Times New Roman"/>
          <w:b/>
          <w:sz w:val="24"/>
          <w:szCs w:val="24"/>
        </w:rPr>
      </w:pPr>
    </w:p>
    <w:p w14:paraId="24A08667" w14:textId="77777777" w:rsidR="00760A96" w:rsidRDefault="00760A96" w:rsidP="00760A96">
      <w:pPr>
        <w:spacing w:after="210"/>
        <w:jc w:val="both"/>
        <w:rPr>
          <w:rFonts w:ascii="Times New Roman" w:hAnsi="Times New Roman" w:cs="Times New Roman"/>
          <w:b/>
          <w:sz w:val="24"/>
          <w:szCs w:val="24"/>
        </w:rPr>
      </w:pPr>
    </w:p>
    <w:p w14:paraId="795D9FC5" w14:textId="3C29A4B5"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Identifiable Intangible Assets:</w:t>
      </w:r>
    </w:p>
    <w:p w14:paraId="17C73511"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For Time Warner's media properties, we employed income-based valuation:</w:t>
      </w:r>
    </w:p>
    <w:p w14:paraId="504B8140" w14:textId="77777777" w:rsidR="00C56532" w:rsidRPr="00760A96" w:rsidRDefault="00000000" w:rsidP="00760A96">
      <w:pPr>
        <w:numPr>
          <w:ilvl w:val="0"/>
          <w:numId w:val="6"/>
        </w:numPr>
        <w:jc w:val="both"/>
        <w:rPr>
          <w:rFonts w:ascii="Times New Roman" w:hAnsi="Times New Roman" w:cs="Times New Roman"/>
          <w:sz w:val="24"/>
          <w:szCs w:val="24"/>
        </w:rPr>
      </w:pPr>
      <w:r w:rsidRPr="00760A96">
        <w:rPr>
          <w:rFonts w:ascii="Times New Roman" w:hAnsi="Times New Roman" w:cs="Times New Roman"/>
          <w:b/>
          <w:sz w:val="24"/>
          <w:szCs w:val="24"/>
        </w:rPr>
        <w:t>Cable Networks (HBO, CNN, TBS):</w:t>
      </w:r>
      <w:r w:rsidRPr="00760A96">
        <w:rPr>
          <w:rFonts w:ascii="Times New Roman" w:hAnsi="Times New Roman" w:cs="Times New Roman"/>
          <w:sz w:val="24"/>
          <w:szCs w:val="24"/>
        </w:rPr>
        <w:t xml:space="preserve"> Discounted cash flow analysis using industry subscriber metrics ($45-50 per subscriber valuation) and projected EBITDA multiples (12-15x)</w:t>
      </w:r>
    </w:p>
    <w:p w14:paraId="7BAA574D" w14:textId="77777777" w:rsidR="00C56532" w:rsidRPr="00760A96" w:rsidRDefault="00000000" w:rsidP="00760A96">
      <w:pPr>
        <w:numPr>
          <w:ilvl w:val="0"/>
          <w:numId w:val="6"/>
        </w:numPr>
        <w:jc w:val="both"/>
        <w:rPr>
          <w:rFonts w:ascii="Times New Roman" w:hAnsi="Times New Roman" w:cs="Times New Roman"/>
          <w:sz w:val="24"/>
          <w:szCs w:val="24"/>
        </w:rPr>
      </w:pPr>
      <w:r w:rsidRPr="00760A96">
        <w:rPr>
          <w:rFonts w:ascii="Times New Roman" w:hAnsi="Times New Roman" w:cs="Times New Roman"/>
          <w:b/>
          <w:sz w:val="24"/>
          <w:szCs w:val="24"/>
        </w:rPr>
        <w:t>Film Library:</w:t>
      </w:r>
      <w:r w:rsidRPr="00760A96">
        <w:rPr>
          <w:rFonts w:ascii="Times New Roman" w:hAnsi="Times New Roman" w:cs="Times New Roman"/>
          <w:sz w:val="24"/>
          <w:szCs w:val="24"/>
        </w:rPr>
        <w:t xml:space="preserve"> Estimated future licensing revenue streams discounted at 10% cost of capital</w:t>
      </w:r>
    </w:p>
    <w:p w14:paraId="50E42A1F" w14:textId="77777777" w:rsidR="00C56532" w:rsidRPr="00760A96" w:rsidRDefault="00000000" w:rsidP="00760A96">
      <w:pPr>
        <w:numPr>
          <w:ilvl w:val="0"/>
          <w:numId w:val="6"/>
        </w:numPr>
        <w:jc w:val="both"/>
        <w:rPr>
          <w:rFonts w:ascii="Times New Roman" w:hAnsi="Times New Roman" w:cs="Times New Roman"/>
          <w:sz w:val="24"/>
          <w:szCs w:val="24"/>
        </w:rPr>
      </w:pPr>
      <w:r w:rsidRPr="00760A96">
        <w:rPr>
          <w:rFonts w:ascii="Times New Roman" w:hAnsi="Times New Roman" w:cs="Times New Roman"/>
          <w:b/>
          <w:sz w:val="24"/>
          <w:szCs w:val="24"/>
        </w:rPr>
        <w:t>Music Publishing Rights:</w:t>
      </w:r>
      <w:r w:rsidRPr="00760A96">
        <w:rPr>
          <w:rFonts w:ascii="Times New Roman" w:hAnsi="Times New Roman" w:cs="Times New Roman"/>
          <w:sz w:val="24"/>
          <w:szCs w:val="24"/>
        </w:rPr>
        <w:t xml:space="preserve"> Royalty relief method based on industry standard 8-12% royalty rates</w:t>
      </w:r>
    </w:p>
    <w:p w14:paraId="5C30B88F" w14:textId="77777777" w:rsidR="00C56532" w:rsidRPr="00760A96" w:rsidRDefault="00000000" w:rsidP="00760A96">
      <w:pPr>
        <w:numPr>
          <w:ilvl w:val="0"/>
          <w:numId w:val="6"/>
        </w:numPr>
        <w:jc w:val="both"/>
        <w:rPr>
          <w:rFonts w:ascii="Times New Roman" w:hAnsi="Times New Roman" w:cs="Times New Roman"/>
          <w:sz w:val="24"/>
          <w:szCs w:val="24"/>
        </w:rPr>
      </w:pPr>
      <w:r w:rsidRPr="00760A96">
        <w:rPr>
          <w:rFonts w:ascii="Times New Roman" w:hAnsi="Times New Roman" w:cs="Times New Roman"/>
          <w:b/>
          <w:sz w:val="24"/>
          <w:szCs w:val="24"/>
        </w:rPr>
        <w:t>Brand Values:</w:t>
      </w:r>
      <w:r w:rsidRPr="00760A96">
        <w:rPr>
          <w:rFonts w:ascii="Times New Roman" w:hAnsi="Times New Roman" w:cs="Times New Roman"/>
          <w:sz w:val="24"/>
          <w:szCs w:val="24"/>
        </w:rPr>
        <w:t xml:space="preserve"> Relief-from-royalty method assuming 2-3% brand royalty on related revenues</w:t>
      </w:r>
    </w:p>
    <w:p w14:paraId="630F4C5E" w14:textId="77777777" w:rsidR="00760A96" w:rsidRDefault="00760A96" w:rsidP="00760A96">
      <w:pPr>
        <w:spacing w:after="210"/>
        <w:jc w:val="both"/>
        <w:rPr>
          <w:rFonts w:ascii="Times New Roman" w:hAnsi="Times New Roman" w:cs="Times New Roman"/>
          <w:b/>
          <w:sz w:val="24"/>
          <w:szCs w:val="24"/>
        </w:rPr>
      </w:pPr>
    </w:p>
    <w:p w14:paraId="542522DC" w14:textId="1398AC1B"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Goodwill Calculation:</w:t>
      </w:r>
    </w:p>
    <w:p w14:paraId="2FB734C1"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Using these methodologies, we calculated:</w:t>
      </w:r>
    </w:p>
    <w:p w14:paraId="226F99FF" w14:textId="77777777" w:rsidR="00C56532" w:rsidRPr="00760A96" w:rsidRDefault="00000000" w:rsidP="00760A96">
      <w:pPr>
        <w:numPr>
          <w:ilvl w:val="0"/>
          <w:numId w:val="7"/>
        </w:numPr>
        <w:jc w:val="both"/>
        <w:rPr>
          <w:rFonts w:ascii="Times New Roman" w:hAnsi="Times New Roman" w:cs="Times New Roman"/>
          <w:sz w:val="24"/>
          <w:szCs w:val="24"/>
        </w:rPr>
      </w:pPr>
      <w:r w:rsidRPr="00760A96">
        <w:rPr>
          <w:rFonts w:ascii="Times New Roman" w:hAnsi="Times New Roman" w:cs="Times New Roman"/>
          <w:sz w:val="24"/>
          <w:szCs w:val="24"/>
        </w:rPr>
        <w:t>Total purchase consideration: $164.7 billion</w:t>
      </w:r>
    </w:p>
    <w:p w14:paraId="2E7382DC" w14:textId="77777777" w:rsidR="00C56532" w:rsidRPr="00760A96" w:rsidRDefault="00000000" w:rsidP="00760A96">
      <w:pPr>
        <w:numPr>
          <w:ilvl w:val="0"/>
          <w:numId w:val="7"/>
        </w:numPr>
        <w:jc w:val="both"/>
        <w:rPr>
          <w:rFonts w:ascii="Times New Roman" w:hAnsi="Times New Roman" w:cs="Times New Roman"/>
          <w:sz w:val="24"/>
          <w:szCs w:val="24"/>
        </w:rPr>
      </w:pPr>
      <w:r w:rsidRPr="00760A96">
        <w:rPr>
          <w:rFonts w:ascii="Times New Roman" w:hAnsi="Times New Roman" w:cs="Times New Roman"/>
          <w:sz w:val="24"/>
          <w:szCs w:val="24"/>
        </w:rPr>
        <w:t>Fair value of identifiable net assets: $32.4 billion</w:t>
      </w:r>
    </w:p>
    <w:p w14:paraId="207006BE" w14:textId="77777777" w:rsidR="00C56532" w:rsidRPr="00760A96" w:rsidRDefault="00000000" w:rsidP="00760A96">
      <w:pPr>
        <w:numPr>
          <w:ilvl w:val="0"/>
          <w:numId w:val="7"/>
        </w:numPr>
        <w:jc w:val="both"/>
        <w:rPr>
          <w:rFonts w:ascii="Times New Roman" w:hAnsi="Times New Roman" w:cs="Times New Roman"/>
          <w:sz w:val="24"/>
          <w:szCs w:val="24"/>
        </w:rPr>
      </w:pPr>
      <w:r w:rsidRPr="00760A96">
        <w:rPr>
          <w:rFonts w:ascii="Times New Roman" w:hAnsi="Times New Roman" w:cs="Times New Roman"/>
          <w:sz w:val="24"/>
          <w:szCs w:val="24"/>
        </w:rPr>
        <w:t>Resulting goodwill: $132.3 billion (80% of purchase price)</w:t>
      </w:r>
    </w:p>
    <w:p w14:paraId="04BF722E" w14:textId="23E68C8E" w:rsidR="00C56532" w:rsidRPr="00760A96" w:rsidRDefault="00000000" w:rsidP="00760A96">
      <w:pPr>
        <w:spacing w:after="210"/>
        <w:jc w:val="both"/>
        <w:rPr>
          <w:rFonts w:ascii="Times New Roman" w:hAnsi="Times New Roman" w:cs="Times New Roman"/>
          <w:sz w:val="24"/>
          <w:szCs w:val="24"/>
        </w:rPr>
      </w:pPr>
      <w:r w:rsidRPr="00760A96">
        <w:rPr>
          <w:rFonts w:ascii="Times New Roman" w:eastAsia="Georgia" w:hAnsi="Times New Roman" w:cs="Times New Roman"/>
          <w:sz w:val="24"/>
          <w:szCs w:val="24"/>
        </w:rPr>
        <w:t xml:space="preserve">This enormous goodwill </w:t>
      </w:r>
      <w:proofErr w:type="gramStart"/>
      <w:r w:rsidRPr="00760A96">
        <w:rPr>
          <w:rFonts w:ascii="Times New Roman" w:eastAsia="Georgia" w:hAnsi="Times New Roman" w:cs="Times New Roman"/>
          <w:sz w:val="24"/>
          <w:szCs w:val="24"/>
        </w:rPr>
        <w:t>figure</w:t>
      </w:r>
      <w:proofErr w:type="gramEnd"/>
      <w:r w:rsidR="00760A96">
        <w:rPr>
          <w:rFonts w:ascii="Times New Roman" w:eastAsia="Georgia" w:hAnsi="Times New Roman" w:cs="Times New Roman"/>
          <w:sz w:val="24"/>
          <w:szCs w:val="24"/>
        </w:rPr>
        <w:t xml:space="preserve"> </w:t>
      </w:r>
      <w:r w:rsidRPr="00760A96">
        <w:rPr>
          <w:rFonts w:ascii="Times New Roman" w:eastAsia="Georgia" w:hAnsi="Times New Roman" w:cs="Times New Roman"/>
          <w:sz w:val="24"/>
          <w:szCs w:val="24"/>
        </w:rPr>
        <w:t>the largest in corporate history</w:t>
      </w:r>
      <w:r w:rsidR="00760A96">
        <w:rPr>
          <w:rFonts w:ascii="Times New Roman" w:eastAsia="Georgia" w:hAnsi="Times New Roman" w:cs="Times New Roman"/>
          <w:sz w:val="24"/>
          <w:szCs w:val="24"/>
        </w:rPr>
        <w:t xml:space="preserve"> </w:t>
      </w:r>
      <w:r w:rsidRPr="00760A96">
        <w:rPr>
          <w:rFonts w:ascii="Times New Roman" w:eastAsia="Georgia" w:hAnsi="Times New Roman" w:cs="Times New Roman"/>
          <w:sz w:val="24"/>
          <w:szCs w:val="24"/>
        </w:rPr>
        <w:t>became a critical focus of our analysis and a key factor in our investment recommendation.</w:t>
      </w:r>
    </w:p>
    <w:p w14:paraId="3ABC4D43" w14:textId="77777777" w:rsidR="00760A96" w:rsidRDefault="00760A96" w:rsidP="00760A96">
      <w:pPr>
        <w:spacing w:before="240" w:line="271" w:lineRule="auto"/>
        <w:jc w:val="both"/>
        <w:rPr>
          <w:rFonts w:ascii="Times New Roman" w:hAnsi="Times New Roman" w:cs="Times New Roman"/>
          <w:b/>
          <w:sz w:val="24"/>
          <w:szCs w:val="24"/>
        </w:rPr>
      </w:pPr>
      <w:bookmarkStart w:id="11" w:name="problem_3_accounting_method_compa_773e7e"/>
    </w:p>
    <w:p w14:paraId="3F8C094E" w14:textId="5CF193B4" w:rsidR="00C56532" w:rsidRPr="00760A96" w:rsidRDefault="00000000" w:rsidP="00760A96">
      <w:pPr>
        <w:pStyle w:val="Heading1"/>
      </w:pPr>
      <w:bookmarkStart w:id="12" w:name="_Toc221391242"/>
      <w:r w:rsidRPr="00760A96">
        <w:t>Problem 3: Accounting Method Comparison (Purchase vs. Pooling)</w:t>
      </w:r>
      <w:bookmarkEnd w:id="11"/>
      <w:bookmarkEnd w:id="12"/>
    </w:p>
    <w:p w14:paraId="7A4DD0D2" w14:textId="77777777" w:rsidR="00C56532" w:rsidRPr="00760A96" w:rsidRDefault="00000000" w:rsidP="00760A96">
      <w:pPr>
        <w:spacing w:before="240" w:line="271" w:lineRule="auto"/>
        <w:jc w:val="both"/>
        <w:rPr>
          <w:rFonts w:ascii="Times New Roman" w:hAnsi="Times New Roman" w:cs="Times New Roman"/>
          <w:sz w:val="24"/>
          <w:szCs w:val="24"/>
        </w:rPr>
      </w:pPr>
      <w:bookmarkStart w:id="13" w:name="challenge_description_3"/>
      <w:r w:rsidRPr="00760A96">
        <w:rPr>
          <w:rFonts w:ascii="Times New Roman" w:hAnsi="Times New Roman" w:cs="Times New Roman"/>
          <w:b/>
          <w:sz w:val="24"/>
          <w:szCs w:val="24"/>
        </w:rPr>
        <w:t>Challenge Description</w:t>
      </w:r>
      <w:bookmarkEnd w:id="13"/>
    </w:p>
    <w:p w14:paraId="1651002D"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At the time of the merger announcement, companies could choose between two accounting methods for business combinations: purchase accounting or pooling-of-interests. Each method produced dramatically different financial statement impacts:</w:t>
      </w:r>
    </w:p>
    <w:p w14:paraId="3C8089CD" w14:textId="758D54BA"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Purchase Accounting Effects:</w:t>
      </w:r>
    </w:p>
    <w:p w14:paraId="2A3353F1" w14:textId="77777777" w:rsidR="00C56532" w:rsidRPr="00760A96" w:rsidRDefault="00000000" w:rsidP="00760A96">
      <w:pPr>
        <w:numPr>
          <w:ilvl w:val="0"/>
          <w:numId w:val="8"/>
        </w:numPr>
        <w:jc w:val="both"/>
        <w:rPr>
          <w:rFonts w:ascii="Times New Roman" w:hAnsi="Times New Roman" w:cs="Times New Roman"/>
          <w:sz w:val="24"/>
          <w:szCs w:val="24"/>
        </w:rPr>
      </w:pPr>
      <w:r w:rsidRPr="00760A96">
        <w:rPr>
          <w:rFonts w:ascii="Times New Roman" w:hAnsi="Times New Roman" w:cs="Times New Roman"/>
          <w:sz w:val="24"/>
          <w:szCs w:val="24"/>
        </w:rPr>
        <w:t>Records acquired assets at fair value (creating goodwill)</w:t>
      </w:r>
    </w:p>
    <w:p w14:paraId="0E280F8F" w14:textId="77777777" w:rsidR="00C56532" w:rsidRPr="00760A96" w:rsidRDefault="00000000" w:rsidP="00760A96">
      <w:pPr>
        <w:numPr>
          <w:ilvl w:val="0"/>
          <w:numId w:val="8"/>
        </w:numPr>
        <w:jc w:val="both"/>
        <w:rPr>
          <w:rFonts w:ascii="Times New Roman" w:hAnsi="Times New Roman" w:cs="Times New Roman"/>
          <w:sz w:val="24"/>
          <w:szCs w:val="24"/>
        </w:rPr>
      </w:pPr>
      <w:r w:rsidRPr="00760A96">
        <w:rPr>
          <w:rFonts w:ascii="Times New Roman" w:hAnsi="Times New Roman" w:cs="Times New Roman"/>
          <w:sz w:val="24"/>
          <w:szCs w:val="24"/>
        </w:rPr>
        <w:t>Requires goodwill amortization (pre-SFAS 142)</w:t>
      </w:r>
    </w:p>
    <w:p w14:paraId="31E98D9C" w14:textId="77777777" w:rsidR="00C56532" w:rsidRPr="00760A96" w:rsidRDefault="00000000" w:rsidP="00760A96">
      <w:pPr>
        <w:numPr>
          <w:ilvl w:val="0"/>
          <w:numId w:val="8"/>
        </w:numPr>
        <w:jc w:val="both"/>
        <w:rPr>
          <w:rFonts w:ascii="Times New Roman" w:hAnsi="Times New Roman" w:cs="Times New Roman"/>
          <w:sz w:val="24"/>
          <w:szCs w:val="24"/>
        </w:rPr>
      </w:pPr>
      <w:r w:rsidRPr="00760A96">
        <w:rPr>
          <w:rFonts w:ascii="Times New Roman" w:hAnsi="Times New Roman" w:cs="Times New Roman"/>
          <w:sz w:val="24"/>
          <w:szCs w:val="24"/>
        </w:rPr>
        <w:t>Only post-merger earnings included in income statement</w:t>
      </w:r>
    </w:p>
    <w:p w14:paraId="67EA5709" w14:textId="77777777" w:rsidR="00C56532" w:rsidRPr="00760A96" w:rsidRDefault="00000000" w:rsidP="00760A96">
      <w:pPr>
        <w:numPr>
          <w:ilvl w:val="0"/>
          <w:numId w:val="8"/>
        </w:numPr>
        <w:jc w:val="both"/>
        <w:rPr>
          <w:rFonts w:ascii="Times New Roman" w:hAnsi="Times New Roman" w:cs="Times New Roman"/>
          <w:sz w:val="24"/>
          <w:szCs w:val="24"/>
        </w:rPr>
      </w:pPr>
      <w:r w:rsidRPr="00760A96">
        <w:rPr>
          <w:rFonts w:ascii="Times New Roman" w:hAnsi="Times New Roman" w:cs="Times New Roman"/>
          <w:sz w:val="24"/>
          <w:szCs w:val="24"/>
        </w:rPr>
        <w:t>Creates "hidden reserves" through fair value step-ups</w:t>
      </w:r>
    </w:p>
    <w:p w14:paraId="2419EB68"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lastRenderedPageBreak/>
        <w:t>Pooling-of-Interests Effects:</w:t>
      </w:r>
    </w:p>
    <w:p w14:paraId="1168C748" w14:textId="77777777" w:rsidR="00C56532" w:rsidRPr="00760A96" w:rsidRDefault="00000000" w:rsidP="00760A96">
      <w:pPr>
        <w:numPr>
          <w:ilvl w:val="0"/>
          <w:numId w:val="9"/>
        </w:numPr>
        <w:jc w:val="both"/>
        <w:rPr>
          <w:rFonts w:ascii="Times New Roman" w:hAnsi="Times New Roman" w:cs="Times New Roman"/>
          <w:sz w:val="24"/>
          <w:szCs w:val="24"/>
        </w:rPr>
      </w:pPr>
      <w:r w:rsidRPr="00760A96">
        <w:rPr>
          <w:rFonts w:ascii="Times New Roman" w:hAnsi="Times New Roman" w:cs="Times New Roman"/>
          <w:sz w:val="24"/>
          <w:szCs w:val="24"/>
        </w:rPr>
        <w:t>Assets recorded at historical book values (no goodwill)</w:t>
      </w:r>
    </w:p>
    <w:p w14:paraId="7BB1C81B" w14:textId="77777777" w:rsidR="00C56532" w:rsidRPr="00760A96" w:rsidRDefault="00000000" w:rsidP="00760A96">
      <w:pPr>
        <w:numPr>
          <w:ilvl w:val="0"/>
          <w:numId w:val="9"/>
        </w:numPr>
        <w:jc w:val="both"/>
        <w:rPr>
          <w:rFonts w:ascii="Times New Roman" w:hAnsi="Times New Roman" w:cs="Times New Roman"/>
          <w:sz w:val="24"/>
          <w:szCs w:val="24"/>
        </w:rPr>
      </w:pPr>
      <w:r w:rsidRPr="00760A96">
        <w:rPr>
          <w:rFonts w:ascii="Times New Roman" w:hAnsi="Times New Roman" w:cs="Times New Roman"/>
          <w:sz w:val="24"/>
          <w:szCs w:val="24"/>
        </w:rPr>
        <w:t>No amortization expense</w:t>
      </w:r>
    </w:p>
    <w:p w14:paraId="6E56A16D" w14:textId="77777777" w:rsidR="00C56532" w:rsidRPr="00760A96" w:rsidRDefault="00000000" w:rsidP="00760A96">
      <w:pPr>
        <w:numPr>
          <w:ilvl w:val="0"/>
          <w:numId w:val="9"/>
        </w:numPr>
        <w:jc w:val="both"/>
        <w:rPr>
          <w:rFonts w:ascii="Times New Roman" w:hAnsi="Times New Roman" w:cs="Times New Roman"/>
          <w:sz w:val="24"/>
          <w:szCs w:val="24"/>
        </w:rPr>
      </w:pPr>
      <w:r w:rsidRPr="00760A96">
        <w:rPr>
          <w:rFonts w:ascii="Times New Roman" w:hAnsi="Times New Roman" w:cs="Times New Roman"/>
          <w:sz w:val="24"/>
          <w:szCs w:val="24"/>
        </w:rPr>
        <w:t>Prior period statements restated as if companies always combined</w:t>
      </w:r>
    </w:p>
    <w:p w14:paraId="0C7BC8EA" w14:textId="77777777" w:rsidR="00C56532" w:rsidRPr="00760A96" w:rsidRDefault="00000000" w:rsidP="00760A96">
      <w:pPr>
        <w:numPr>
          <w:ilvl w:val="0"/>
          <w:numId w:val="9"/>
        </w:numPr>
        <w:jc w:val="both"/>
        <w:rPr>
          <w:rFonts w:ascii="Times New Roman" w:hAnsi="Times New Roman" w:cs="Times New Roman"/>
          <w:sz w:val="24"/>
          <w:szCs w:val="24"/>
        </w:rPr>
      </w:pPr>
      <w:r w:rsidRPr="00760A96">
        <w:rPr>
          <w:rFonts w:ascii="Times New Roman" w:hAnsi="Times New Roman" w:cs="Times New Roman"/>
          <w:sz w:val="24"/>
          <w:szCs w:val="24"/>
        </w:rPr>
        <w:t>Maintains historical cost basis</w:t>
      </w:r>
    </w:p>
    <w:p w14:paraId="03D7654B"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The challenge: AOL-Time Warner was required to use purchase accounting (pooling criteria not met), but investors and analysts needed to understand what financial results would look like under each method to assess the true economic impact.</w:t>
      </w:r>
    </w:p>
    <w:p w14:paraId="555DBA11" w14:textId="77777777" w:rsidR="00760A96" w:rsidRDefault="00760A96" w:rsidP="00760A96">
      <w:pPr>
        <w:spacing w:before="240" w:line="271" w:lineRule="auto"/>
        <w:jc w:val="both"/>
        <w:rPr>
          <w:rFonts w:ascii="Times New Roman" w:hAnsi="Times New Roman" w:cs="Times New Roman"/>
          <w:b/>
          <w:sz w:val="24"/>
          <w:szCs w:val="24"/>
        </w:rPr>
      </w:pPr>
      <w:bookmarkStart w:id="14" w:name="solution_implemented_3"/>
    </w:p>
    <w:p w14:paraId="7955AF21" w14:textId="58D097D5" w:rsidR="00C56532" w:rsidRPr="00760A96" w:rsidRDefault="00000000" w:rsidP="00760A96">
      <w:pPr>
        <w:spacing w:before="240" w:line="271" w:lineRule="auto"/>
        <w:jc w:val="both"/>
        <w:rPr>
          <w:rFonts w:ascii="Times New Roman" w:hAnsi="Times New Roman" w:cs="Times New Roman"/>
          <w:sz w:val="24"/>
          <w:szCs w:val="24"/>
        </w:rPr>
      </w:pPr>
      <w:r w:rsidRPr="00760A96">
        <w:rPr>
          <w:rFonts w:ascii="Times New Roman" w:hAnsi="Times New Roman" w:cs="Times New Roman"/>
          <w:b/>
          <w:sz w:val="24"/>
          <w:szCs w:val="24"/>
        </w:rPr>
        <w:t>Solution Implemented</w:t>
      </w:r>
      <w:bookmarkEnd w:id="14"/>
    </w:p>
    <w:p w14:paraId="672C90BA"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We created parallel pro forma financial statements under both accounting methods:</w:t>
      </w:r>
    </w:p>
    <w:p w14:paraId="33B926A2"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Purchase Accounting Pro Forma (Required Treatment):</w:t>
      </w:r>
    </w:p>
    <w:tbl>
      <w:tblPr>
        <w:tblStyle w:val="NormalGrid"/>
        <w:tblW w:w="0" w:type="auto"/>
        <w:jc w:val="center"/>
        <w:tblCellSpacing w:w="0" w:type="dxa"/>
        <w:tblLook w:val="04A0" w:firstRow="1" w:lastRow="0" w:firstColumn="1" w:lastColumn="0" w:noHBand="0" w:noVBand="1"/>
      </w:tblPr>
      <w:tblGrid>
        <w:gridCol w:w="2607"/>
        <w:gridCol w:w="1374"/>
        <w:gridCol w:w="1427"/>
        <w:gridCol w:w="1360"/>
      </w:tblGrid>
      <w:tr w:rsidR="00C56532" w:rsidRPr="00760A96" w14:paraId="7CBAB4B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10BE061"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Income Statement Item</w:t>
            </w:r>
          </w:p>
        </w:tc>
        <w:tc>
          <w:tcPr>
            <w:tcW w:w="0" w:type="auto"/>
            <w:tcBorders>
              <w:top w:val="single" w:sz="8" w:space="0" w:color="000000"/>
              <w:bottom w:val="single" w:sz="8" w:space="0" w:color="000000"/>
              <w:right w:val="single" w:sz="8" w:space="0" w:color="000000"/>
            </w:tcBorders>
            <w:vAlign w:val="center"/>
          </w:tcPr>
          <w:p w14:paraId="1FABC6AD"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AOL 1999</w:t>
            </w:r>
          </w:p>
        </w:tc>
        <w:tc>
          <w:tcPr>
            <w:tcW w:w="0" w:type="auto"/>
            <w:tcBorders>
              <w:top w:val="single" w:sz="8" w:space="0" w:color="000000"/>
              <w:bottom w:val="single" w:sz="8" w:space="0" w:color="000000"/>
              <w:right w:val="single" w:sz="8" w:space="0" w:color="000000"/>
            </w:tcBorders>
            <w:vAlign w:val="center"/>
          </w:tcPr>
          <w:p w14:paraId="1BF1A1BB"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TWX 1999</w:t>
            </w:r>
          </w:p>
        </w:tc>
        <w:tc>
          <w:tcPr>
            <w:tcW w:w="0" w:type="auto"/>
            <w:tcBorders>
              <w:top w:val="single" w:sz="8" w:space="0" w:color="000000"/>
              <w:bottom w:val="single" w:sz="8" w:space="0" w:color="000000"/>
              <w:right w:val="single" w:sz="8" w:space="0" w:color="000000"/>
            </w:tcBorders>
            <w:vAlign w:val="center"/>
          </w:tcPr>
          <w:p w14:paraId="1FD65655"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Pro Forma</w:t>
            </w:r>
          </w:p>
        </w:tc>
      </w:tr>
      <w:tr w:rsidR="00C56532" w:rsidRPr="00760A96" w14:paraId="1854BA81" w14:textId="77777777">
        <w:trPr>
          <w:cantSplit/>
          <w:tblCellSpacing w:w="0" w:type="dxa"/>
          <w:jc w:val="center"/>
        </w:trPr>
        <w:tc>
          <w:tcPr>
            <w:tcW w:w="0" w:type="auto"/>
            <w:tcBorders>
              <w:left w:val="single" w:sz="8" w:space="0" w:color="000000"/>
              <w:right w:val="single" w:sz="8" w:space="0" w:color="000000"/>
            </w:tcBorders>
            <w:vAlign w:val="center"/>
          </w:tcPr>
          <w:p w14:paraId="21B3FFBD"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Total Revenue</w:t>
            </w:r>
          </w:p>
        </w:tc>
        <w:tc>
          <w:tcPr>
            <w:tcW w:w="0" w:type="auto"/>
            <w:tcBorders>
              <w:right w:val="single" w:sz="8" w:space="0" w:color="000000"/>
            </w:tcBorders>
            <w:vAlign w:val="center"/>
          </w:tcPr>
          <w:p w14:paraId="1166CA1C"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4,777</w:t>
            </w:r>
          </w:p>
        </w:tc>
        <w:tc>
          <w:tcPr>
            <w:tcW w:w="0" w:type="auto"/>
            <w:tcBorders>
              <w:right w:val="single" w:sz="8" w:space="0" w:color="000000"/>
            </w:tcBorders>
            <w:vAlign w:val="center"/>
          </w:tcPr>
          <w:p w14:paraId="2F643C7C"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27,333</w:t>
            </w:r>
          </w:p>
        </w:tc>
        <w:tc>
          <w:tcPr>
            <w:tcW w:w="0" w:type="auto"/>
            <w:tcBorders>
              <w:right w:val="single" w:sz="8" w:space="0" w:color="000000"/>
            </w:tcBorders>
            <w:vAlign w:val="center"/>
          </w:tcPr>
          <w:p w14:paraId="3371303F"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32,110</w:t>
            </w:r>
          </w:p>
        </w:tc>
      </w:tr>
      <w:tr w:rsidR="00C56532" w:rsidRPr="00760A96" w14:paraId="6826A27A" w14:textId="77777777">
        <w:trPr>
          <w:cantSplit/>
          <w:tblCellSpacing w:w="0" w:type="dxa"/>
          <w:jc w:val="center"/>
        </w:trPr>
        <w:tc>
          <w:tcPr>
            <w:tcW w:w="0" w:type="auto"/>
            <w:tcBorders>
              <w:left w:val="single" w:sz="8" w:space="0" w:color="000000"/>
              <w:right w:val="single" w:sz="8" w:space="0" w:color="000000"/>
            </w:tcBorders>
            <w:vAlign w:val="center"/>
          </w:tcPr>
          <w:p w14:paraId="0583A3A2"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Operating Expenses</w:t>
            </w:r>
          </w:p>
        </w:tc>
        <w:tc>
          <w:tcPr>
            <w:tcW w:w="0" w:type="auto"/>
            <w:tcBorders>
              <w:right w:val="single" w:sz="8" w:space="0" w:color="000000"/>
            </w:tcBorders>
            <w:vAlign w:val="center"/>
          </w:tcPr>
          <w:p w14:paraId="26293D3E"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3,505</w:t>
            </w:r>
          </w:p>
        </w:tc>
        <w:tc>
          <w:tcPr>
            <w:tcW w:w="0" w:type="auto"/>
            <w:tcBorders>
              <w:right w:val="single" w:sz="8" w:space="0" w:color="000000"/>
            </w:tcBorders>
            <w:vAlign w:val="center"/>
          </w:tcPr>
          <w:p w14:paraId="171F40A1"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24,100</w:t>
            </w:r>
          </w:p>
        </w:tc>
        <w:tc>
          <w:tcPr>
            <w:tcW w:w="0" w:type="auto"/>
            <w:tcBorders>
              <w:right w:val="single" w:sz="8" w:space="0" w:color="000000"/>
            </w:tcBorders>
            <w:vAlign w:val="center"/>
          </w:tcPr>
          <w:p w14:paraId="24FF1072"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27,605</w:t>
            </w:r>
          </w:p>
        </w:tc>
      </w:tr>
      <w:tr w:rsidR="00C56532" w:rsidRPr="00760A96" w14:paraId="2378641C" w14:textId="77777777">
        <w:trPr>
          <w:cantSplit/>
          <w:tblCellSpacing w:w="0" w:type="dxa"/>
          <w:jc w:val="center"/>
        </w:trPr>
        <w:tc>
          <w:tcPr>
            <w:tcW w:w="0" w:type="auto"/>
            <w:tcBorders>
              <w:left w:val="single" w:sz="8" w:space="0" w:color="000000"/>
              <w:right w:val="single" w:sz="8" w:space="0" w:color="000000"/>
            </w:tcBorders>
            <w:vAlign w:val="center"/>
          </w:tcPr>
          <w:p w14:paraId="2D3423F3"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Goodwill Amortization</w:t>
            </w:r>
          </w:p>
        </w:tc>
        <w:tc>
          <w:tcPr>
            <w:tcW w:w="0" w:type="auto"/>
            <w:tcBorders>
              <w:right w:val="single" w:sz="8" w:space="0" w:color="000000"/>
            </w:tcBorders>
            <w:vAlign w:val="center"/>
          </w:tcPr>
          <w:p w14:paraId="4453DDE5"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0</w:t>
            </w:r>
          </w:p>
        </w:tc>
        <w:tc>
          <w:tcPr>
            <w:tcW w:w="0" w:type="auto"/>
            <w:tcBorders>
              <w:right w:val="single" w:sz="8" w:space="0" w:color="000000"/>
            </w:tcBorders>
            <w:vAlign w:val="center"/>
          </w:tcPr>
          <w:p w14:paraId="60747201"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0</w:t>
            </w:r>
          </w:p>
        </w:tc>
        <w:tc>
          <w:tcPr>
            <w:tcW w:w="0" w:type="auto"/>
            <w:tcBorders>
              <w:right w:val="single" w:sz="8" w:space="0" w:color="000000"/>
            </w:tcBorders>
            <w:vAlign w:val="center"/>
          </w:tcPr>
          <w:p w14:paraId="6E468C11"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4,410</w:t>
            </w:r>
          </w:p>
        </w:tc>
      </w:tr>
      <w:tr w:rsidR="00C56532" w:rsidRPr="00760A96" w14:paraId="14A4ED24" w14:textId="77777777">
        <w:trPr>
          <w:cantSplit/>
          <w:tblCellSpacing w:w="0" w:type="dxa"/>
          <w:jc w:val="center"/>
        </w:trPr>
        <w:tc>
          <w:tcPr>
            <w:tcW w:w="0" w:type="auto"/>
            <w:tcBorders>
              <w:left w:val="single" w:sz="8" w:space="0" w:color="000000"/>
              <w:right w:val="single" w:sz="8" w:space="0" w:color="000000"/>
            </w:tcBorders>
            <w:vAlign w:val="center"/>
          </w:tcPr>
          <w:p w14:paraId="5CA54A48"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Operating Income</w:t>
            </w:r>
          </w:p>
        </w:tc>
        <w:tc>
          <w:tcPr>
            <w:tcW w:w="0" w:type="auto"/>
            <w:tcBorders>
              <w:right w:val="single" w:sz="8" w:space="0" w:color="000000"/>
            </w:tcBorders>
            <w:vAlign w:val="center"/>
          </w:tcPr>
          <w:p w14:paraId="4C1F8A44"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1,272</w:t>
            </w:r>
          </w:p>
        </w:tc>
        <w:tc>
          <w:tcPr>
            <w:tcW w:w="0" w:type="auto"/>
            <w:tcBorders>
              <w:right w:val="single" w:sz="8" w:space="0" w:color="000000"/>
            </w:tcBorders>
            <w:vAlign w:val="center"/>
          </w:tcPr>
          <w:p w14:paraId="710831EF"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3,233</w:t>
            </w:r>
          </w:p>
        </w:tc>
        <w:tc>
          <w:tcPr>
            <w:tcW w:w="0" w:type="auto"/>
            <w:tcBorders>
              <w:right w:val="single" w:sz="8" w:space="0" w:color="000000"/>
            </w:tcBorders>
            <w:vAlign w:val="center"/>
          </w:tcPr>
          <w:p w14:paraId="627098DB"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95</w:t>
            </w:r>
          </w:p>
        </w:tc>
      </w:tr>
      <w:tr w:rsidR="00C56532" w:rsidRPr="00760A96" w14:paraId="4A435C59" w14:textId="77777777">
        <w:trPr>
          <w:cantSplit/>
          <w:tblCellSpacing w:w="0" w:type="dxa"/>
          <w:jc w:val="center"/>
        </w:trPr>
        <w:tc>
          <w:tcPr>
            <w:tcW w:w="0" w:type="auto"/>
            <w:tcBorders>
              <w:left w:val="single" w:sz="8" w:space="0" w:color="000000"/>
              <w:right w:val="single" w:sz="8" w:space="0" w:color="000000"/>
            </w:tcBorders>
            <w:vAlign w:val="center"/>
          </w:tcPr>
          <w:p w14:paraId="162A40EB"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Net Income</w:t>
            </w:r>
          </w:p>
        </w:tc>
        <w:tc>
          <w:tcPr>
            <w:tcW w:w="0" w:type="auto"/>
            <w:tcBorders>
              <w:right w:val="single" w:sz="8" w:space="0" w:color="000000"/>
            </w:tcBorders>
            <w:vAlign w:val="center"/>
          </w:tcPr>
          <w:p w14:paraId="6E092BBE"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1,200</w:t>
            </w:r>
          </w:p>
        </w:tc>
        <w:tc>
          <w:tcPr>
            <w:tcW w:w="0" w:type="auto"/>
            <w:tcBorders>
              <w:right w:val="single" w:sz="8" w:space="0" w:color="000000"/>
            </w:tcBorders>
            <w:vAlign w:val="center"/>
          </w:tcPr>
          <w:p w14:paraId="70E016F3"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1,948</w:t>
            </w:r>
          </w:p>
        </w:tc>
        <w:tc>
          <w:tcPr>
            <w:tcW w:w="0" w:type="auto"/>
            <w:tcBorders>
              <w:right w:val="single" w:sz="8" w:space="0" w:color="000000"/>
            </w:tcBorders>
            <w:vAlign w:val="center"/>
          </w:tcPr>
          <w:p w14:paraId="5FDD5CF0"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458</w:t>
            </w:r>
          </w:p>
        </w:tc>
      </w:tr>
      <w:tr w:rsidR="00C56532" w:rsidRPr="00760A96" w14:paraId="7727EE6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53A9129"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Diluted EPS</w:t>
            </w:r>
          </w:p>
        </w:tc>
        <w:tc>
          <w:tcPr>
            <w:tcW w:w="0" w:type="auto"/>
            <w:tcBorders>
              <w:bottom w:val="single" w:sz="8" w:space="0" w:color="000000"/>
              <w:right w:val="single" w:sz="8" w:space="0" w:color="000000"/>
            </w:tcBorders>
            <w:vAlign w:val="center"/>
          </w:tcPr>
          <w:p w14:paraId="02DF88AC"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$0.43</w:t>
            </w:r>
          </w:p>
        </w:tc>
        <w:tc>
          <w:tcPr>
            <w:tcW w:w="0" w:type="auto"/>
            <w:tcBorders>
              <w:bottom w:val="single" w:sz="8" w:space="0" w:color="000000"/>
              <w:right w:val="single" w:sz="8" w:space="0" w:color="000000"/>
            </w:tcBorders>
            <w:vAlign w:val="center"/>
          </w:tcPr>
          <w:p w14:paraId="548AD97E"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$1.23</w:t>
            </w:r>
          </w:p>
        </w:tc>
        <w:tc>
          <w:tcPr>
            <w:tcW w:w="0" w:type="auto"/>
            <w:tcBorders>
              <w:bottom w:val="single" w:sz="8" w:space="0" w:color="000000"/>
              <w:right w:val="single" w:sz="8" w:space="0" w:color="000000"/>
            </w:tcBorders>
            <w:vAlign w:val="center"/>
          </w:tcPr>
          <w:p w14:paraId="6DC69AA7"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$0.10</w:t>
            </w:r>
          </w:p>
        </w:tc>
      </w:tr>
    </w:tbl>
    <w:p w14:paraId="51F0E6DD" w14:textId="77777777" w:rsidR="00C56532" w:rsidRPr="00760A96" w:rsidRDefault="00C56532" w:rsidP="00760A96">
      <w:pPr>
        <w:jc w:val="both"/>
        <w:rPr>
          <w:rFonts w:ascii="Times New Roman" w:hAnsi="Times New Roman" w:cs="Times New Roman"/>
          <w:sz w:val="24"/>
          <w:szCs w:val="24"/>
        </w:rPr>
      </w:pPr>
    </w:p>
    <w:p w14:paraId="21D58E38" w14:textId="5D53B81A" w:rsidR="00C56532" w:rsidRPr="00760A96" w:rsidRDefault="00000000" w:rsidP="00760A96">
      <w:pPr>
        <w:jc w:val="both"/>
        <w:rPr>
          <w:rFonts w:ascii="Times New Roman" w:hAnsi="Times New Roman" w:cs="Times New Roman"/>
          <w:sz w:val="24"/>
          <w:szCs w:val="24"/>
        </w:rPr>
      </w:pPr>
      <w:r w:rsidRPr="00760A96">
        <w:rPr>
          <w:rFonts w:ascii="Times New Roman" w:eastAsia="Georgia" w:hAnsi="Times New Roman" w:cs="Times New Roman"/>
          <w:sz w:val="24"/>
          <w:szCs w:val="24"/>
        </w:rPr>
        <w:t>Table 2: Pro forma income statement</w:t>
      </w:r>
      <w:r w:rsidR="00760A96">
        <w:rPr>
          <w:rFonts w:ascii="Times New Roman" w:eastAsia="Georgia" w:hAnsi="Times New Roman" w:cs="Times New Roman"/>
          <w:sz w:val="24"/>
          <w:szCs w:val="24"/>
        </w:rPr>
        <w:t xml:space="preserve"> </w:t>
      </w:r>
      <w:proofErr w:type="gramStart"/>
      <w:r w:rsidRPr="00760A96">
        <w:rPr>
          <w:rFonts w:ascii="Times New Roman" w:eastAsia="Georgia" w:hAnsi="Times New Roman" w:cs="Times New Roman"/>
          <w:sz w:val="24"/>
          <w:szCs w:val="24"/>
        </w:rPr>
        <w:t>purchase</w:t>
      </w:r>
      <w:proofErr w:type="gramEnd"/>
      <w:r w:rsidRPr="00760A96">
        <w:rPr>
          <w:rFonts w:ascii="Times New Roman" w:eastAsia="Georgia" w:hAnsi="Times New Roman" w:cs="Times New Roman"/>
          <w:sz w:val="24"/>
          <w:szCs w:val="24"/>
        </w:rPr>
        <w:t xml:space="preserve"> accounting ($ millions)</w:t>
      </w:r>
    </w:p>
    <w:p w14:paraId="18BDBD55" w14:textId="07B8096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Pooling-of-Interests Pro Forma (Hypothetical):</w:t>
      </w:r>
    </w:p>
    <w:tbl>
      <w:tblPr>
        <w:tblStyle w:val="NormalGrid"/>
        <w:tblW w:w="0" w:type="auto"/>
        <w:jc w:val="center"/>
        <w:tblCellSpacing w:w="0" w:type="dxa"/>
        <w:tblLook w:val="04A0" w:firstRow="1" w:lastRow="0" w:firstColumn="1" w:lastColumn="0" w:noHBand="0" w:noVBand="1"/>
      </w:tblPr>
      <w:tblGrid>
        <w:gridCol w:w="2607"/>
        <w:gridCol w:w="1374"/>
        <w:gridCol w:w="1427"/>
        <w:gridCol w:w="1360"/>
      </w:tblGrid>
      <w:tr w:rsidR="00C56532" w:rsidRPr="00760A96" w14:paraId="1208320E"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2152831"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Income Statement Item</w:t>
            </w:r>
          </w:p>
        </w:tc>
        <w:tc>
          <w:tcPr>
            <w:tcW w:w="0" w:type="auto"/>
            <w:tcBorders>
              <w:top w:val="single" w:sz="8" w:space="0" w:color="000000"/>
              <w:bottom w:val="single" w:sz="8" w:space="0" w:color="000000"/>
              <w:right w:val="single" w:sz="8" w:space="0" w:color="000000"/>
            </w:tcBorders>
            <w:vAlign w:val="center"/>
          </w:tcPr>
          <w:p w14:paraId="40B3B020"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AOL 1999</w:t>
            </w:r>
          </w:p>
        </w:tc>
        <w:tc>
          <w:tcPr>
            <w:tcW w:w="0" w:type="auto"/>
            <w:tcBorders>
              <w:top w:val="single" w:sz="8" w:space="0" w:color="000000"/>
              <w:bottom w:val="single" w:sz="8" w:space="0" w:color="000000"/>
              <w:right w:val="single" w:sz="8" w:space="0" w:color="000000"/>
            </w:tcBorders>
            <w:vAlign w:val="center"/>
          </w:tcPr>
          <w:p w14:paraId="48788AAD"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TWX 1999</w:t>
            </w:r>
          </w:p>
        </w:tc>
        <w:tc>
          <w:tcPr>
            <w:tcW w:w="0" w:type="auto"/>
            <w:tcBorders>
              <w:top w:val="single" w:sz="8" w:space="0" w:color="000000"/>
              <w:bottom w:val="single" w:sz="8" w:space="0" w:color="000000"/>
              <w:right w:val="single" w:sz="8" w:space="0" w:color="000000"/>
            </w:tcBorders>
            <w:vAlign w:val="center"/>
          </w:tcPr>
          <w:p w14:paraId="536CDA86"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Pro Forma</w:t>
            </w:r>
          </w:p>
        </w:tc>
      </w:tr>
      <w:tr w:rsidR="00C56532" w:rsidRPr="00760A96" w14:paraId="13A2E43E" w14:textId="77777777">
        <w:trPr>
          <w:cantSplit/>
          <w:tblCellSpacing w:w="0" w:type="dxa"/>
          <w:jc w:val="center"/>
        </w:trPr>
        <w:tc>
          <w:tcPr>
            <w:tcW w:w="0" w:type="auto"/>
            <w:tcBorders>
              <w:left w:val="single" w:sz="8" w:space="0" w:color="000000"/>
              <w:right w:val="single" w:sz="8" w:space="0" w:color="000000"/>
            </w:tcBorders>
            <w:vAlign w:val="center"/>
          </w:tcPr>
          <w:p w14:paraId="5F7501B9"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Total Revenue</w:t>
            </w:r>
          </w:p>
        </w:tc>
        <w:tc>
          <w:tcPr>
            <w:tcW w:w="0" w:type="auto"/>
            <w:tcBorders>
              <w:right w:val="single" w:sz="8" w:space="0" w:color="000000"/>
            </w:tcBorders>
            <w:vAlign w:val="center"/>
          </w:tcPr>
          <w:p w14:paraId="26D010B7"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4,777</w:t>
            </w:r>
          </w:p>
        </w:tc>
        <w:tc>
          <w:tcPr>
            <w:tcW w:w="0" w:type="auto"/>
            <w:tcBorders>
              <w:right w:val="single" w:sz="8" w:space="0" w:color="000000"/>
            </w:tcBorders>
            <w:vAlign w:val="center"/>
          </w:tcPr>
          <w:p w14:paraId="171E15A6"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27,333</w:t>
            </w:r>
          </w:p>
        </w:tc>
        <w:tc>
          <w:tcPr>
            <w:tcW w:w="0" w:type="auto"/>
            <w:tcBorders>
              <w:right w:val="single" w:sz="8" w:space="0" w:color="000000"/>
            </w:tcBorders>
            <w:vAlign w:val="center"/>
          </w:tcPr>
          <w:p w14:paraId="78313A9F"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32,110</w:t>
            </w:r>
          </w:p>
        </w:tc>
      </w:tr>
      <w:tr w:rsidR="00C56532" w:rsidRPr="00760A96" w14:paraId="2FBE52D4" w14:textId="77777777">
        <w:trPr>
          <w:cantSplit/>
          <w:tblCellSpacing w:w="0" w:type="dxa"/>
          <w:jc w:val="center"/>
        </w:trPr>
        <w:tc>
          <w:tcPr>
            <w:tcW w:w="0" w:type="auto"/>
            <w:tcBorders>
              <w:left w:val="single" w:sz="8" w:space="0" w:color="000000"/>
              <w:right w:val="single" w:sz="8" w:space="0" w:color="000000"/>
            </w:tcBorders>
            <w:vAlign w:val="center"/>
          </w:tcPr>
          <w:p w14:paraId="6B1AE960"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Operating Expenses</w:t>
            </w:r>
          </w:p>
        </w:tc>
        <w:tc>
          <w:tcPr>
            <w:tcW w:w="0" w:type="auto"/>
            <w:tcBorders>
              <w:right w:val="single" w:sz="8" w:space="0" w:color="000000"/>
            </w:tcBorders>
            <w:vAlign w:val="center"/>
          </w:tcPr>
          <w:p w14:paraId="0277F354"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3,505</w:t>
            </w:r>
          </w:p>
        </w:tc>
        <w:tc>
          <w:tcPr>
            <w:tcW w:w="0" w:type="auto"/>
            <w:tcBorders>
              <w:right w:val="single" w:sz="8" w:space="0" w:color="000000"/>
            </w:tcBorders>
            <w:vAlign w:val="center"/>
          </w:tcPr>
          <w:p w14:paraId="4EBE7CC3"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24,100</w:t>
            </w:r>
          </w:p>
        </w:tc>
        <w:tc>
          <w:tcPr>
            <w:tcW w:w="0" w:type="auto"/>
            <w:tcBorders>
              <w:right w:val="single" w:sz="8" w:space="0" w:color="000000"/>
            </w:tcBorders>
            <w:vAlign w:val="center"/>
          </w:tcPr>
          <w:p w14:paraId="7CC514DD"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27,605</w:t>
            </w:r>
          </w:p>
        </w:tc>
      </w:tr>
      <w:tr w:rsidR="00C56532" w:rsidRPr="00760A96" w14:paraId="736A4F47" w14:textId="77777777">
        <w:trPr>
          <w:cantSplit/>
          <w:tblCellSpacing w:w="0" w:type="dxa"/>
          <w:jc w:val="center"/>
        </w:trPr>
        <w:tc>
          <w:tcPr>
            <w:tcW w:w="0" w:type="auto"/>
            <w:tcBorders>
              <w:left w:val="single" w:sz="8" w:space="0" w:color="000000"/>
              <w:right w:val="single" w:sz="8" w:space="0" w:color="000000"/>
            </w:tcBorders>
            <w:vAlign w:val="center"/>
          </w:tcPr>
          <w:p w14:paraId="337C621D"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Goodwill Amortization</w:t>
            </w:r>
          </w:p>
        </w:tc>
        <w:tc>
          <w:tcPr>
            <w:tcW w:w="0" w:type="auto"/>
            <w:tcBorders>
              <w:right w:val="single" w:sz="8" w:space="0" w:color="000000"/>
            </w:tcBorders>
            <w:vAlign w:val="center"/>
          </w:tcPr>
          <w:p w14:paraId="45CCB6DF"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0</w:t>
            </w:r>
          </w:p>
        </w:tc>
        <w:tc>
          <w:tcPr>
            <w:tcW w:w="0" w:type="auto"/>
            <w:tcBorders>
              <w:right w:val="single" w:sz="8" w:space="0" w:color="000000"/>
            </w:tcBorders>
            <w:vAlign w:val="center"/>
          </w:tcPr>
          <w:p w14:paraId="599055AA"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0</w:t>
            </w:r>
          </w:p>
        </w:tc>
        <w:tc>
          <w:tcPr>
            <w:tcW w:w="0" w:type="auto"/>
            <w:tcBorders>
              <w:right w:val="single" w:sz="8" w:space="0" w:color="000000"/>
            </w:tcBorders>
            <w:vAlign w:val="center"/>
          </w:tcPr>
          <w:p w14:paraId="11332DA2"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0</w:t>
            </w:r>
          </w:p>
        </w:tc>
      </w:tr>
      <w:tr w:rsidR="00C56532" w:rsidRPr="00760A96" w14:paraId="7D82B852" w14:textId="77777777">
        <w:trPr>
          <w:cantSplit/>
          <w:tblCellSpacing w:w="0" w:type="dxa"/>
          <w:jc w:val="center"/>
        </w:trPr>
        <w:tc>
          <w:tcPr>
            <w:tcW w:w="0" w:type="auto"/>
            <w:tcBorders>
              <w:left w:val="single" w:sz="8" w:space="0" w:color="000000"/>
              <w:right w:val="single" w:sz="8" w:space="0" w:color="000000"/>
            </w:tcBorders>
            <w:vAlign w:val="center"/>
          </w:tcPr>
          <w:p w14:paraId="5070562C"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Operating Income</w:t>
            </w:r>
          </w:p>
        </w:tc>
        <w:tc>
          <w:tcPr>
            <w:tcW w:w="0" w:type="auto"/>
            <w:tcBorders>
              <w:right w:val="single" w:sz="8" w:space="0" w:color="000000"/>
            </w:tcBorders>
            <w:vAlign w:val="center"/>
          </w:tcPr>
          <w:p w14:paraId="00A6A7BC"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1,272</w:t>
            </w:r>
          </w:p>
        </w:tc>
        <w:tc>
          <w:tcPr>
            <w:tcW w:w="0" w:type="auto"/>
            <w:tcBorders>
              <w:right w:val="single" w:sz="8" w:space="0" w:color="000000"/>
            </w:tcBorders>
            <w:vAlign w:val="center"/>
          </w:tcPr>
          <w:p w14:paraId="147D914B"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3,233</w:t>
            </w:r>
          </w:p>
        </w:tc>
        <w:tc>
          <w:tcPr>
            <w:tcW w:w="0" w:type="auto"/>
            <w:tcBorders>
              <w:right w:val="single" w:sz="8" w:space="0" w:color="000000"/>
            </w:tcBorders>
            <w:vAlign w:val="center"/>
          </w:tcPr>
          <w:p w14:paraId="303BB45A"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4,505</w:t>
            </w:r>
          </w:p>
        </w:tc>
      </w:tr>
      <w:tr w:rsidR="00C56532" w:rsidRPr="00760A96" w14:paraId="090E6413" w14:textId="77777777">
        <w:trPr>
          <w:cantSplit/>
          <w:tblCellSpacing w:w="0" w:type="dxa"/>
          <w:jc w:val="center"/>
        </w:trPr>
        <w:tc>
          <w:tcPr>
            <w:tcW w:w="0" w:type="auto"/>
            <w:tcBorders>
              <w:left w:val="single" w:sz="8" w:space="0" w:color="000000"/>
              <w:right w:val="single" w:sz="8" w:space="0" w:color="000000"/>
            </w:tcBorders>
            <w:vAlign w:val="center"/>
          </w:tcPr>
          <w:p w14:paraId="1AE61F42"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Net Income</w:t>
            </w:r>
          </w:p>
        </w:tc>
        <w:tc>
          <w:tcPr>
            <w:tcW w:w="0" w:type="auto"/>
            <w:tcBorders>
              <w:right w:val="single" w:sz="8" w:space="0" w:color="000000"/>
            </w:tcBorders>
            <w:vAlign w:val="center"/>
          </w:tcPr>
          <w:p w14:paraId="0949F3A2"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1,200</w:t>
            </w:r>
          </w:p>
        </w:tc>
        <w:tc>
          <w:tcPr>
            <w:tcW w:w="0" w:type="auto"/>
            <w:tcBorders>
              <w:right w:val="single" w:sz="8" w:space="0" w:color="000000"/>
            </w:tcBorders>
            <w:vAlign w:val="center"/>
          </w:tcPr>
          <w:p w14:paraId="75143A5B"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1,948</w:t>
            </w:r>
          </w:p>
        </w:tc>
        <w:tc>
          <w:tcPr>
            <w:tcW w:w="0" w:type="auto"/>
            <w:tcBorders>
              <w:right w:val="single" w:sz="8" w:space="0" w:color="000000"/>
            </w:tcBorders>
            <w:vAlign w:val="center"/>
          </w:tcPr>
          <w:p w14:paraId="240FB138"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3,148</w:t>
            </w:r>
          </w:p>
        </w:tc>
      </w:tr>
      <w:tr w:rsidR="00C56532" w:rsidRPr="00760A96" w14:paraId="5676E65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821DF42"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Diluted EPS</w:t>
            </w:r>
          </w:p>
        </w:tc>
        <w:tc>
          <w:tcPr>
            <w:tcW w:w="0" w:type="auto"/>
            <w:tcBorders>
              <w:bottom w:val="single" w:sz="8" w:space="0" w:color="000000"/>
              <w:right w:val="single" w:sz="8" w:space="0" w:color="000000"/>
            </w:tcBorders>
            <w:vAlign w:val="center"/>
          </w:tcPr>
          <w:p w14:paraId="167E9CDA"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$0.43</w:t>
            </w:r>
          </w:p>
        </w:tc>
        <w:tc>
          <w:tcPr>
            <w:tcW w:w="0" w:type="auto"/>
            <w:tcBorders>
              <w:bottom w:val="single" w:sz="8" w:space="0" w:color="000000"/>
              <w:right w:val="single" w:sz="8" w:space="0" w:color="000000"/>
            </w:tcBorders>
            <w:vAlign w:val="center"/>
          </w:tcPr>
          <w:p w14:paraId="125421AD"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$1.23</w:t>
            </w:r>
          </w:p>
        </w:tc>
        <w:tc>
          <w:tcPr>
            <w:tcW w:w="0" w:type="auto"/>
            <w:tcBorders>
              <w:bottom w:val="single" w:sz="8" w:space="0" w:color="000000"/>
              <w:right w:val="single" w:sz="8" w:space="0" w:color="000000"/>
            </w:tcBorders>
            <w:vAlign w:val="center"/>
          </w:tcPr>
          <w:p w14:paraId="409CB274"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$0.71</w:t>
            </w:r>
          </w:p>
        </w:tc>
      </w:tr>
    </w:tbl>
    <w:p w14:paraId="2A6FFF36" w14:textId="77777777" w:rsidR="00C56532" w:rsidRPr="00760A96" w:rsidRDefault="00C56532" w:rsidP="00760A96">
      <w:pPr>
        <w:jc w:val="both"/>
        <w:rPr>
          <w:rFonts w:ascii="Times New Roman" w:hAnsi="Times New Roman" w:cs="Times New Roman"/>
          <w:sz w:val="24"/>
          <w:szCs w:val="24"/>
        </w:rPr>
      </w:pPr>
    </w:p>
    <w:p w14:paraId="259E7F67" w14:textId="4A87D847" w:rsidR="00C56532" w:rsidRPr="00760A96" w:rsidRDefault="00000000" w:rsidP="00760A96">
      <w:pPr>
        <w:jc w:val="both"/>
        <w:rPr>
          <w:rFonts w:ascii="Times New Roman" w:hAnsi="Times New Roman" w:cs="Times New Roman"/>
          <w:sz w:val="24"/>
          <w:szCs w:val="24"/>
        </w:rPr>
      </w:pPr>
      <w:r w:rsidRPr="00760A96">
        <w:rPr>
          <w:rFonts w:ascii="Times New Roman" w:eastAsia="Georgia" w:hAnsi="Times New Roman" w:cs="Times New Roman"/>
          <w:sz w:val="24"/>
          <w:szCs w:val="24"/>
        </w:rPr>
        <w:lastRenderedPageBreak/>
        <w:t>Table 3: Pro forma income statement</w:t>
      </w:r>
      <w:r w:rsidR="00760A96">
        <w:rPr>
          <w:rFonts w:ascii="Times New Roman" w:eastAsia="Georgia" w:hAnsi="Times New Roman" w:cs="Times New Roman"/>
          <w:sz w:val="24"/>
          <w:szCs w:val="24"/>
        </w:rPr>
        <w:t xml:space="preserve"> </w:t>
      </w:r>
      <w:r w:rsidRPr="00760A96">
        <w:rPr>
          <w:rFonts w:ascii="Times New Roman" w:eastAsia="Georgia" w:hAnsi="Times New Roman" w:cs="Times New Roman"/>
          <w:sz w:val="24"/>
          <w:szCs w:val="24"/>
        </w:rPr>
        <w:t>pooling method ($ millions)</w:t>
      </w:r>
    </w:p>
    <w:p w14:paraId="4C8A6284" w14:textId="7B2FA478" w:rsidR="00C56532" w:rsidRPr="00760A96" w:rsidRDefault="00000000" w:rsidP="00760A96">
      <w:pPr>
        <w:spacing w:after="210"/>
        <w:jc w:val="both"/>
        <w:rPr>
          <w:rFonts w:ascii="Times New Roman" w:hAnsi="Times New Roman" w:cs="Times New Roman"/>
          <w:sz w:val="24"/>
          <w:szCs w:val="24"/>
        </w:rPr>
      </w:pPr>
      <w:r w:rsidRPr="00760A96">
        <w:rPr>
          <w:rFonts w:ascii="Times New Roman" w:eastAsia="Georgia" w:hAnsi="Times New Roman" w:cs="Times New Roman"/>
          <w:sz w:val="24"/>
          <w:szCs w:val="24"/>
        </w:rPr>
        <w:t>This comparison revealed a $2.7 billion annual earnings difference ($0.61 per share) attributable solely to accounting method choice</w:t>
      </w:r>
      <w:r w:rsidR="00760A96">
        <w:rPr>
          <w:rFonts w:ascii="Times New Roman" w:eastAsia="Georgia" w:hAnsi="Times New Roman" w:cs="Times New Roman"/>
          <w:sz w:val="24"/>
          <w:szCs w:val="24"/>
        </w:rPr>
        <w:t xml:space="preserve"> </w:t>
      </w:r>
      <w:r w:rsidRPr="00760A96">
        <w:rPr>
          <w:rFonts w:ascii="Times New Roman" w:eastAsia="Georgia" w:hAnsi="Times New Roman" w:cs="Times New Roman"/>
          <w:sz w:val="24"/>
          <w:szCs w:val="24"/>
        </w:rPr>
        <w:t>a critical insight for investors evaluating the merger's financial impact.</w:t>
      </w:r>
    </w:p>
    <w:p w14:paraId="4EFCE2B8" w14:textId="77777777" w:rsidR="00760A96" w:rsidRDefault="00760A96" w:rsidP="00760A96">
      <w:pPr>
        <w:spacing w:before="240" w:line="271" w:lineRule="auto"/>
        <w:jc w:val="both"/>
        <w:rPr>
          <w:rFonts w:ascii="Times New Roman" w:hAnsi="Times New Roman" w:cs="Times New Roman"/>
          <w:b/>
          <w:sz w:val="24"/>
          <w:szCs w:val="24"/>
        </w:rPr>
      </w:pPr>
      <w:bookmarkStart w:id="15" w:name="problem_4_synergy_estimation_and_ac5a71"/>
    </w:p>
    <w:p w14:paraId="73F24275" w14:textId="462D32A6" w:rsidR="00C56532" w:rsidRPr="00760A96" w:rsidRDefault="00000000" w:rsidP="00760A96">
      <w:pPr>
        <w:pStyle w:val="Heading1"/>
      </w:pPr>
      <w:bookmarkStart w:id="16" w:name="_Toc221391243"/>
      <w:r w:rsidRPr="00760A96">
        <w:t>Problem 4: Synergy Estimation and DCF Valuation</w:t>
      </w:r>
      <w:bookmarkEnd w:id="15"/>
      <w:bookmarkEnd w:id="16"/>
    </w:p>
    <w:p w14:paraId="2FEC80E9" w14:textId="77777777" w:rsidR="00C56532" w:rsidRPr="00760A96" w:rsidRDefault="00000000" w:rsidP="00760A96">
      <w:pPr>
        <w:spacing w:before="240" w:line="271" w:lineRule="auto"/>
        <w:jc w:val="both"/>
        <w:rPr>
          <w:rFonts w:ascii="Times New Roman" w:hAnsi="Times New Roman" w:cs="Times New Roman"/>
          <w:sz w:val="24"/>
          <w:szCs w:val="24"/>
        </w:rPr>
      </w:pPr>
      <w:bookmarkStart w:id="17" w:name="challenge_description_4"/>
      <w:r w:rsidRPr="00760A96">
        <w:rPr>
          <w:rFonts w:ascii="Times New Roman" w:hAnsi="Times New Roman" w:cs="Times New Roman"/>
          <w:b/>
          <w:sz w:val="24"/>
          <w:szCs w:val="24"/>
        </w:rPr>
        <w:t>Challenge Description</w:t>
      </w:r>
      <w:bookmarkEnd w:id="17"/>
    </w:p>
    <w:p w14:paraId="1F1A2E9B"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Management claimed the merger would generate $1 billion in annual cost synergies through elimination of redundancies, improved content distribution, and cross-selling opportunities. However, validating these claims and incorporating them into a discounted cash flow (DCF) valuation presented several challenges:</w:t>
      </w:r>
    </w:p>
    <w:p w14:paraId="4A7AC07B"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Synergy Validation Issues:</w:t>
      </w:r>
    </w:p>
    <w:p w14:paraId="62371628" w14:textId="77777777" w:rsidR="00C56532" w:rsidRPr="00760A96" w:rsidRDefault="00000000" w:rsidP="00760A96">
      <w:pPr>
        <w:numPr>
          <w:ilvl w:val="0"/>
          <w:numId w:val="10"/>
        </w:numPr>
        <w:jc w:val="both"/>
        <w:rPr>
          <w:rFonts w:ascii="Times New Roman" w:hAnsi="Times New Roman" w:cs="Times New Roman"/>
          <w:sz w:val="24"/>
          <w:szCs w:val="24"/>
        </w:rPr>
      </w:pPr>
      <w:r w:rsidRPr="00760A96">
        <w:rPr>
          <w:rFonts w:ascii="Times New Roman" w:hAnsi="Times New Roman" w:cs="Times New Roman"/>
          <w:sz w:val="24"/>
          <w:szCs w:val="24"/>
        </w:rPr>
        <w:t>No detailed breakdown of synergy sources provided by management</w:t>
      </w:r>
    </w:p>
    <w:p w14:paraId="7659F6D0" w14:textId="77777777" w:rsidR="00C56532" w:rsidRPr="00760A96" w:rsidRDefault="00000000" w:rsidP="00760A96">
      <w:pPr>
        <w:numPr>
          <w:ilvl w:val="0"/>
          <w:numId w:val="10"/>
        </w:numPr>
        <w:jc w:val="both"/>
        <w:rPr>
          <w:rFonts w:ascii="Times New Roman" w:hAnsi="Times New Roman" w:cs="Times New Roman"/>
          <w:sz w:val="24"/>
          <w:szCs w:val="24"/>
        </w:rPr>
      </w:pPr>
      <w:r w:rsidRPr="00760A96">
        <w:rPr>
          <w:rFonts w:ascii="Times New Roman" w:hAnsi="Times New Roman" w:cs="Times New Roman"/>
          <w:sz w:val="24"/>
          <w:szCs w:val="24"/>
        </w:rPr>
        <w:t>Historical M&amp;A data showed average synergy realization of only 50-70%</w:t>
      </w:r>
    </w:p>
    <w:p w14:paraId="745E742F" w14:textId="77777777" w:rsidR="00C56532" w:rsidRPr="00760A96" w:rsidRDefault="00000000" w:rsidP="00760A96">
      <w:pPr>
        <w:numPr>
          <w:ilvl w:val="0"/>
          <w:numId w:val="10"/>
        </w:numPr>
        <w:jc w:val="both"/>
        <w:rPr>
          <w:rFonts w:ascii="Times New Roman" w:hAnsi="Times New Roman" w:cs="Times New Roman"/>
          <w:sz w:val="24"/>
          <w:szCs w:val="24"/>
        </w:rPr>
      </w:pPr>
      <w:r w:rsidRPr="00760A96">
        <w:rPr>
          <w:rFonts w:ascii="Times New Roman" w:hAnsi="Times New Roman" w:cs="Times New Roman"/>
          <w:sz w:val="24"/>
          <w:szCs w:val="24"/>
        </w:rPr>
        <w:t>Cultural integration challenges between internet and traditional media companies</w:t>
      </w:r>
    </w:p>
    <w:p w14:paraId="669C1B32" w14:textId="77777777" w:rsidR="00C56532" w:rsidRPr="00760A96" w:rsidRDefault="00000000" w:rsidP="00760A96">
      <w:pPr>
        <w:numPr>
          <w:ilvl w:val="0"/>
          <w:numId w:val="10"/>
        </w:numPr>
        <w:jc w:val="both"/>
        <w:rPr>
          <w:rFonts w:ascii="Times New Roman" w:hAnsi="Times New Roman" w:cs="Times New Roman"/>
          <w:sz w:val="24"/>
          <w:szCs w:val="24"/>
        </w:rPr>
      </w:pPr>
      <w:r w:rsidRPr="00760A96">
        <w:rPr>
          <w:rFonts w:ascii="Times New Roman" w:hAnsi="Times New Roman" w:cs="Times New Roman"/>
          <w:sz w:val="24"/>
          <w:szCs w:val="24"/>
        </w:rPr>
        <w:t>Regulatory requirements might prevent certain revenue synergies</w:t>
      </w:r>
    </w:p>
    <w:p w14:paraId="0DCC2B34" w14:textId="77777777" w:rsidR="00C56532" w:rsidRPr="00760A96" w:rsidRDefault="00000000" w:rsidP="00760A96">
      <w:pPr>
        <w:numPr>
          <w:ilvl w:val="0"/>
          <w:numId w:val="10"/>
        </w:numPr>
        <w:jc w:val="both"/>
        <w:rPr>
          <w:rFonts w:ascii="Times New Roman" w:hAnsi="Times New Roman" w:cs="Times New Roman"/>
          <w:sz w:val="24"/>
          <w:szCs w:val="24"/>
        </w:rPr>
      </w:pPr>
      <w:r w:rsidRPr="00760A96">
        <w:rPr>
          <w:rFonts w:ascii="Times New Roman" w:hAnsi="Times New Roman" w:cs="Times New Roman"/>
          <w:sz w:val="24"/>
          <w:szCs w:val="24"/>
        </w:rPr>
        <w:t>Technology platform integration costs not quantified</w:t>
      </w:r>
    </w:p>
    <w:p w14:paraId="6CA21BCA"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DCF Modeling Challenges:</w:t>
      </w:r>
    </w:p>
    <w:p w14:paraId="2211138A" w14:textId="77777777" w:rsidR="00C56532" w:rsidRPr="00760A96" w:rsidRDefault="00000000" w:rsidP="00760A96">
      <w:pPr>
        <w:numPr>
          <w:ilvl w:val="0"/>
          <w:numId w:val="11"/>
        </w:numPr>
        <w:jc w:val="both"/>
        <w:rPr>
          <w:rFonts w:ascii="Times New Roman" w:hAnsi="Times New Roman" w:cs="Times New Roman"/>
          <w:sz w:val="24"/>
          <w:szCs w:val="24"/>
        </w:rPr>
      </w:pPr>
      <w:r w:rsidRPr="00760A96">
        <w:rPr>
          <w:rFonts w:ascii="Times New Roman" w:hAnsi="Times New Roman" w:cs="Times New Roman"/>
          <w:sz w:val="24"/>
          <w:szCs w:val="24"/>
        </w:rPr>
        <w:t>What revenue growth rate was sustainable post-merger?</w:t>
      </w:r>
    </w:p>
    <w:p w14:paraId="0427520E" w14:textId="77777777" w:rsidR="00C56532" w:rsidRPr="00760A96" w:rsidRDefault="00000000" w:rsidP="00760A96">
      <w:pPr>
        <w:numPr>
          <w:ilvl w:val="0"/>
          <w:numId w:val="11"/>
        </w:numPr>
        <w:jc w:val="both"/>
        <w:rPr>
          <w:rFonts w:ascii="Times New Roman" w:hAnsi="Times New Roman" w:cs="Times New Roman"/>
          <w:sz w:val="24"/>
          <w:szCs w:val="24"/>
        </w:rPr>
      </w:pPr>
      <w:r w:rsidRPr="00760A96">
        <w:rPr>
          <w:rFonts w:ascii="Times New Roman" w:hAnsi="Times New Roman" w:cs="Times New Roman"/>
          <w:sz w:val="24"/>
          <w:szCs w:val="24"/>
        </w:rPr>
        <w:t>How should we estimate combined company free cash flow?</w:t>
      </w:r>
    </w:p>
    <w:p w14:paraId="73838A0C" w14:textId="77777777" w:rsidR="00C56532" w:rsidRPr="00760A96" w:rsidRDefault="00000000" w:rsidP="00760A96">
      <w:pPr>
        <w:numPr>
          <w:ilvl w:val="0"/>
          <w:numId w:val="11"/>
        </w:numPr>
        <w:jc w:val="both"/>
        <w:rPr>
          <w:rFonts w:ascii="Times New Roman" w:hAnsi="Times New Roman" w:cs="Times New Roman"/>
          <w:sz w:val="24"/>
          <w:szCs w:val="24"/>
        </w:rPr>
      </w:pPr>
      <w:r w:rsidRPr="00760A96">
        <w:rPr>
          <w:rFonts w:ascii="Times New Roman" w:hAnsi="Times New Roman" w:cs="Times New Roman"/>
          <w:sz w:val="24"/>
          <w:szCs w:val="24"/>
        </w:rPr>
        <w:t>What discount rate appropriately reflected merged entity risk?</w:t>
      </w:r>
    </w:p>
    <w:p w14:paraId="1853D996" w14:textId="77777777" w:rsidR="00C56532" w:rsidRPr="00760A96" w:rsidRDefault="00000000" w:rsidP="00760A96">
      <w:pPr>
        <w:numPr>
          <w:ilvl w:val="0"/>
          <w:numId w:val="11"/>
        </w:numPr>
        <w:jc w:val="both"/>
        <w:rPr>
          <w:rFonts w:ascii="Times New Roman" w:hAnsi="Times New Roman" w:cs="Times New Roman"/>
          <w:sz w:val="24"/>
          <w:szCs w:val="24"/>
        </w:rPr>
      </w:pPr>
      <w:r w:rsidRPr="00760A96">
        <w:rPr>
          <w:rFonts w:ascii="Times New Roman" w:hAnsi="Times New Roman" w:cs="Times New Roman"/>
          <w:sz w:val="24"/>
          <w:szCs w:val="24"/>
        </w:rPr>
        <w:t>How to incorporate goodwill amortization (non-cash) in valuation?</w:t>
      </w:r>
    </w:p>
    <w:p w14:paraId="63CF0045"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Without a rigorous framework, the valuation would be unreliable.</w:t>
      </w:r>
    </w:p>
    <w:p w14:paraId="174A3A6D" w14:textId="77777777" w:rsidR="00C56532" w:rsidRPr="00760A96" w:rsidRDefault="00000000" w:rsidP="00760A96">
      <w:pPr>
        <w:spacing w:before="240" w:line="271" w:lineRule="auto"/>
        <w:jc w:val="both"/>
        <w:rPr>
          <w:rFonts w:ascii="Times New Roman" w:hAnsi="Times New Roman" w:cs="Times New Roman"/>
          <w:sz w:val="24"/>
          <w:szCs w:val="24"/>
        </w:rPr>
      </w:pPr>
      <w:bookmarkStart w:id="18" w:name="solution_implemented_4"/>
      <w:r w:rsidRPr="00760A96">
        <w:rPr>
          <w:rFonts w:ascii="Times New Roman" w:hAnsi="Times New Roman" w:cs="Times New Roman"/>
          <w:b/>
          <w:sz w:val="24"/>
          <w:szCs w:val="24"/>
        </w:rPr>
        <w:t>Solution Implemented</w:t>
      </w:r>
      <w:bookmarkEnd w:id="18"/>
    </w:p>
    <w:p w14:paraId="15B01588"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We developed a conservative, multi-scenario DCF model:</w:t>
      </w:r>
    </w:p>
    <w:p w14:paraId="1F36C326"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Synergy Assumptions:</w:t>
      </w:r>
    </w:p>
    <w:p w14:paraId="12E939E3"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Rather than accepting management's $1 billion claim, we applied a probability-weighted approach:</w:t>
      </w:r>
    </w:p>
    <w:p w14:paraId="185E6BF8" w14:textId="77777777" w:rsidR="00C56532" w:rsidRPr="00760A96" w:rsidRDefault="00000000" w:rsidP="00760A96">
      <w:pPr>
        <w:numPr>
          <w:ilvl w:val="0"/>
          <w:numId w:val="12"/>
        </w:numPr>
        <w:jc w:val="both"/>
        <w:rPr>
          <w:rFonts w:ascii="Times New Roman" w:hAnsi="Times New Roman" w:cs="Times New Roman"/>
          <w:sz w:val="24"/>
          <w:szCs w:val="24"/>
        </w:rPr>
      </w:pPr>
      <w:r w:rsidRPr="00760A96">
        <w:rPr>
          <w:rFonts w:ascii="Times New Roman" w:hAnsi="Times New Roman" w:cs="Times New Roman"/>
          <w:sz w:val="24"/>
          <w:szCs w:val="24"/>
        </w:rPr>
        <w:t>Base case: 60% realization = $600 million annual synergies (Year 3 onwards)</w:t>
      </w:r>
    </w:p>
    <w:p w14:paraId="7960CCE7" w14:textId="77777777" w:rsidR="00C56532" w:rsidRPr="00760A96" w:rsidRDefault="00000000" w:rsidP="00760A96">
      <w:pPr>
        <w:numPr>
          <w:ilvl w:val="0"/>
          <w:numId w:val="12"/>
        </w:numPr>
        <w:jc w:val="both"/>
        <w:rPr>
          <w:rFonts w:ascii="Times New Roman" w:hAnsi="Times New Roman" w:cs="Times New Roman"/>
          <w:sz w:val="24"/>
          <w:szCs w:val="24"/>
        </w:rPr>
      </w:pPr>
      <w:r w:rsidRPr="00760A96">
        <w:rPr>
          <w:rFonts w:ascii="Times New Roman" w:hAnsi="Times New Roman" w:cs="Times New Roman"/>
          <w:sz w:val="24"/>
          <w:szCs w:val="24"/>
        </w:rPr>
        <w:t>Optimistic case: 85% realization = $850 million</w:t>
      </w:r>
    </w:p>
    <w:p w14:paraId="11A1A285" w14:textId="77777777" w:rsidR="00C56532" w:rsidRPr="00760A96" w:rsidRDefault="00000000" w:rsidP="00760A96">
      <w:pPr>
        <w:numPr>
          <w:ilvl w:val="0"/>
          <w:numId w:val="12"/>
        </w:numPr>
        <w:jc w:val="both"/>
        <w:rPr>
          <w:rFonts w:ascii="Times New Roman" w:hAnsi="Times New Roman" w:cs="Times New Roman"/>
          <w:sz w:val="24"/>
          <w:szCs w:val="24"/>
        </w:rPr>
      </w:pPr>
      <w:r w:rsidRPr="00760A96">
        <w:rPr>
          <w:rFonts w:ascii="Times New Roman" w:hAnsi="Times New Roman" w:cs="Times New Roman"/>
          <w:sz w:val="24"/>
          <w:szCs w:val="24"/>
        </w:rPr>
        <w:t>Pessimistic case: 35% realization = $350 million</w:t>
      </w:r>
    </w:p>
    <w:p w14:paraId="00E491AD"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lastRenderedPageBreak/>
        <w:t>Free Cash Flow Projection:</w:t>
      </w:r>
    </w:p>
    <w:tbl>
      <w:tblPr>
        <w:tblStyle w:val="NormalGrid"/>
        <w:tblW w:w="0" w:type="auto"/>
        <w:jc w:val="center"/>
        <w:tblCellSpacing w:w="0" w:type="dxa"/>
        <w:tblLook w:val="04A0" w:firstRow="1" w:lastRow="0" w:firstColumn="1" w:lastColumn="0" w:noHBand="0" w:noVBand="1"/>
      </w:tblPr>
      <w:tblGrid>
        <w:gridCol w:w="1880"/>
        <w:gridCol w:w="1000"/>
        <w:gridCol w:w="1000"/>
        <w:gridCol w:w="1000"/>
        <w:gridCol w:w="1000"/>
        <w:gridCol w:w="1000"/>
      </w:tblGrid>
      <w:tr w:rsidR="00C56532" w:rsidRPr="00760A96" w14:paraId="6B63EF0F"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BB546A7"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b/>
                <w:sz w:val="24"/>
                <w:szCs w:val="24"/>
              </w:rPr>
              <w:t>Year</w:t>
            </w:r>
          </w:p>
        </w:tc>
        <w:tc>
          <w:tcPr>
            <w:tcW w:w="0" w:type="auto"/>
            <w:tcBorders>
              <w:top w:val="single" w:sz="8" w:space="0" w:color="000000"/>
              <w:bottom w:val="single" w:sz="8" w:space="0" w:color="000000"/>
              <w:right w:val="single" w:sz="8" w:space="0" w:color="000000"/>
            </w:tcBorders>
            <w:vAlign w:val="center"/>
          </w:tcPr>
          <w:p w14:paraId="54646656"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b/>
                <w:sz w:val="24"/>
                <w:szCs w:val="24"/>
              </w:rPr>
              <w:t>2000</w:t>
            </w:r>
          </w:p>
        </w:tc>
        <w:tc>
          <w:tcPr>
            <w:tcW w:w="0" w:type="auto"/>
            <w:tcBorders>
              <w:top w:val="single" w:sz="8" w:space="0" w:color="000000"/>
              <w:bottom w:val="single" w:sz="8" w:space="0" w:color="000000"/>
              <w:right w:val="single" w:sz="8" w:space="0" w:color="000000"/>
            </w:tcBorders>
            <w:vAlign w:val="center"/>
          </w:tcPr>
          <w:p w14:paraId="2AB6C53D"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b/>
                <w:sz w:val="24"/>
                <w:szCs w:val="24"/>
              </w:rPr>
              <w:t>2001</w:t>
            </w:r>
          </w:p>
        </w:tc>
        <w:tc>
          <w:tcPr>
            <w:tcW w:w="0" w:type="auto"/>
            <w:tcBorders>
              <w:top w:val="single" w:sz="8" w:space="0" w:color="000000"/>
              <w:bottom w:val="single" w:sz="8" w:space="0" w:color="000000"/>
              <w:right w:val="single" w:sz="8" w:space="0" w:color="000000"/>
            </w:tcBorders>
            <w:vAlign w:val="center"/>
          </w:tcPr>
          <w:p w14:paraId="40B98063"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b/>
                <w:sz w:val="24"/>
                <w:szCs w:val="24"/>
              </w:rPr>
              <w:t>2002</w:t>
            </w:r>
          </w:p>
        </w:tc>
        <w:tc>
          <w:tcPr>
            <w:tcW w:w="0" w:type="auto"/>
            <w:tcBorders>
              <w:top w:val="single" w:sz="8" w:space="0" w:color="000000"/>
              <w:bottom w:val="single" w:sz="8" w:space="0" w:color="000000"/>
              <w:right w:val="single" w:sz="8" w:space="0" w:color="000000"/>
            </w:tcBorders>
            <w:vAlign w:val="center"/>
          </w:tcPr>
          <w:p w14:paraId="277F3DE4"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b/>
                <w:sz w:val="24"/>
                <w:szCs w:val="24"/>
              </w:rPr>
              <w:t>2003</w:t>
            </w:r>
          </w:p>
        </w:tc>
        <w:tc>
          <w:tcPr>
            <w:tcW w:w="0" w:type="auto"/>
            <w:tcBorders>
              <w:top w:val="single" w:sz="8" w:space="0" w:color="000000"/>
              <w:bottom w:val="single" w:sz="8" w:space="0" w:color="000000"/>
              <w:right w:val="single" w:sz="8" w:space="0" w:color="000000"/>
            </w:tcBorders>
            <w:vAlign w:val="center"/>
          </w:tcPr>
          <w:p w14:paraId="57762B32"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b/>
                <w:sz w:val="24"/>
                <w:szCs w:val="24"/>
              </w:rPr>
              <w:t>2004</w:t>
            </w:r>
          </w:p>
        </w:tc>
      </w:tr>
      <w:tr w:rsidR="00C56532" w:rsidRPr="00760A96" w14:paraId="1DFFFD03" w14:textId="77777777">
        <w:trPr>
          <w:cantSplit/>
          <w:tblCellSpacing w:w="0" w:type="dxa"/>
          <w:jc w:val="center"/>
        </w:trPr>
        <w:tc>
          <w:tcPr>
            <w:tcW w:w="0" w:type="auto"/>
            <w:tcBorders>
              <w:left w:val="single" w:sz="8" w:space="0" w:color="000000"/>
              <w:right w:val="single" w:sz="8" w:space="0" w:color="000000"/>
            </w:tcBorders>
            <w:vAlign w:val="center"/>
          </w:tcPr>
          <w:p w14:paraId="73D700BE"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EBITDA</w:t>
            </w:r>
          </w:p>
        </w:tc>
        <w:tc>
          <w:tcPr>
            <w:tcW w:w="0" w:type="auto"/>
            <w:tcBorders>
              <w:right w:val="single" w:sz="8" w:space="0" w:color="000000"/>
            </w:tcBorders>
            <w:vAlign w:val="center"/>
          </w:tcPr>
          <w:p w14:paraId="1A446140"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10,200</w:t>
            </w:r>
          </w:p>
        </w:tc>
        <w:tc>
          <w:tcPr>
            <w:tcW w:w="0" w:type="auto"/>
            <w:tcBorders>
              <w:right w:val="single" w:sz="8" w:space="0" w:color="000000"/>
            </w:tcBorders>
            <w:vAlign w:val="center"/>
          </w:tcPr>
          <w:p w14:paraId="4C53A133"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11,220</w:t>
            </w:r>
          </w:p>
        </w:tc>
        <w:tc>
          <w:tcPr>
            <w:tcW w:w="0" w:type="auto"/>
            <w:tcBorders>
              <w:right w:val="single" w:sz="8" w:space="0" w:color="000000"/>
            </w:tcBorders>
            <w:vAlign w:val="center"/>
          </w:tcPr>
          <w:p w14:paraId="3F5C1046"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12,342</w:t>
            </w:r>
          </w:p>
        </w:tc>
        <w:tc>
          <w:tcPr>
            <w:tcW w:w="0" w:type="auto"/>
            <w:tcBorders>
              <w:right w:val="single" w:sz="8" w:space="0" w:color="000000"/>
            </w:tcBorders>
            <w:vAlign w:val="center"/>
          </w:tcPr>
          <w:p w14:paraId="49E912BD"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13,576</w:t>
            </w:r>
          </w:p>
        </w:tc>
        <w:tc>
          <w:tcPr>
            <w:tcW w:w="0" w:type="auto"/>
            <w:tcBorders>
              <w:right w:val="single" w:sz="8" w:space="0" w:color="000000"/>
            </w:tcBorders>
            <w:vAlign w:val="center"/>
          </w:tcPr>
          <w:p w14:paraId="0D80B72D"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14,934</w:t>
            </w:r>
          </w:p>
        </w:tc>
      </w:tr>
      <w:tr w:rsidR="00C56532" w:rsidRPr="00760A96" w14:paraId="4522EB2D" w14:textId="77777777">
        <w:trPr>
          <w:cantSplit/>
          <w:tblCellSpacing w:w="0" w:type="dxa"/>
          <w:jc w:val="center"/>
        </w:trPr>
        <w:tc>
          <w:tcPr>
            <w:tcW w:w="0" w:type="auto"/>
            <w:tcBorders>
              <w:left w:val="single" w:sz="8" w:space="0" w:color="000000"/>
              <w:right w:val="single" w:sz="8" w:space="0" w:color="000000"/>
            </w:tcBorders>
            <w:vAlign w:val="center"/>
          </w:tcPr>
          <w:p w14:paraId="009A1065"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Less: Capex</w:t>
            </w:r>
          </w:p>
        </w:tc>
        <w:tc>
          <w:tcPr>
            <w:tcW w:w="0" w:type="auto"/>
            <w:tcBorders>
              <w:right w:val="single" w:sz="8" w:space="0" w:color="000000"/>
            </w:tcBorders>
            <w:vAlign w:val="center"/>
          </w:tcPr>
          <w:p w14:paraId="31739DED"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3,500</w:t>
            </w:r>
          </w:p>
        </w:tc>
        <w:tc>
          <w:tcPr>
            <w:tcW w:w="0" w:type="auto"/>
            <w:tcBorders>
              <w:right w:val="single" w:sz="8" w:space="0" w:color="000000"/>
            </w:tcBorders>
            <w:vAlign w:val="center"/>
          </w:tcPr>
          <w:p w14:paraId="3B7E5F85"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3,850</w:t>
            </w:r>
          </w:p>
        </w:tc>
        <w:tc>
          <w:tcPr>
            <w:tcW w:w="0" w:type="auto"/>
            <w:tcBorders>
              <w:right w:val="single" w:sz="8" w:space="0" w:color="000000"/>
            </w:tcBorders>
            <w:vAlign w:val="center"/>
          </w:tcPr>
          <w:p w14:paraId="7A234F29"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4,235</w:t>
            </w:r>
          </w:p>
        </w:tc>
        <w:tc>
          <w:tcPr>
            <w:tcW w:w="0" w:type="auto"/>
            <w:tcBorders>
              <w:right w:val="single" w:sz="8" w:space="0" w:color="000000"/>
            </w:tcBorders>
            <w:vAlign w:val="center"/>
          </w:tcPr>
          <w:p w14:paraId="37A0D853"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4,659</w:t>
            </w:r>
          </w:p>
        </w:tc>
        <w:tc>
          <w:tcPr>
            <w:tcW w:w="0" w:type="auto"/>
            <w:tcBorders>
              <w:right w:val="single" w:sz="8" w:space="0" w:color="000000"/>
            </w:tcBorders>
            <w:vAlign w:val="center"/>
          </w:tcPr>
          <w:p w14:paraId="3097A85E"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5,125</w:t>
            </w:r>
          </w:p>
        </w:tc>
      </w:tr>
      <w:tr w:rsidR="00C56532" w:rsidRPr="00760A96" w14:paraId="305FF642" w14:textId="77777777">
        <w:trPr>
          <w:cantSplit/>
          <w:tblCellSpacing w:w="0" w:type="dxa"/>
          <w:jc w:val="center"/>
        </w:trPr>
        <w:tc>
          <w:tcPr>
            <w:tcW w:w="0" w:type="auto"/>
            <w:tcBorders>
              <w:left w:val="single" w:sz="8" w:space="0" w:color="000000"/>
              <w:right w:val="single" w:sz="8" w:space="0" w:color="000000"/>
            </w:tcBorders>
            <w:vAlign w:val="center"/>
          </w:tcPr>
          <w:p w14:paraId="67A4ECB2"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Less: Taxes</w:t>
            </w:r>
          </w:p>
        </w:tc>
        <w:tc>
          <w:tcPr>
            <w:tcW w:w="0" w:type="auto"/>
            <w:tcBorders>
              <w:right w:val="single" w:sz="8" w:space="0" w:color="000000"/>
            </w:tcBorders>
            <w:vAlign w:val="center"/>
          </w:tcPr>
          <w:p w14:paraId="3D195037"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2,244</w:t>
            </w:r>
          </w:p>
        </w:tc>
        <w:tc>
          <w:tcPr>
            <w:tcW w:w="0" w:type="auto"/>
            <w:tcBorders>
              <w:right w:val="single" w:sz="8" w:space="0" w:color="000000"/>
            </w:tcBorders>
            <w:vAlign w:val="center"/>
          </w:tcPr>
          <w:p w14:paraId="0F2728DF"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2,468</w:t>
            </w:r>
          </w:p>
        </w:tc>
        <w:tc>
          <w:tcPr>
            <w:tcW w:w="0" w:type="auto"/>
            <w:tcBorders>
              <w:right w:val="single" w:sz="8" w:space="0" w:color="000000"/>
            </w:tcBorders>
            <w:vAlign w:val="center"/>
          </w:tcPr>
          <w:p w14:paraId="6C57B326"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2,715</w:t>
            </w:r>
          </w:p>
        </w:tc>
        <w:tc>
          <w:tcPr>
            <w:tcW w:w="0" w:type="auto"/>
            <w:tcBorders>
              <w:right w:val="single" w:sz="8" w:space="0" w:color="000000"/>
            </w:tcBorders>
            <w:vAlign w:val="center"/>
          </w:tcPr>
          <w:p w14:paraId="7B80A539"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2,987</w:t>
            </w:r>
          </w:p>
        </w:tc>
        <w:tc>
          <w:tcPr>
            <w:tcW w:w="0" w:type="auto"/>
            <w:tcBorders>
              <w:right w:val="single" w:sz="8" w:space="0" w:color="000000"/>
            </w:tcBorders>
            <w:vAlign w:val="center"/>
          </w:tcPr>
          <w:p w14:paraId="114F759E"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3,285</w:t>
            </w:r>
          </w:p>
        </w:tc>
      </w:tr>
      <w:tr w:rsidR="00C56532" w:rsidRPr="00760A96" w14:paraId="7FCA673B" w14:textId="77777777">
        <w:trPr>
          <w:cantSplit/>
          <w:tblCellSpacing w:w="0" w:type="dxa"/>
          <w:jc w:val="center"/>
        </w:trPr>
        <w:tc>
          <w:tcPr>
            <w:tcW w:w="0" w:type="auto"/>
            <w:tcBorders>
              <w:left w:val="single" w:sz="8" w:space="0" w:color="000000"/>
              <w:right w:val="single" w:sz="8" w:space="0" w:color="000000"/>
            </w:tcBorders>
            <w:vAlign w:val="center"/>
          </w:tcPr>
          <w:p w14:paraId="6C76FCDE"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Add: Synergies</w:t>
            </w:r>
          </w:p>
        </w:tc>
        <w:tc>
          <w:tcPr>
            <w:tcW w:w="0" w:type="auto"/>
            <w:tcBorders>
              <w:right w:val="single" w:sz="8" w:space="0" w:color="000000"/>
            </w:tcBorders>
            <w:vAlign w:val="center"/>
          </w:tcPr>
          <w:p w14:paraId="2BCFC803"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0</w:t>
            </w:r>
          </w:p>
        </w:tc>
        <w:tc>
          <w:tcPr>
            <w:tcW w:w="0" w:type="auto"/>
            <w:tcBorders>
              <w:right w:val="single" w:sz="8" w:space="0" w:color="000000"/>
            </w:tcBorders>
            <w:vAlign w:val="center"/>
          </w:tcPr>
          <w:p w14:paraId="5D38DC33"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300</w:t>
            </w:r>
          </w:p>
        </w:tc>
        <w:tc>
          <w:tcPr>
            <w:tcW w:w="0" w:type="auto"/>
            <w:tcBorders>
              <w:right w:val="single" w:sz="8" w:space="0" w:color="000000"/>
            </w:tcBorders>
            <w:vAlign w:val="center"/>
          </w:tcPr>
          <w:p w14:paraId="69648ACF"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600</w:t>
            </w:r>
          </w:p>
        </w:tc>
        <w:tc>
          <w:tcPr>
            <w:tcW w:w="0" w:type="auto"/>
            <w:tcBorders>
              <w:right w:val="single" w:sz="8" w:space="0" w:color="000000"/>
            </w:tcBorders>
            <w:vAlign w:val="center"/>
          </w:tcPr>
          <w:p w14:paraId="512E11D2"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600</w:t>
            </w:r>
          </w:p>
        </w:tc>
        <w:tc>
          <w:tcPr>
            <w:tcW w:w="0" w:type="auto"/>
            <w:tcBorders>
              <w:right w:val="single" w:sz="8" w:space="0" w:color="000000"/>
            </w:tcBorders>
            <w:vAlign w:val="center"/>
          </w:tcPr>
          <w:p w14:paraId="6F6E9155"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600</w:t>
            </w:r>
          </w:p>
        </w:tc>
      </w:tr>
      <w:tr w:rsidR="00C56532" w:rsidRPr="00760A96" w14:paraId="52EEB41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2E73E4B"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Free Cash Flow</w:t>
            </w:r>
          </w:p>
        </w:tc>
        <w:tc>
          <w:tcPr>
            <w:tcW w:w="0" w:type="auto"/>
            <w:tcBorders>
              <w:bottom w:val="single" w:sz="8" w:space="0" w:color="000000"/>
              <w:right w:val="single" w:sz="8" w:space="0" w:color="000000"/>
            </w:tcBorders>
            <w:vAlign w:val="center"/>
          </w:tcPr>
          <w:p w14:paraId="4C4D8076"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4,456</w:t>
            </w:r>
          </w:p>
        </w:tc>
        <w:tc>
          <w:tcPr>
            <w:tcW w:w="0" w:type="auto"/>
            <w:tcBorders>
              <w:bottom w:val="single" w:sz="8" w:space="0" w:color="000000"/>
              <w:right w:val="single" w:sz="8" w:space="0" w:color="000000"/>
            </w:tcBorders>
            <w:vAlign w:val="center"/>
          </w:tcPr>
          <w:p w14:paraId="54461811"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5,202</w:t>
            </w:r>
          </w:p>
        </w:tc>
        <w:tc>
          <w:tcPr>
            <w:tcW w:w="0" w:type="auto"/>
            <w:tcBorders>
              <w:bottom w:val="single" w:sz="8" w:space="0" w:color="000000"/>
              <w:right w:val="single" w:sz="8" w:space="0" w:color="000000"/>
            </w:tcBorders>
            <w:vAlign w:val="center"/>
          </w:tcPr>
          <w:p w14:paraId="20161EEB"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5,992</w:t>
            </w:r>
          </w:p>
        </w:tc>
        <w:tc>
          <w:tcPr>
            <w:tcW w:w="0" w:type="auto"/>
            <w:tcBorders>
              <w:bottom w:val="single" w:sz="8" w:space="0" w:color="000000"/>
              <w:right w:val="single" w:sz="8" w:space="0" w:color="000000"/>
            </w:tcBorders>
            <w:vAlign w:val="center"/>
          </w:tcPr>
          <w:p w14:paraId="0BACCF94"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6,530</w:t>
            </w:r>
          </w:p>
        </w:tc>
        <w:tc>
          <w:tcPr>
            <w:tcW w:w="0" w:type="auto"/>
            <w:tcBorders>
              <w:bottom w:val="single" w:sz="8" w:space="0" w:color="000000"/>
              <w:right w:val="single" w:sz="8" w:space="0" w:color="000000"/>
            </w:tcBorders>
            <w:vAlign w:val="center"/>
          </w:tcPr>
          <w:p w14:paraId="7FA408B3"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7,124</w:t>
            </w:r>
          </w:p>
        </w:tc>
      </w:tr>
    </w:tbl>
    <w:p w14:paraId="2A808465" w14:textId="77777777" w:rsidR="00C56532" w:rsidRPr="00760A96" w:rsidRDefault="00C56532" w:rsidP="00760A96">
      <w:pPr>
        <w:jc w:val="both"/>
        <w:rPr>
          <w:rFonts w:ascii="Times New Roman" w:hAnsi="Times New Roman" w:cs="Times New Roman"/>
          <w:sz w:val="24"/>
          <w:szCs w:val="24"/>
        </w:rPr>
      </w:pPr>
    </w:p>
    <w:p w14:paraId="1F63D196"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Table 4: Five-year free cash flow projection ($ millions)</w:t>
      </w:r>
    </w:p>
    <w:p w14:paraId="536C387D"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Discount Rate Calculation (WACC):</w:t>
      </w:r>
    </w:p>
    <w:p w14:paraId="79BFFACF" w14:textId="77777777" w:rsidR="00C56532" w:rsidRPr="00760A96" w:rsidRDefault="00000000" w:rsidP="00760A96">
      <w:pPr>
        <w:numPr>
          <w:ilvl w:val="0"/>
          <w:numId w:val="13"/>
        </w:numPr>
        <w:jc w:val="both"/>
        <w:rPr>
          <w:rFonts w:ascii="Times New Roman" w:hAnsi="Times New Roman" w:cs="Times New Roman"/>
          <w:sz w:val="24"/>
          <w:szCs w:val="24"/>
        </w:rPr>
      </w:pPr>
      <w:r w:rsidRPr="00760A96">
        <w:rPr>
          <w:rFonts w:ascii="Times New Roman" w:eastAsia="Georgia" w:hAnsi="Times New Roman" w:cs="Times New Roman"/>
          <w:sz w:val="24"/>
          <w:szCs w:val="24"/>
        </w:rPr>
        <w:t>Cost of equity: 12.5% (beta of 1.4 × 6% equity risk premium + 4% risk-free rate)</w:t>
      </w:r>
    </w:p>
    <w:p w14:paraId="5505CA83" w14:textId="77777777" w:rsidR="00C56532" w:rsidRPr="00760A96" w:rsidRDefault="00000000" w:rsidP="00760A96">
      <w:pPr>
        <w:numPr>
          <w:ilvl w:val="0"/>
          <w:numId w:val="13"/>
        </w:numPr>
        <w:jc w:val="both"/>
        <w:rPr>
          <w:rFonts w:ascii="Times New Roman" w:hAnsi="Times New Roman" w:cs="Times New Roman"/>
          <w:sz w:val="24"/>
          <w:szCs w:val="24"/>
        </w:rPr>
      </w:pPr>
      <w:r w:rsidRPr="00760A96">
        <w:rPr>
          <w:rFonts w:ascii="Times New Roman" w:eastAsia="Georgia" w:hAnsi="Times New Roman" w:cs="Times New Roman"/>
          <w:sz w:val="24"/>
          <w:szCs w:val="24"/>
        </w:rPr>
        <w:t>After-tax cost of debt: 4.9% (7.5% pre-tax rate × 65% tax factor)</w:t>
      </w:r>
    </w:p>
    <w:p w14:paraId="5A36F268" w14:textId="77777777" w:rsidR="00C56532" w:rsidRPr="00760A96" w:rsidRDefault="00000000" w:rsidP="00760A96">
      <w:pPr>
        <w:numPr>
          <w:ilvl w:val="0"/>
          <w:numId w:val="13"/>
        </w:numPr>
        <w:jc w:val="both"/>
        <w:rPr>
          <w:rFonts w:ascii="Times New Roman" w:hAnsi="Times New Roman" w:cs="Times New Roman"/>
          <w:sz w:val="24"/>
          <w:szCs w:val="24"/>
        </w:rPr>
      </w:pPr>
      <w:r w:rsidRPr="00760A96">
        <w:rPr>
          <w:rFonts w:ascii="Times New Roman" w:hAnsi="Times New Roman" w:cs="Times New Roman"/>
          <w:sz w:val="24"/>
          <w:szCs w:val="24"/>
        </w:rPr>
        <w:t>Target capital structure: 15% debt, 85% equity</w:t>
      </w:r>
    </w:p>
    <w:p w14:paraId="08FE726D" w14:textId="77777777" w:rsidR="00C56532" w:rsidRPr="00760A96" w:rsidRDefault="00000000" w:rsidP="00760A96">
      <w:pPr>
        <w:numPr>
          <w:ilvl w:val="0"/>
          <w:numId w:val="13"/>
        </w:numPr>
        <w:jc w:val="both"/>
        <w:rPr>
          <w:rFonts w:ascii="Times New Roman" w:hAnsi="Times New Roman" w:cs="Times New Roman"/>
          <w:sz w:val="24"/>
          <w:szCs w:val="24"/>
        </w:rPr>
      </w:pPr>
      <w:r w:rsidRPr="00760A96">
        <w:rPr>
          <w:rFonts w:ascii="Times New Roman" w:eastAsia="Georgia" w:hAnsi="Times New Roman" w:cs="Times New Roman"/>
          <w:sz w:val="24"/>
          <w:szCs w:val="24"/>
        </w:rPr>
        <w:t>WACC = (12.5% × 0.85) + (4.9% × 0.15) = 11.36%</w:t>
      </w:r>
    </w:p>
    <w:p w14:paraId="24786FA1"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Terminal Value:</w:t>
      </w:r>
    </w:p>
    <w:p w14:paraId="3B5F3786"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Using perpetuity growth method with conservative 3% long-term growth rate:</w:t>
      </w:r>
    </w:p>
    <w:p w14:paraId="4EE1E6D2"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eastAsia="Georgia" w:hAnsi="Times New Roman" w:cs="Times New Roman"/>
          <w:sz w:val="24"/>
          <w:szCs w:val="24"/>
        </w:rPr>
        <w:t>Terminal Value = FCF₂₀₀₄ × (1 + g) / (WACC - g) = 7,124 × 1.03 / 0.0836 = $87,823 million</w:t>
      </w:r>
    </w:p>
    <w:p w14:paraId="4B60E9A5"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Intrinsic Value Result:</w:t>
      </w:r>
    </w:p>
    <w:p w14:paraId="5FF0333C" w14:textId="77777777" w:rsidR="00C56532" w:rsidRPr="00760A96" w:rsidRDefault="00000000" w:rsidP="00760A96">
      <w:pPr>
        <w:numPr>
          <w:ilvl w:val="0"/>
          <w:numId w:val="14"/>
        </w:numPr>
        <w:jc w:val="both"/>
        <w:rPr>
          <w:rFonts w:ascii="Times New Roman" w:hAnsi="Times New Roman" w:cs="Times New Roman"/>
          <w:sz w:val="24"/>
          <w:szCs w:val="24"/>
        </w:rPr>
      </w:pPr>
      <w:r w:rsidRPr="00760A96">
        <w:rPr>
          <w:rFonts w:ascii="Times New Roman" w:hAnsi="Times New Roman" w:cs="Times New Roman"/>
          <w:sz w:val="24"/>
          <w:szCs w:val="24"/>
        </w:rPr>
        <w:t>Present value of 5-year cash flows: $21,456 million</w:t>
      </w:r>
    </w:p>
    <w:p w14:paraId="1CEA6BE7" w14:textId="77777777" w:rsidR="00C56532" w:rsidRPr="00760A96" w:rsidRDefault="00000000" w:rsidP="00760A96">
      <w:pPr>
        <w:numPr>
          <w:ilvl w:val="0"/>
          <w:numId w:val="14"/>
        </w:numPr>
        <w:jc w:val="both"/>
        <w:rPr>
          <w:rFonts w:ascii="Times New Roman" w:hAnsi="Times New Roman" w:cs="Times New Roman"/>
          <w:sz w:val="24"/>
          <w:szCs w:val="24"/>
        </w:rPr>
      </w:pPr>
      <w:r w:rsidRPr="00760A96">
        <w:rPr>
          <w:rFonts w:ascii="Times New Roman" w:hAnsi="Times New Roman" w:cs="Times New Roman"/>
          <w:sz w:val="24"/>
          <w:szCs w:val="24"/>
        </w:rPr>
        <w:t>Present value of terminal value: $52,187 million</w:t>
      </w:r>
    </w:p>
    <w:p w14:paraId="683A2DFE" w14:textId="77777777" w:rsidR="00C56532" w:rsidRPr="00760A96" w:rsidRDefault="00000000" w:rsidP="00760A96">
      <w:pPr>
        <w:numPr>
          <w:ilvl w:val="0"/>
          <w:numId w:val="14"/>
        </w:numPr>
        <w:jc w:val="both"/>
        <w:rPr>
          <w:rFonts w:ascii="Times New Roman" w:hAnsi="Times New Roman" w:cs="Times New Roman"/>
          <w:sz w:val="24"/>
          <w:szCs w:val="24"/>
        </w:rPr>
      </w:pPr>
      <w:r w:rsidRPr="00760A96">
        <w:rPr>
          <w:rFonts w:ascii="Times New Roman" w:hAnsi="Times New Roman" w:cs="Times New Roman"/>
          <w:sz w:val="24"/>
          <w:szCs w:val="24"/>
        </w:rPr>
        <w:t>Enterprise value: $73,643 million</w:t>
      </w:r>
    </w:p>
    <w:p w14:paraId="1B036881" w14:textId="77777777" w:rsidR="00C56532" w:rsidRPr="00760A96" w:rsidRDefault="00000000" w:rsidP="00760A96">
      <w:pPr>
        <w:numPr>
          <w:ilvl w:val="0"/>
          <w:numId w:val="14"/>
        </w:numPr>
        <w:jc w:val="both"/>
        <w:rPr>
          <w:rFonts w:ascii="Times New Roman" w:hAnsi="Times New Roman" w:cs="Times New Roman"/>
          <w:sz w:val="24"/>
          <w:szCs w:val="24"/>
        </w:rPr>
      </w:pPr>
      <w:r w:rsidRPr="00760A96">
        <w:rPr>
          <w:rFonts w:ascii="Times New Roman" w:hAnsi="Times New Roman" w:cs="Times New Roman"/>
          <w:sz w:val="24"/>
          <w:szCs w:val="24"/>
        </w:rPr>
        <w:t>Less: Net debt: $16,200 million</w:t>
      </w:r>
    </w:p>
    <w:p w14:paraId="6CCCE0AC" w14:textId="77777777" w:rsidR="00C56532" w:rsidRPr="00760A96" w:rsidRDefault="00000000" w:rsidP="00760A96">
      <w:pPr>
        <w:numPr>
          <w:ilvl w:val="0"/>
          <w:numId w:val="14"/>
        </w:numPr>
        <w:jc w:val="both"/>
        <w:rPr>
          <w:rFonts w:ascii="Times New Roman" w:hAnsi="Times New Roman" w:cs="Times New Roman"/>
          <w:sz w:val="24"/>
          <w:szCs w:val="24"/>
        </w:rPr>
      </w:pPr>
      <w:r w:rsidRPr="00760A96">
        <w:rPr>
          <w:rFonts w:ascii="Times New Roman" w:hAnsi="Times New Roman" w:cs="Times New Roman"/>
          <w:sz w:val="24"/>
          <w:szCs w:val="24"/>
        </w:rPr>
        <w:t>Equity value: $57,443 million</w:t>
      </w:r>
    </w:p>
    <w:p w14:paraId="0AD40F16" w14:textId="77777777" w:rsidR="00C56532" w:rsidRPr="00760A96" w:rsidRDefault="00000000" w:rsidP="00760A96">
      <w:pPr>
        <w:numPr>
          <w:ilvl w:val="0"/>
          <w:numId w:val="14"/>
        </w:numPr>
        <w:jc w:val="both"/>
        <w:rPr>
          <w:rFonts w:ascii="Times New Roman" w:hAnsi="Times New Roman" w:cs="Times New Roman"/>
          <w:sz w:val="24"/>
          <w:szCs w:val="24"/>
        </w:rPr>
      </w:pPr>
      <w:r w:rsidRPr="00760A96">
        <w:rPr>
          <w:rFonts w:ascii="Times New Roman" w:hAnsi="Times New Roman" w:cs="Times New Roman"/>
          <w:sz w:val="24"/>
          <w:szCs w:val="24"/>
        </w:rPr>
        <w:t>Shares outstanding: 4,450 million</w:t>
      </w:r>
    </w:p>
    <w:p w14:paraId="0453885A" w14:textId="77777777" w:rsidR="00C56532" w:rsidRPr="00760A96" w:rsidRDefault="00000000" w:rsidP="00760A96">
      <w:pPr>
        <w:numPr>
          <w:ilvl w:val="0"/>
          <w:numId w:val="14"/>
        </w:numPr>
        <w:jc w:val="both"/>
        <w:rPr>
          <w:rFonts w:ascii="Times New Roman" w:hAnsi="Times New Roman" w:cs="Times New Roman"/>
          <w:sz w:val="24"/>
          <w:szCs w:val="24"/>
        </w:rPr>
      </w:pPr>
      <w:r w:rsidRPr="00760A96">
        <w:rPr>
          <w:rFonts w:ascii="Times New Roman" w:hAnsi="Times New Roman" w:cs="Times New Roman"/>
          <w:b/>
          <w:sz w:val="24"/>
          <w:szCs w:val="24"/>
        </w:rPr>
        <w:t>Intrinsic value per share: $12.91</w:t>
      </w:r>
    </w:p>
    <w:p w14:paraId="13A29181" w14:textId="4B956009"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 xml:space="preserve">With AOL trading at $73.00 (implied merger value), our DCF analysis indicated </w:t>
      </w:r>
      <w:r w:rsidRPr="00760A96">
        <w:rPr>
          <w:rFonts w:ascii="Times New Roman" w:hAnsi="Times New Roman" w:cs="Times New Roman"/>
          <w:b/>
          <w:sz w:val="24"/>
          <w:szCs w:val="24"/>
        </w:rPr>
        <w:t>465% overvaluation</w:t>
      </w:r>
      <w:r w:rsidR="00760A96">
        <w:rPr>
          <w:rFonts w:ascii="Times New Roman" w:eastAsia="Georgia" w:hAnsi="Times New Roman" w:cs="Times New Roman"/>
          <w:sz w:val="24"/>
          <w:szCs w:val="24"/>
        </w:rPr>
        <w:t xml:space="preserve"> </w:t>
      </w:r>
      <w:r w:rsidRPr="00760A96">
        <w:rPr>
          <w:rFonts w:ascii="Times New Roman" w:eastAsia="Georgia" w:hAnsi="Times New Roman" w:cs="Times New Roman"/>
          <w:sz w:val="24"/>
          <w:szCs w:val="24"/>
        </w:rPr>
        <w:t>a critical finding supporting our sell recommendation.</w:t>
      </w:r>
    </w:p>
    <w:p w14:paraId="472661A8" w14:textId="77777777" w:rsidR="00760A96" w:rsidRDefault="00760A96">
      <w:pPr>
        <w:rPr>
          <w:rFonts w:ascii="Times New Roman" w:hAnsi="Times New Roman" w:cs="Times New Roman"/>
          <w:b/>
          <w:sz w:val="24"/>
          <w:szCs w:val="24"/>
        </w:rPr>
      </w:pPr>
      <w:bookmarkStart w:id="19" w:name="problem_5_integration_risk_assess_257b56"/>
      <w:r>
        <w:rPr>
          <w:rFonts w:ascii="Times New Roman" w:hAnsi="Times New Roman" w:cs="Times New Roman"/>
          <w:b/>
          <w:sz w:val="24"/>
          <w:szCs w:val="24"/>
        </w:rPr>
        <w:br w:type="page"/>
      </w:r>
    </w:p>
    <w:p w14:paraId="5EB4CD2A" w14:textId="005E927C" w:rsidR="00C56532" w:rsidRPr="00760A96" w:rsidRDefault="00000000" w:rsidP="00760A96">
      <w:pPr>
        <w:pStyle w:val="Heading1"/>
      </w:pPr>
      <w:bookmarkStart w:id="20" w:name="_Toc221391244"/>
      <w:r w:rsidRPr="00760A96">
        <w:lastRenderedPageBreak/>
        <w:t>Problem 5: Integration Risk Assessment and Recommendation Framework</w:t>
      </w:r>
      <w:bookmarkEnd w:id="19"/>
      <w:bookmarkEnd w:id="20"/>
    </w:p>
    <w:p w14:paraId="592FB327" w14:textId="77777777" w:rsidR="00C56532" w:rsidRPr="00760A96" w:rsidRDefault="00000000" w:rsidP="00760A96">
      <w:pPr>
        <w:spacing w:before="240" w:line="271" w:lineRule="auto"/>
        <w:jc w:val="both"/>
        <w:rPr>
          <w:rFonts w:ascii="Times New Roman" w:hAnsi="Times New Roman" w:cs="Times New Roman"/>
          <w:sz w:val="24"/>
          <w:szCs w:val="24"/>
        </w:rPr>
      </w:pPr>
      <w:bookmarkStart w:id="21" w:name="challenge_description_5"/>
      <w:r w:rsidRPr="00760A96">
        <w:rPr>
          <w:rFonts w:ascii="Times New Roman" w:hAnsi="Times New Roman" w:cs="Times New Roman"/>
          <w:b/>
          <w:sz w:val="24"/>
          <w:szCs w:val="24"/>
        </w:rPr>
        <w:t>Challenge Description</w:t>
      </w:r>
      <w:bookmarkEnd w:id="21"/>
    </w:p>
    <w:p w14:paraId="15F8B26B"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Financial analysis alone was insufficient for an investment recommendation. The merger presented unique integration risks that required qualitative assessment:</w:t>
      </w:r>
    </w:p>
    <w:p w14:paraId="00E15EC9"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Cultural Challenges:</w:t>
      </w:r>
    </w:p>
    <w:p w14:paraId="60FDE310" w14:textId="77777777" w:rsidR="00C56532" w:rsidRPr="00760A96" w:rsidRDefault="00000000" w:rsidP="00760A96">
      <w:pPr>
        <w:numPr>
          <w:ilvl w:val="0"/>
          <w:numId w:val="15"/>
        </w:numPr>
        <w:jc w:val="both"/>
        <w:rPr>
          <w:rFonts w:ascii="Times New Roman" w:hAnsi="Times New Roman" w:cs="Times New Roman"/>
          <w:sz w:val="24"/>
          <w:szCs w:val="24"/>
        </w:rPr>
      </w:pPr>
      <w:r w:rsidRPr="00760A96">
        <w:rPr>
          <w:rFonts w:ascii="Times New Roman" w:hAnsi="Times New Roman" w:cs="Times New Roman"/>
          <w:sz w:val="24"/>
          <w:szCs w:val="24"/>
        </w:rPr>
        <w:t>AOL's fast-paced internet culture vs. Time Warner's traditional media approach</w:t>
      </w:r>
    </w:p>
    <w:p w14:paraId="06FCD6CD" w14:textId="77777777" w:rsidR="00C56532" w:rsidRPr="00760A96" w:rsidRDefault="00000000" w:rsidP="00760A96">
      <w:pPr>
        <w:numPr>
          <w:ilvl w:val="0"/>
          <w:numId w:val="15"/>
        </w:numPr>
        <w:jc w:val="both"/>
        <w:rPr>
          <w:rFonts w:ascii="Times New Roman" w:hAnsi="Times New Roman" w:cs="Times New Roman"/>
          <w:sz w:val="24"/>
          <w:szCs w:val="24"/>
        </w:rPr>
      </w:pPr>
      <w:r w:rsidRPr="00760A96">
        <w:rPr>
          <w:rFonts w:ascii="Times New Roman" w:hAnsi="Times New Roman" w:cs="Times New Roman"/>
          <w:sz w:val="24"/>
          <w:szCs w:val="24"/>
        </w:rPr>
        <w:t>Compensation structure differences (AOL equity-heavy vs. Time Warner cash-heavy)</w:t>
      </w:r>
    </w:p>
    <w:p w14:paraId="2CC92A53" w14:textId="77777777" w:rsidR="00C56532" w:rsidRPr="00760A96" w:rsidRDefault="00000000" w:rsidP="00760A96">
      <w:pPr>
        <w:numPr>
          <w:ilvl w:val="0"/>
          <w:numId w:val="15"/>
        </w:numPr>
        <w:jc w:val="both"/>
        <w:rPr>
          <w:rFonts w:ascii="Times New Roman" w:hAnsi="Times New Roman" w:cs="Times New Roman"/>
          <w:sz w:val="24"/>
          <w:szCs w:val="24"/>
        </w:rPr>
      </w:pPr>
      <w:r w:rsidRPr="00760A96">
        <w:rPr>
          <w:rFonts w:ascii="Times New Roman" w:hAnsi="Times New Roman" w:cs="Times New Roman"/>
          <w:sz w:val="24"/>
          <w:szCs w:val="24"/>
        </w:rPr>
        <w:t>Decision-making speed mismatches</w:t>
      </w:r>
    </w:p>
    <w:p w14:paraId="3C69804E" w14:textId="77777777" w:rsidR="00C56532" w:rsidRPr="00760A96" w:rsidRDefault="00000000" w:rsidP="00760A96">
      <w:pPr>
        <w:numPr>
          <w:ilvl w:val="0"/>
          <w:numId w:val="15"/>
        </w:numPr>
        <w:jc w:val="both"/>
        <w:rPr>
          <w:rFonts w:ascii="Times New Roman" w:hAnsi="Times New Roman" w:cs="Times New Roman"/>
          <w:sz w:val="24"/>
          <w:szCs w:val="24"/>
        </w:rPr>
      </w:pPr>
      <w:r w:rsidRPr="00760A96">
        <w:rPr>
          <w:rFonts w:ascii="Times New Roman" w:hAnsi="Times New Roman" w:cs="Times New Roman"/>
          <w:sz w:val="24"/>
          <w:szCs w:val="24"/>
        </w:rPr>
        <w:t>Geographic dispersion (Virginia vs. New York)</w:t>
      </w:r>
    </w:p>
    <w:p w14:paraId="366BF51F"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Strategic Risks:</w:t>
      </w:r>
    </w:p>
    <w:p w14:paraId="66A7765C" w14:textId="77777777" w:rsidR="00C56532" w:rsidRPr="00760A96" w:rsidRDefault="00000000" w:rsidP="00760A96">
      <w:pPr>
        <w:numPr>
          <w:ilvl w:val="0"/>
          <w:numId w:val="16"/>
        </w:numPr>
        <w:jc w:val="both"/>
        <w:rPr>
          <w:rFonts w:ascii="Times New Roman" w:hAnsi="Times New Roman" w:cs="Times New Roman"/>
          <w:sz w:val="24"/>
          <w:szCs w:val="24"/>
        </w:rPr>
      </w:pPr>
      <w:r w:rsidRPr="00760A96">
        <w:rPr>
          <w:rFonts w:ascii="Times New Roman" w:hAnsi="Times New Roman" w:cs="Times New Roman"/>
          <w:sz w:val="24"/>
          <w:szCs w:val="24"/>
        </w:rPr>
        <w:t>Dial-up internet business model facing broadband disruption</w:t>
      </w:r>
    </w:p>
    <w:p w14:paraId="417487EE" w14:textId="77777777" w:rsidR="00C56532" w:rsidRPr="00760A96" w:rsidRDefault="00000000" w:rsidP="00760A96">
      <w:pPr>
        <w:numPr>
          <w:ilvl w:val="0"/>
          <w:numId w:val="16"/>
        </w:numPr>
        <w:jc w:val="both"/>
        <w:rPr>
          <w:rFonts w:ascii="Times New Roman" w:hAnsi="Times New Roman" w:cs="Times New Roman"/>
          <w:sz w:val="24"/>
          <w:szCs w:val="24"/>
        </w:rPr>
      </w:pPr>
      <w:r w:rsidRPr="00760A96">
        <w:rPr>
          <w:rFonts w:ascii="Times New Roman" w:hAnsi="Times New Roman" w:cs="Times New Roman"/>
          <w:sz w:val="24"/>
          <w:szCs w:val="24"/>
        </w:rPr>
        <w:t>Advertising revenue concentration during dot-com bubble</w:t>
      </w:r>
    </w:p>
    <w:p w14:paraId="2E8F8D81" w14:textId="77777777" w:rsidR="00C56532" w:rsidRPr="00760A96" w:rsidRDefault="00000000" w:rsidP="00760A96">
      <w:pPr>
        <w:numPr>
          <w:ilvl w:val="0"/>
          <w:numId w:val="16"/>
        </w:numPr>
        <w:jc w:val="both"/>
        <w:rPr>
          <w:rFonts w:ascii="Times New Roman" w:hAnsi="Times New Roman" w:cs="Times New Roman"/>
          <w:sz w:val="24"/>
          <w:szCs w:val="24"/>
        </w:rPr>
      </w:pPr>
      <w:r w:rsidRPr="00760A96">
        <w:rPr>
          <w:rFonts w:ascii="Times New Roman" w:hAnsi="Times New Roman" w:cs="Times New Roman"/>
          <w:sz w:val="24"/>
          <w:szCs w:val="24"/>
        </w:rPr>
        <w:t>Regulatory scrutiny from FTC and FCC</w:t>
      </w:r>
    </w:p>
    <w:p w14:paraId="543451BF" w14:textId="77777777" w:rsidR="00C56532" w:rsidRPr="00760A96" w:rsidRDefault="00000000" w:rsidP="00760A96">
      <w:pPr>
        <w:numPr>
          <w:ilvl w:val="0"/>
          <w:numId w:val="16"/>
        </w:numPr>
        <w:jc w:val="both"/>
        <w:rPr>
          <w:rFonts w:ascii="Times New Roman" w:hAnsi="Times New Roman" w:cs="Times New Roman"/>
          <w:sz w:val="24"/>
          <w:szCs w:val="24"/>
        </w:rPr>
      </w:pPr>
      <w:r w:rsidRPr="00760A96">
        <w:rPr>
          <w:rFonts w:ascii="Times New Roman" w:hAnsi="Times New Roman" w:cs="Times New Roman"/>
          <w:sz w:val="24"/>
          <w:szCs w:val="24"/>
        </w:rPr>
        <w:t>Content distribution agreements with competing platforms</w:t>
      </w:r>
    </w:p>
    <w:p w14:paraId="7630FBF4"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Valuation Risks:</w:t>
      </w:r>
    </w:p>
    <w:p w14:paraId="503EAB3D" w14:textId="77777777" w:rsidR="00C56532" w:rsidRPr="00760A96" w:rsidRDefault="00000000" w:rsidP="00760A96">
      <w:pPr>
        <w:numPr>
          <w:ilvl w:val="0"/>
          <w:numId w:val="17"/>
        </w:numPr>
        <w:jc w:val="both"/>
        <w:rPr>
          <w:rFonts w:ascii="Times New Roman" w:hAnsi="Times New Roman" w:cs="Times New Roman"/>
          <w:sz w:val="24"/>
          <w:szCs w:val="24"/>
        </w:rPr>
      </w:pPr>
      <w:r w:rsidRPr="00760A96">
        <w:rPr>
          <w:rFonts w:ascii="Times New Roman" w:hAnsi="Times New Roman" w:cs="Times New Roman"/>
          <w:sz w:val="24"/>
          <w:szCs w:val="24"/>
        </w:rPr>
        <w:t>Massive goodwill vulnerable to impairment testing</w:t>
      </w:r>
    </w:p>
    <w:p w14:paraId="0F3C16B5" w14:textId="77777777" w:rsidR="00C56532" w:rsidRPr="00760A96" w:rsidRDefault="00000000" w:rsidP="00760A96">
      <w:pPr>
        <w:numPr>
          <w:ilvl w:val="0"/>
          <w:numId w:val="17"/>
        </w:numPr>
        <w:jc w:val="both"/>
        <w:rPr>
          <w:rFonts w:ascii="Times New Roman" w:hAnsi="Times New Roman" w:cs="Times New Roman"/>
          <w:sz w:val="24"/>
          <w:szCs w:val="24"/>
        </w:rPr>
      </w:pPr>
      <w:r w:rsidRPr="00760A96">
        <w:rPr>
          <w:rFonts w:ascii="Times New Roman" w:hAnsi="Times New Roman" w:cs="Times New Roman"/>
          <w:sz w:val="24"/>
          <w:szCs w:val="24"/>
        </w:rPr>
        <w:t>Stock price supporting transaction value could decline</w:t>
      </w:r>
    </w:p>
    <w:p w14:paraId="0F3FE58A" w14:textId="77777777" w:rsidR="00C56532" w:rsidRPr="00760A96" w:rsidRDefault="00000000" w:rsidP="00760A96">
      <w:pPr>
        <w:numPr>
          <w:ilvl w:val="0"/>
          <w:numId w:val="17"/>
        </w:numPr>
        <w:jc w:val="both"/>
        <w:rPr>
          <w:rFonts w:ascii="Times New Roman" w:hAnsi="Times New Roman" w:cs="Times New Roman"/>
          <w:sz w:val="24"/>
          <w:szCs w:val="24"/>
        </w:rPr>
      </w:pPr>
      <w:r w:rsidRPr="00760A96">
        <w:rPr>
          <w:rFonts w:ascii="Times New Roman" w:hAnsi="Times New Roman" w:cs="Times New Roman"/>
          <w:sz w:val="24"/>
          <w:szCs w:val="24"/>
        </w:rPr>
        <w:t>Synergy targets might not materialize</w:t>
      </w:r>
    </w:p>
    <w:p w14:paraId="2155930F" w14:textId="77777777" w:rsidR="00C56532" w:rsidRPr="00760A96" w:rsidRDefault="00000000" w:rsidP="00760A96">
      <w:pPr>
        <w:numPr>
          <w:ilvl w:val="0"/>
          <w:numId w:val="17"/>
        </w:numPr>
        <w:jc w:val="both"/>
        <w:rPr>
          <w:rFonts w:ascii="Times New Roman" w:hAnsi="Times New Roman" w:cs="Times New Roman"/>
          <w:sz w:val="24"/>
          <w:szCs w:val="24"/>
        </w:rPr>
      </w:pPr>
      <w:r w:rsidRPr="00760A96">
        <w:rPr>
          <w:rFonts w:ascii="Times New Roman" w:hAnsi="Times New Roman" w:cs="Times New Roman"/>
          <w:sz w:val="24"/>
          <w:szCs w:val="24"/>
        </w:rPr>
        <w:t>Competitive pressures from Google, Microsoft, Yahoo</w:t>
      </w:r>
    </w:p>
    <w:p w14:paraId="6AF77B91"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How could we systematically assess these qualitative factors alongside quantitative analysis?</w:t>
      </w:r>
    </w:p>
    <w:p w14:paraId="334C50B4" w14:textId="77777777" w:rsidR="00C56532" w:rsidRPr="00760A96" w:rsidRDefault="00000000" w:rsidP="00760A96">
      <w:pPr>
        <w:spacing w:before="240" w:line="271" w:lineRule="auto"/>
        <w:jc w:val="both"/>
        <w:rPr>
          <w:rFonts w:ascii="Times New Roman" w:hAnsi="Times New Roman" w:cs="Times New Roman"/>
          <w:sz w:val="24"/>
          <w:szCs w:val="24"/>
        </w:rPr>
      </w:pPr>
      <w:bookmarkStart w:id="22" w:name="solution_implemented_5"/>
      <w:r w:rsidRPr="00760A96">
        <w:rPr>
          <w:rFonts w:ascii="Times New Roman" w:hAnsi="Times New Roman" w:cs="Times New Roman"/>
          <w:b/>
          <w:sz w:val="24"/>
          <w:szCs w:val="24"/>
        </w:rPr>
        <w:t>Solution Implemented</w:t>
      </w:r>
      <w:bookmarkEnd w:id="22"/>
    </w:p>
    <w:p w14:paraId="11C0D9F1"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We developed a comprehensive investment decision framework integrating multiple analytical dimensions:</w:t>
      </w:r>
    </w:p>
    <w:p w14:paraId="57EA8E30" w14:textId="77777777" w:rsidR="00760A96" w:rsidRDefault="00760A96">
      <w:pPr>
        <w:rPr>
          <w:rFonts w:ascii="Times New Roman" w:hAnsi="Times New Roman" w:cs="Times New Roman"/>
          <w:b/>
          <w:sz w:val="24"/>
          <w:szCs w:val="24"/>
        </w:rPr>
      </w:pPr>
      <w:r>
        <w:rPr>
          <w:rFonts w:ascii="Times New Roman" w:hAnsi="Times New Roman" w:cs="Times New Roman"/>
          <w:b/>
          <w:sz w:val="24"/>
          <w:szCs w:val="24"/>
        </w:rPr>
        <w:br w:type="page"/>
      </w:r>
    </w:p>
    <w:p w14:paraId="2E75B025" w14:textId="2101AA2F"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lastRenderedPageBreak/>
        <w:t>Quantitative Analysis Summary:</w:t>
      </w:r>
    </w:p>
    <w:tbl>
      <w:tblPr>
        <w:tblStyle w:val="NormalGrid"/>
        <w:tblW w:w="0" w:type="auto"/>
        <w:jc w:val="center"/>
        <w:tblCellSpacing w:w="0" w:type="dxa"/>
        <w:tblLook w:val="04A0" w:firstRow="1" w:lastRow="0" w:firstColumn="1" w:lastColumn="0" w:noHBand="0" w:noVBand="1"/>
      </w:tblPr>
      <w:tblGrid>
        <w:gridCol w:w="3440"/>
        <w:gridCol w:w="1440"/>
        <w:gridCol w:w="2027"/>
      </w:tblGrid>
      <w:tr w:rsidR="00C56532" w:rsidRPr="00760A96" w14:paraId="4F5F3E3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3F33AC1"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b/>
                <w:sz w:val="24"/>
                <w:szCs w:val="24"/>
              </w:rPr>
              <w:t>Valuation Method</w:t>
            </w:r>
          </w:p>
        </w:tc>
        <w:tc>
          <w:tcPr>
            <w:tcW w:w="0" w:type="auto"/>
            <w:tcBorders>
              <w:top w:val="single" w:sz="8" w:space="0" w:color="000000"/>
              <w:bottom w:val="single" w:sz="8" w:space="0" w:color="000000"/>
              <w:right w:val="single" w:sz="8" w:space="0" w:color="000000"/>
            </w:tcBorders>
            <w:vAlign w:val="center"/>
          </w:tcPr>
          <w:p w14:paraId="5521EA9C"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b/>
                <w:sz w:val="24"/>
                <w:szCs w:val="24"/>
              </w:rPr>
              <w:t>Fair Value</w:t>
            </w:r>
          </w:p>
        </w:tc>
        <w:tc>
          <w:tcPr>
            <w:tcW w:w="0" w:type="auto"/>
            <w:tcBorders>
              <w:top w:val="single" w:sz="8" w:space="0" w:color="000000"/>
              <w:bottom w:val="single" w:sz="8" w:space="0" w:color="000000"/>
              <w:right w:val="single" w:sz="8" w:space="0" w:color="000000"/>
            </w:tcBorders>
            <w:vAlign w:val="center"/>
          </w:tcPr>
          <w:p w14:paraId="11323D1D"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b/>
                <w:sz w:val="24"/>
                <w:szCs w:val="24"/>
              </w:rPr>
              <w:t>vs. Market ($73)</w:t>
            </w:r>
          </w:p>
        </w:tc>
      </w:tr>
      <w:tr w:rsidR="00C56532" w:rsidRPr="00760A96" w14:paraId="548A4588" w14:textId="77777777">
        <w:trPr>
          <w:cantSplit/>
          <w:tblCellSpacing w:w="0" w:type="dxa"/>
          <w:jc w:val="center"/>
        </w:trPr>
        <w:tc>
          <w:tcPr>
            <w:tcW w:w="0" w:type="auto"/>
            <w:tcBorders>
              <w:left w:val="single" w:sz="8" w:space="0" w:color="000000"/>
              <w:right w:val="single" w:sz="8" w:space="0" w:color="000000"/>
            </w:tcBorders>
            <w:vAlign w:val="center"/>
          </w:tcPr>
          <w:p w14:paraId="13E315DC"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DCF Analysis</w:t>
            </w:r>
          </w:p>
        </w:tc>
        <w:tc>
          <w:tcPr>
            <w:tcW w:w="0" w:type="auto"/>
            <w:tcBorders>
              <w:right w:val="single" w:sz="8" w:space="0" w:color="000000"/>
            </w:tcBorders>
            <w:vAlign w:val="center"/>
          </w:tcPr>
          <w:p w14:paraId="09CA43C9"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$12.91</w:t>
            </w:r>
          </w:p>
        </w:tc>
        <w:tc>
          <w:tcPr>
            <w:tcW w:w="0" w:type="auto"/>
            <w:tcBorders>
              <w:right w:val="single" w:sz="8" w:space="0" w:color="000000"/>
            </w:tcBorders>
            <w:vAlign w:val="center"/>
          </w:tcPr>
          <w:p w14:paraId="2F97259A"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-82.3%</w:t>
            </w:r>
          </w:p>
        </w:tc>
      </w:tr>
      <w:tr w:rsidR="00C56532" w:rsidRPr="00760A96" w14:paraId="2D530C72" w14:textId="77777777">
        <w:trPr>
          <w:cantSplit/>
          <w:tblCellSpacing w:w="0" w:type="dxa"/>
          <w:jc w:val="center"/>
        </w:trPr>
        <w:tc>
          <w:tcPr>
            <w:tcW w:w="0" w:type="auto"/>
            <w:tcBorders>
              <w:left w:val="single" w:sz="8" w:space="0" w:color="000000"/>
              <w:right w:val="single" w:sz="8" w:space="0" w:color="000000"/>
            </w:tcBorders>
            <w:vAlign w:val="center"/>
          </w:tcPr>
          <w:p w14:paraId="579A6246"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P/E Comparable (15x)</w:t>
            </w:r>
          </w:p>
        </w:tc>
        <w:tc>
          <w:tcPr>
            <w:tcW w:w="0" w:type="auto"/>
            <w:tcBorders>
              <w:right w:val="single" w:sz="8" w:space="0" w:color="000000"/>
            </w:tcBorders>
            <w:vAlign w:val="center"/>
          </w:tcPr>
          <w:p w14:paraId="58B8F889"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$18.75</w:t>
            </w:r>
          </w:p>
        </w:tc>
        <w:tc>
          <w:tcPr>
            <w:tcW w:w="0" w:type="auto"/>
            <w:tcBorders>
              <w:right w:val="single" w:sz="8" w:space="0" w:color="000000"/>
            </w:tcBorders>
            <w:vAlign w:val="center"/>
          </w:tcPr>
          <w:p w14:paraId="4B238931"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-74.3%</w:t>
            </w:r>
          </w:p>
        </w:tc>
      </w:tr>
      <w:tr w:rsidR="00C56532" w:rsidRPr="00760A96" w14:paraId="11A076F8" w14:textId="77777777">
        <w:trPr>
          <w:cantSplit/>
          <w:tblCellSpacing w:w="0" w:type="dxa"/>
          <w:jc w:val="center"/>
        </w:trPr>
        <w:tc>
          <w:tcPr>
            <w:tcW w:w="0" w:type="auto"/>
            <w:tcBorders>
              <w:left w:val="single" w:sz="8" w:space="0" w:color="000000"/>
              <w:right w:val="single" w:sz="8" w:space="0" w:color="000000"/>
            </w:tcBorders>
            <w:vAlign w:val="center"/>
          </w:tcPr>
          <w:p w14:paraId="66113D9D"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EV/EBITDA Comparable (12x)</w:t>
            </w:r>
          </w:p>
        </w:tc>
        <w:tc>
          <w:tcPr>
            <w:tcW w:w="0" w:type="auto"/>
            <w:tcBorders>
              <w:right w:val="single" w:sz="8" w:space="0" w:color="000000"/>
            </w:tcBorders>
            <w:vAlign w:val="center"/>
          </w:tcPr>
          <w:p w14:paraId="3E75A5D3"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$22.50</w:t>
            </w:r>
          </w:p>
        </w:tc>
        <w:tc>
          <w:tcPr>
            <w:tcW w:w="0" w:type="auto"/>
            <w:tcBorders>
              <w:right w:val="single" w:sz="8" w:space="0" w:color="000000"/>
            </w:tcBorders>
            <w:vAlign w:val="center"/>
          </w:tcPr>
          <w:p w14:paraId="426757CF"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-69.2%</w:t>
            </w:r>
          </w:p>
        </w:tc>
      </w:tr>
      <w:tr w:rsidR="00C56532" w:rsidRPr="00760A96" w14:paraId="3BEF78BC" w14:textId="77777777">
        <w:trPr>
          <w:cantSplit/>
          <w:tblCellSpacing w:w="0" w:type="dxa"/>
          <w:jc w:val="center"/>
        </w:trPr>
        <w:tc>
          <w:tcPr>
            <w:tcW w:w="0" w:type="auto"/>
            <w:tcBorders>
              <w:left w:val="single" w:sz="8" w:space="0" w:color="000000"/>
              <w:right w:val="single" w:sz="8" w:space="0" w:color="000000"/>
            </w:tcBorders>
            <w:vAlign w:val="center"/>
          </w:tcPr>
          <w:p w14:paraId="5400C89B"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Precedent Transactions</w:t>
            </w:r>
          </w:p>
        </w:tc>
        <w:tc>
          <w:tcPr>
            <w:tcW w:w="0" w:type="auto"/>
            <w:tcBorders>
              <w:right w:val="single" w:sz="8" w:space="0" w:color="000000"/>
            </w:tcBorders>
            <w:vAlign w:val="center"/>
          </w:tcPr>
          <w:p w14:paraId="3D1CCB35"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$28.00</w:t>
            </w:r>
          </w:p>
        </w:tc>
        <w:tc>
          <w:tcPr>
            <w:tcW w:w="0" w:type="auto"/>
            <w:tcBorders>
              <w:right w:val="single" w:sz="8" w:space="0" w:color="000000"/>
            </w:tcBorders>
            <w:vAlign w:val="center"/>
          </w:tcPr>
          <w:p w14:paraId="14AC957C"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-61.6%</w:t>
            </w:r>
          </w:p>
        </w:tc>
      </w:tr>
      <w:tr w:rsidR="00C56532" w:rsidRPr="00760A96" w14:paraId="2789271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F79119"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b/>
                <w:sz w:val="24"/>
                <w:szCs w:val="24"/>
              </w:rPr>
              <w:t>Average Fair Value</w:t>
            </w:r>
          </w:p>
        </w:tc>
        <w:tc>
          <w:tcPr>
            <w:tcW w:w="0" w:type="auto"/>
            <w:tcBorders>
              <w:bottom w:val="single" w:sz="8" w:space="0" w:color="000000"/>
              <w:right w:val="single" w:sz="8" w:space="0" w:color="000000"/>
            </w:tcBorders>
            <w:vAlign w:val="center"/>
          </w:tcPr>
          <w:p w14:paraId="70864CE3"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b/>
                <w:sz w:val="24"/>
                <w:szCs w:val="24"/>
              </w:rPr>
              <w:t>$20.54</w:t>
            </w:r>
          </w:p>
        </w:tc>
        <w:tc>
          <w:tcPr>
            <w:tcW w:w="0" w:type="auto"/>
            <w:tcBorders>
              <w:bottom w:val="single" w:sz="8" w:space="0" w:color="000000"/>
              <w:right w:val="single" w:sz="8" w:space="0" w:color="000000"/>
            </w:tcBorders>
            <w:vAlign w:val="center"/>
          </w:tcPr>
          <w:p w14:paraId="6B409460"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b/>
                <w:sz w:val="24"/>
                <w:szCs w:val="24"/>
              </w:rPr>
              <w:t>-71.9%</w:t>
            </w:r>
          </w:p>
        </w:tc>
      </w:tr>
    </w:tbl>
    <w:p w14:paraId="53ACFC03" w14:textId="77777777" w:rsidR="00C56532" w:rsidRPr="00760A96" w:rsidRDefault="00C56532" w:rsidP="00760A96">
      <w:pPr>
        <w:jc w:val="both"/>
        <w:rPr>
          <w:rFonts w:ascii="Times New Roman" w:hAnsi="Times New Roman" w:cs="Times New Roman"/>
          <w:sz w:val="24"/>
          <w:szCs w:val="24"/>
        </w:rPr>
      </w:pPr>
    </w:p>
    <w:p w14:paraId="2E4CDF73"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Table 5: Valuation method comparison</w:t>
      </w:r>
    </w:p>
    <w:p w14:paraId="0E1DDCAF" w14:textId="77777777" w:rsidR="00760A96" w:rsidRDefault="00760A96" w:rsidP="00760A96">
      <w:pPr>
        <w:spacing w:after="210"/>
        <w:jc w:val="both"/>
        <w:rPr>
          <w:rFonts w:ascii="Times New Roman" w:hAnsi="Times New Roman" w:cs="Times New Roman"/>
          <w:b/>
          <w:sz w:val="24"/>
          <w:szCs w:val="24"/>
        </w:rPr>
      </w:pPr>
    </w:p>
    <w:p w14:paraId="562508E1" w14:textId="5C5D9B5B"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Risk Matrix:</w:t>
      </w:r>
    </w:p>
    <w:tbl>
      <w:tblPr>
        <w:tblStyle w:val="NormalGrid"/>
        <w:tblW w:w="0" w:type="auto"/>
        <w:jc w:val="center"/>
        <w:tblCellSpacing w:w="0" w:type="dxa"/>
        <w:tblLook w:val="04A0" w:firstRow="1" w:lastRow="0" w:firstColumn="1" w:lastColumn="0" w:noHBand="0" w:noVBand="1"/>
      </w:tblPr>
      <w:tblGrid>
        <w:gridCol w:w="2434"/>
        <w:gridCol w:w="1814"/>
        <w:gridCol w:w="2353"/>
      </w:tblGrid>
      <w:tr w:rsidR="00C56532" w:rsidRPr="00760A96" w14:paraId="24544E34"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5D2923A"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b/>
                <w:sz w:val="24"/>
                <w:szCs w:val="24"/>
              </w:rPr>
              <w:t>Risk Category</w:t>
            </w:r>
          </w:p>
        </w:tc>
        <w:tc>
          <w:tcPr>
            <w:tcW w:w="0" w:type="auto"/>
            <w:tcBorders>
              <w:top w:val="single" w:sz="8" w:space="0" w:color="000000"/>
              <w:bottom w:val="single" w:sz="8" w:space="0" w:color="000000"/>
              <w:right w:val="single" w:sz="8" w:space="0" w:color="000000"/>
            </w:tcBorders>
            <w:vAlign w:val="center"/>
          </w:tcPr>
          <w:p w14:paraId="5A40A9E3"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b/>
                <w:sz w:val="24"/>
                <w:szCs w:val="24"/>
              </w:rPr>
              <w:t>Probability</w:t>
            </w:r>
          </w:p>
        </w:tc>
        <w:tc>
          <w:tcPr>
            <w:tcW w:w="0" w:type="auto"/>
            <w:tcBorders>
              <w:top w:val="single" w:sz="8" w:space="0" w:color="000000"/>
              <w:bottom w:val="single" w:sz="8" w:space="0" w:color="000000"/>
              <w:right w:val="single" w:sz="8" w:space="0" w:color="000000"/>
            </w:tcBorders>
            <w:vAlign w:val="center"/>
          </w:tcPr>
          <w:p w14:paraId="7DC25C1A"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b/>
                <w:sz w:val="24"/>
                <w:szCs w:val="24"/>
              </w:rPr>
              <w:t>Impact</w:t>
            </w:r>
          </w:p>
        </w:tc>
      </w:tr>
      <w:tr w:rsidR="00C56532" w:rsidRPr="00760A96" w14:paraId="202A5E87" w14:textId="77777777">
        <w:trPr>
          <w:cantSplit/>
          <w:tblCellSpacing w:w="0" w:type="dxa"/>
          <w:jc w:val="center"/>
        </w:trPr>
        <w:tc>
          <w:tcPr>
            <w:tcW w:w="0" w:type="auto"/>
            <w:tcBorders>
              <w:left w:val="single" w:sz="8" w:space="0" w:color="000000"/>
              <w:right w:val="single" w:sz="8" w:space="0" w:color="000000"/>
            </w:tcBorders>
            <w:vAlign w:val="center"/>
          </w:tcPr>
          <w:p w14:paraId="5148E500"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Goodwill impairment</w:t>
            </w:r>
          </w:p>
        </w:tc>
        <w:tc>
          <w:tcPr>
            <w:tcW w:w="0" w:type="auto"/>
            <w:tcBorders>
              <w:right w:val="single" w:sz="8" w:space="0" w:color="000000"/>
            </w:tcBorders>
            <w:vAlign w:val="center"/>
          </w:tcPr>
          <w:p w14:paraId="74860F1B"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High (70%)</w:t>
            </w:r>
          </w:p>
        </w:tc>
        <w:tc>
          <w:tcPr>
            <w:tcW w:w="0" w:type="auto"/>
            <w:tcBorders>
              <w:right w:val="single" w:sz="8" w:space="0" w:color="000000"/>
            </w:tcBorders>
            <w:vAlign w:val="center"/>
          </w:tcPr>
          <w:p w14:paraId="55FE8468"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Severe ($50B+)</w:t>
            </w:r>
          </w:p>
        </w:tc>
      </w:tr>
      <w:tr w:rsidR="00C56532" w:rsidRPr="00760A96" w14:paraId="59AB676A" w14:textId="77777777">
        <w:trPr>
          <w:cantSplit/>
          <w:tblCellSpacing w:w="0" w:type="dxa"/>
          <w:jc w:val="center"/>
        </w:trPr>
        <w:tc>
          <w:tcPr>
            <w:tcW w:w="0" w:type="auto"/>
            <w:tcBorders>
              <w:left w:val="single" w:sz="8" w:space="0" w:color="000000"/>
              <w:right w:val="single" w:sz="8" w:space="0" w:color="000000"/>
            </w:tcBorders>
            <w:vAlign w:val="center"/>
          </w:tcPr>
          <w:p w14:paraId="1479253B"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Synergy shortfall</w:t>
            </w:r>
          </w:p>
        </w:tc>
        <w:tc>
          <w:tcPr>
            <w:tcW w:w="0" w:type="auto"/>
            <w:tcBorders>
              <w:right w:val="single" w:sz="8" w:space="0" w:color="000000"/>
            </w:tcBorders>
            <w:vAlign w:val="center"/>
          </w:tcPr>
          <w:p w14:paraId="06960727"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Medium (50%)</w:t>
            </w:r>
          </w:p>
        </w:tc>
        <w:tc>
          <w:tcPr>
            <w:tcW w:w="0" w:type="auto"/>
            <w:tcBorders>
              <w:right w:val="single" w:sz="8" w:space="0" w:color="000000"/>
            </w:tcBorders>
            <w:vAlign w:val="center"/>
          </w:tcPr>
          <w:p w14:paraId="449D17EB"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Moderate ($500M)</w:t>
            </w:r>
          </w:p>
        </w:tc>
      </w:tr>
      <w:tr w:rsidR="00C56532" w:rsidRPr="00760A96" w14:paraId="575B892B" w14:textId="77777777">
        <w:trPr>
          <w:cantSplit/>
          <w:tblCellSpacing w:w="0" w:type="dxa"/>
          <w:jc w:val="center"/>
        </w:trPr>
        <w:tc>
          <w:tcPr>
            <w:tcW w:w="0" w:type="auto"/>
            <w:tcBorders>
              <w:left w:val="single" w:sz="8" w:space="0" w:color="000000"/>
              <w:right w:val="single" w:sz="8" w:space="0" w:color="000000"/>
            </w:tcBorders>
            <w:vAlign w:val="center"/>
          </w:tcPr>
          <w:p w14:paraId="1FAB2D91"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Revenue decline</w:t>
            </w:r>
          </w:p>
        </w:tc>
        <w:tc>
          <w:tcPr>
            <w:tcW w:w="0" w:type="auto"/>
            <w:tcBorders>
              <w:right w:val="single" w:sz="8" w:space="0" w:color="000000"/>
            </w:tcBorders>
            <w:vAlign w:val="center"/>
          </w:tcPr>
          <w:p w14:paraId="04FFE846"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Medium (45%)</w:t>
            </w:r>
          </w:p>
        </w:tc>
        <w:tc>
          <w:tcPr>
            <w:tcW w:w="0" w:type="auto"/>
            <w:tcBorders>
              <w:right w:val="single" w:sz="8" w:space="0" w:color="000000"/>
            </w:tcBorders>
            <w:vAlign w:val="center"/>
          </w:tcPr>
          <w:p w14:paraId="687E7BAD"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High ($2B+)</w:t>
            </w:r>
          </w:p>
        </w:tc>
      </w:tr>
      <w:tr w:rsidR="00C56532" w:rsidRPr="00760A96" w14:paraId="07B6CF33" w14:textId="77777777">
        <w:trPr>
          <w:cantSplit/>
          <w:tblCellSpacing w:w="0" w:type="dxa"/>
          <w:jc w:val="center"/>
        </w:trPr>
        <w:tc>
          <w:tcPr>
            <w:tcW w:w="0" w:type="auto"/>
            <w:tcBorders>
              <w:left w:val="single" w:sz="8" w:space="0" w:color="000000"/>
              <w:right w:val="single" w:sz="8" w:space="0" w:color="000000"/>
            </w:tcBorders>
            <w:vAlign w:val="center"/>
          </w:tcPr>
          <w:p w14:paraId="6DAA10FB"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Integration failure</w:t>
            </w:r>
          </w:p>
        </w:tc>
        <w:tc>
          <w:tcPr>
            <w:tcW w:w="0" w:type="auto"/>
            <w:tcBorders>
              <w:right w:val="single" w:sz="8" w:space="0" w:color="000000"/>
            </w:tcBorders>
            <w:vAlign w:val="center"/>
          </w:tcPr>
          <w:p w14:paraId="305A6FA3"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Medium (40%)</w:t>
            </w:r>
          </w:p>
        </w:tc>
        <w:tc>
          <w:tcPr>
            <w:tcW w:w="0" w:type="auto"/>
            <w:tcBorders>
              <w:right w:val="single" w:sz="8" w:space="0" w:color="000000"/>
            </w:tcBorders>
            <w:vAlign w:val="center"/>
          </w:tcPr>
          <w:p w14:paraId="18797CD6"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Severe (Total)</w:t>
            </w:r>
          </w:p>
        </w:tc>
      </w:tr>
      <w:tr w:rsidR="00C56532" w:rsidRPr="00760A96" w14:paraId="4ACBEE8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B378683"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Regulatory block</w:t>
            </w:r>
          </w:p>
        </w:tc>
        <w:tc>
          <w:tcPr>
            <w:tcW w:w="0" w:type="auto"/>
            <w:tcBorders>
              <w:bottom w:val="single" w:sz="8" w:space="0" w:color="000000"/>
              <w:right w:val="single" w:sz="8" w:space="0" w:color="000000"/>
            </w:tcBorders>
            <w:vAlign w:val="center"/>
          </w:tcPr>
          <w:p w14:paraId="6C2FFECB"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Low (15%)</w:t>
            </w:r>
          </w:p>
        </w:tc>
        <w:tc>
          <w:tcPr>
            <w:tcW w:w="0" w:type="auto"/>
            <w:tcBorders>
              <w:bottom w:val="single" w:sz="8" w:space="0" w:color="000000"/>
              <w:right w:val="single" w:sz="8" w:space="0" w:color="000000"/>
            </w:tcBorders>
            <w:vAlign w:val="center"/>
          </w:tcPr>
          <w:p w14:paraId="084E9C39"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Severe (Deal breaks)</w:t>
            </w:r>
          </w:p>
        </w:tc>
      </w:tr>
    </w:tbl>
    <w:p w14:paraId="0C8A9740" w14:textId="77777777" w:rsidR="00C56532" w:rsidRPr="00760A96" w:rsidRDefault="00C56532" w:rsidP="00760A96">
      <w:pPr>
        <w:jc w:val="both"/>
        <w:rPr>
          <w:rFonts w:ascii="Times New Roman" w:hAnsi="Times New Roman" w:cs="Times New Roman"/>
          <w:sz w:val="24"/>
          <w:szCs w:val="24"/>
        </w:rPr>
      </w:pPr>
    </w:p>
    <w:p w14:paraId="3BD91C6F" w14:textId="77777777" w:rsidR="00C56532" w:rsidRPr="00760A96" w:rsidRDefault="00000000" w:rsidP="00760A96">
      <w:pPr>
        <w:jc w:val="both"/>
        <w:rPr>
          <w:rFonts w:ascii="Times New Roman" w:hAnsi="Times New Roman" w:cs="Times New Roman"/>
          <w:sz w:val="24"/>
          <w:szCs w:val="24"/>
        </w:rPr>
      </w:pPr>
      <w:r w:rsidRPr="00760A96">
        <w:rPr>
          <w:rFonts w:ascii="Times New Roman" w:hAnsi="Times New Roman" w:cs="Times New Roman"/>
          <w:sz w:val="24"/>
          <w:szCs w:val="24"/>
        </w:rPr>
        <w:t>Table 6: Key risk assessment matrix</w:t>
      </w:r>
    </w:p>
    <w:p w14:paraId="1324B248"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Investment Recommendation:</w:t>
      </w:r>
      <w:r w:rsidRPr="00760A96">
        <w:rPr>
          <w:rFonts w:ascii="Times New Roman" w:hAnsi="Times New Roman" w:cs="Times New Roman"/>
          <w:sz w:val="24"/>
          <w:szCs w:val="24"/>
        </w:rPr>
        <w:t xml:space="preserve"> STRONG SELL</w:t>
      </w:r>
    </w:p>
    <w:p w14:paraId="01D8337A"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Rationale:</w:t>
      </w:r>
    </w:p>
    <w:p w14:paraId="5E3B6F17" w14:textId="77777777" w:rsidR="00C56532" w:rsidRPr="00760A96" w:rsidRDefault="00000000" w:rsidP="00760A96">
      <w:pPr>
        <w:numPr>
          <w:ilvl w:val="0"/>
          <w:numId w:val="18"/>
        </w:numPr>
        <w:jc w:val="both"/>
        <w:rPr>
          <w:rFonts w:ascii="Times New Roman" w:hAnsi="Times New Roman" w:cs="Times New Roman"/>
          <w:sz w:val="24"/>
          <w:szCs w:val="24"/>
        </w:rPr>
      </w:pPr>
      <w:r w:rsidRPr="00760A96">
        <w:rPr>
          <w:rFonts w:ascii="Times New Roman" w:hAnsi="Times New Roman" w:cs="Times New Roman"/>
          <w:b/>
          <w:sz w:val="24"/>
          <w:szCs w:val="24"/>
        </w:rPr>
        <w:t>Extreme Overvaluation:</w:t>
      </w:r>
      <w:r w:rsidRPr="00760A96">
        <w:rPr>
          <w:rFonts w:ascii="Times New Roman" w:hAnsi="Times New Roman" w:cs="Times New Roman"/>
          <w:sz w:val="24"/>
          <w:szCs w:val="24"/>
        </w:rPr>
        <w:t xml:space="preserve"> All valuation methods indicate 60-82% downside from current price</w:t>
      </w:r>
    </w:p>
    <w:p w14:paraId="29219FCC" w14:textId="77777777" w:rsidR="00C56532" w:rsidRPr="00760A96" w:rsidRDefault="00000000" w:rsidP="00760A96">
      <w:pPr>
        <w:numPr>
          <w:ilvl w:val="0"/>
          <w:numId w:val="18"/>
        </w:numPr>
        <w:jc w:val="both"/>
        <w:rPr>
          <w:rFonts w:ascii="Times New Roman" w:hAnsi="Times New Roman" w:cs="Times New Roman"/>
          <w:sz w:val="24"/>
          <w:szCs w:val="24"/>
        </w:rPr>
      </w:pPr>
      <w:r w:rsidRPr="00760A96">
        <w:rPr>
          <w:rFonts w:ascii="Times New Roman" w:hAnsi="Times New Roman" w:cs="Times New Roman"/>
          <w:b/>
          <w:sz w:val="24"/>
          <w:szCs w:val="24"/>
        </w:rPr>
        <w:t>Goodwill Impairment Risk:</w:t>
      </w:r>
      <w:r w:rsidRPr="00760A96">
        <w:rPr>
          <w:rFonts w:ascii="Times New Roman" w:hAnsi="Times New Roman" w:cs="Times New Roman"/>
          <w:sz w:val="24"/>
          <w:szCs w:val="24"/>
        </w:rPr>
        <w:t xml:space="preserve"> $132.3B goodwill (80% of purchase price) highly vulnerable to write-down</w:t>
      </w:r>
    </w:p>
    <w:p w14:paraId="09FC28CF" w14:textId="77777777" w:rsidR="00C56532" w:rsidRPr="00760A96" w:rsidRDefault="00000000" w:rsidP="00760A96">
      <w:pPr>
        <w:numPr>
          <w:ilvl w:val="0"/>
          <w:numId w:val="18"/>
        </w:numPr>
        <w:jc w:val="both"/>
        <w:rPr>
          <w:rFonts w:ascii="Times New Roman" w:hAnsi="Times New Roman" w:cs="Times New Roman"/>
          <w:sz w:val="24"/>
          <w:szCs w:val="24"/>
        </w:rPr>
      </w:pPr>
      <w:r w:rsidRPr="00760A96">
        <w:rPr>
          <w:rFonts w:ascii="Times New Roman" w:hAnsi="Times New Roman" w:cs="Times New Roman"/>
          <w:b/>
          <w:sz w:val="24"/>
          <w:szCs w:val="24"/>
        </w:rPr>
        <w:t>EPS Destruction:</w:t>
      </w:r>
      <w:r w:rsidRPr="00760A96">
        <w:rPr>
          <w:rFonts w:ascii="Times New Roman" w:hAnsi="Times New Roman" w:cs="Times New Roman"/>
          <w:sz w:val="24"/>
          <w:szCs w:val="24"/>
        </w:rPr>
        <w:t xml:space="preserve"> Purchase accounting creates $0.61 per share annual dilution from amortization</w:t>
      </w:r>
    </w:p>
    <w:p w14:paraId="29B63C8E" w14:textId="77777777" w:rsidR="00C56532" w:rsidRPr="00760A96" w:rsidRDefault="00000000" w:rsidP="00760A96">
      <w:pPr>
        <w:numPr>
          <w:ilvl w:val="0"/>
          <w:numId w:val="18"/>
        </w:numPr>
        <w:jc w:val="both"/>
        <w:rPr>
          <w:rFonts w:ascii="Times New Roman" w:hAnsi="Times New Roman" w:cs="Times New Roman"/>
          <w:sz w:val="24"/>
          <w:szCs w:val="24"/>
        </w:rPr>
      </w:pPr>
      <w:r w:rsidRPr="00760A96">
        <w:rPr>
          <w:rFonts w:ascii="Times New Roman" w:hAnsi="Times New Roman" w:cs="Times New Roman"/>
          <w:b/>
          <w:sz w:val="24"/>
          <w:szCs w:val="24"/>
        </w:rPr>
        <w:t>Unsustainable Business Model:</w:t>
      </w:r>
      <w:r w:rsidRPr="00760A96">
        <w:rPr>
          <w:rFonts w:ascii="Times New Roman" w:hAnsi="Times New Roman" w:cs="Times New Roman"/>
          <w:sz w:val="24"/>
          <w:szCs w:val="24"/>
        </w:rPr>
        <w:t xml:space="preserve"> AOL's dial-up internet facing structural decline</w:t>
      </w:r>
    </w:p>
    <w:p w14:paraId="4F3DE5A2" w14:textId="77777777" w:rsidR="00C56532" w:rsidRPr="00760A96" w:rsidRDefault="00000000" w:rsidP="00760A96">
      <w:pPr>
        <w:numPr>
          <w:ilvl w:val="0"/>
          <w:numId w:val="18"/>
        </w:numPr>
        <w:jc w:val="both"/>
        <w:rPr>
          <w:rFonts w:ascii="Times New Roman" w:hAnsi="Times New Roman" w:cs="Times New Roman"/>
          <w:sz w:val="24"/>
          <w:szCs w:val="24"/>
        </w:rPr>
      </w:pPr>
      <w:r w:rsidRPr="00760A96">
        <w:rPr>
          <w:rFonts w:ascii="Times New Roman" w:hAnsi="Times New Roman" w:cs="Times New Roman"/>
          <w:b/>
          <w:sz w:val="24"/>
          <w:szCs w:val="24"/>
        </w:rPr>
        <w:t>Integration Challenges:</w:t>
      </w:r>
      <w:r w:rsidRPr="00760A96">
        <w:rPr>
          <w:rFonts w:ascii="Times New Roman" w:hAnsi="Times New Roman" w:cs="Times New Roman"/>
          <w:sz w:val="24"/>
          <w:szCs w:val="24"/>
        </w:rPr>
        <w:t xml:space="preserve"> Cultural mismatch and operational complexity threaten synergy realization</w:t>
      </w:r>
    </w:p>
    <w:p w14:paraId="149F4DB9"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b/>
          <w:sz w:val="24"/>
          <w:szCs w:val="24"/>
        </w:rPr>
        <w:t>Target Price:</w:t>
      </w:r>
      <w:r w:rsidRPr="00760A96">
        <w:rPr>
          <w:rFonts w:ascii="Times New Roman" w:hAnsi="Times New Roman" w:cs="Times New Roman"/>
          <w:sz w:val="24"/>
          <w:szCs w:val="24"/>
        </w:rPr>
        <w:t xml:space="preserve"> $20.50 (12-month horizon), implying 72% downside from merger announcement price.</w:t>
      </w:r>
    </w:p>
    <w:p w14:paraId="3E756BD4" w14:textId="77777777" w:rsidR="00C56532" w:rsidRDefault="00000000" w:rsidP="00760A96">
      <w:pPr>
        <w:pStyle w:val="Heading1"/>
      </w:pPr>
      <w:bookmarkStart w:id="23" w:name="conclusion"/>
      <w:bookmarkStart w:id="24" w:name="_Toc221391245"/>
      <w:r w:rsidRPr="00760A96">
        <w:lastRenderedPageBreak/>
        <w:t>Conclusion</w:t>
      </w:r>
      <w:bookmarkEnd w:id="23"/>
      <w:bookmarkEnd w:id="24"/>
    </w:p>
    <w:p w14:paraId="72457657" w14:textId="77777777" w:rsidR="00760A96" w:rsidRPr="00760A96" w:rsidRDefault="00760A96" w:rsidP="00760A96"/>
    <w:p w14:paraId="39B671A4" w14:textId="6762D5E9" w:rsidR="00C56532" w:rsidRPr="00760A96" w:rsidRDefault="00000000" w:rsidP="00760A96">
      <w:pPr>
        <w:spacing w:after="210"/>
        <w:jc w:val="both"/>
        <w:rPr>
          <w:rFonts w:ascii="Times New Roman" w:hAnsi="Times New Roman" w:cs="Times New Roman"/>
          <w:sz w:val="24"/>
          <w:szCs w:val="24"/>
        </w:rPr>
      </w:pPr>
      <w:r w:rsidRPr="00760A96">
        <w:rPr>
          <w:rFonts w:ascii="Times New Roman" w:eastAsia="Georgia" w:hAnsi="Times New Roman" w:cs="Times New Roman"/>
          <w:sz w:val="24"/>
          <w:szCs w:val="24"/>
        </w:rPr>
        <w:t>The AOL-Time Warner merger analysis presented significant methodological challenges across data availability, accounting complexity, valuation uncertainty, and risk assessment. Through systematic problem-solving approaches</w:t>
      </w:r>
      <w:r w:rsidR="00760A96">
        <w:rPr>
          <w:rFonts w:ascii="Times New Roman" w:eastAsia="Georgia" w:hAnsi="Times New Roman" w:cs="Times New Roman"/>
          <w:sz w:val="24"/>
          <w:szCs w:val="24"/>
        </w:rPr>
        <w:t xml:space="preserve"> </w:t>
      </w:r>
      <w:r w:rsidRPr="00760A96">
        <w:rPr>
          <w:rFonts w:ascii="Times New Roman" w:eastAsia="Georgia" w:hAnsi="Times New Roman" w:cs="Times New Roman"/>
          <w:sz w:val="24"/>
          <w:szCs w:val="24"/>
        </w:rPr>
        <w:t>including multi-source data triangulation, parallel accounting treatment modeling, conservative DCF analysis, and integrated risk frameworks</w:t>
      </w:r>
      <w:r w:rsidR="00760A96">
        <w:rPr>
          <w:rFonts w:ascii="Times New Roman" w:eastAsia="Georgia" w:hAnsi="Times New Roman" w:cs="Times New Roman"/>
          <w:sz w:val="24"/>
          <w:szCs w:val="24"/>
        </w:rPr>
        <w:t xml:space="preserve"> </w:t>
      </w:r>
      <w:r w:rsidRPr="00760A96">
        <w:rPr>
          <w:rFonts w:ascii="Times New Roman" w:eastAsia="Georgia" w:hAnsi="Times New Roman" w:cs="Times New Roman"/>
          <w:sz w:val="24"/>
          <w:szCs w:val="24"/>
        </w:rPr>
        <w:t>we produced a comprehensive financial analysis.</w:t>
      </w:r>
    </w:p>
    <w:p w14:paraId="27328150"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The analytical process yielded a clear conclusion: despite management optimism and market enthusiasm, the merger represented substantial value destruction for shareholders at the announced terms. The $132.3 billion goodwill, $0.61 EPS dilution, and 465% overvaluation created an unsustainable financial structure.</w:t>
      </w:r>
    </w:p>
    <w:p w14:paraId="5797A0A5"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Historical outcome validated this analysis: AOL Time Warner ultimately wrote down $99 billion in goodwill in 2002, the largest corporate loss in history, and the companies separated in 2009. The case demonstrates the critical importance of rigorous financial analysis, conservative assumptions, and systematic risk assessment in evaluating transformational corporate transactions.</w:t>
      </w:r>
    </w:p>
    <w:p w14:paraId="58DBA1C2" w14:textId="77777777" w:rsidR="00760A96" w:rsidRDefault="00760A96" w:rsidP="00760A96">
      <w:pPr>
        <w:spacing w:before="240" w:line="271" w:lineRule="auto"/>
        <w:jc w:val="both"/>
        <w:rPr>
          <w:rFonts w:ascii="Times New Roman" w:hAnsi="Times New Roman" w:cs="Times New Roman"/>
          <w:b/>
          <w:sz w:val="24"/>
          <w:szCs w:val="24"/>
        </w:rPr>
      </w:pPr>
      <w:bookmarkStart w:id="25" w:name="references"/>
    </w:p>
    <w:p w14:paraId="6EFAB7D3" w14:textId="6DD9D55F" w:rsidR="00C56532" w:rsidRDefault="00000000" w:rsidP="00760A96">
      <w:pPr>
        <w:pStyle w:val="Heading1"/>
      </w:pPr>
      <w:bookmarkStart w:id="26" w:name="_Toc221391246"/>
      <w:r w:rsidRPr="00760A96">
        <w:t>References</w:t>
      </w:r>
      <w:bookmarkEnd w:id="25"/>
      <w:bookmarkEnd w:id="26"/>
    </w:p>
    <w:p w14:paraId="18AD89FD" w14:textId="77777777" w:rsidR="00760A96" w:rsidRPr="00760A96" w:rsidRDefault="00760A96" w:rsidP="00760A96"/>
    <w:p w14:paraId="236B0A59"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[1] Stanford Graduate School of Business. (2004). AOL Time Warner Case Study. Stanford GSB Case Collection.</w:t>
      </w:r>
    </w:p>
    <w:p w14:paraId="5C78B300"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 xml:space="preserve">[2] Securities and Exchange Commission. (2000). America Online Inc. Form 10-K Annual Report, Fiscal Year 1999. </w:t>
      </w:r>
      <w:hyperlink r:id="rId6">
        <w:r w:rsidRPr="00760A96">
          <w:rPr>
            <w:rFonts w:ascii="Times New Roman" w:hAnsi="Times New Roman" w:cs="Times New Roman"/>
            <w:color w:val="4472C4"/>
            <w:sz w:val="24"/>
            <w:szCs w:val="24"/>
          </w:rPr>
          <w:t>https://www.sec.gov/edgar</w:t>
        </w:r>
      </w:hyperlink>
    </w:p>
    <w:p w14:paraId="1D77E975"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 xml:space="preserve">[3] Securities and Exchange Commission. (2000). Time Warner Inc. Form 10-K Annual Report, Fiscal Year 1999. </w:t>
      </w:r>
      <w:hyperlink r:id="rId7">
        <w:r w:rsidRPr="00760A96">
          <w:rPr>
            <w:rFonts w:ascii="Times New Roman" w:hAnsi="Times New Roman" w:cs="Times New Roman"/>
            <w:color w:val="4472C4"/>
            <w:sz w:val="24"/>
            <w:szCs w:val="24"/>
          </w:rPr>
          <w:t>https://www.sec.gov/edgar</w:t>
        </w:r>
      </w:hyperlink>
    </w:p>
    <w:p w14:paraId="1C43FAE8"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 xml:space="preserve">[4] Arango, T. (2010). How the AOL-Time Warner Merger Went So Wrong. </w:t>
      </w:r>
      <w:r w:rsidRPr="00760A96">
        <w:rPr>
          <w:rFonts w:ascii="Times New Roman" w:hAnsi="Times New Roman" w:cs="Times New Roman"/>
          <w:i/>
          <w:sz w:val="24"/>
          <w:szCs w:val="24"/>
        </w:rPr>
        <w:t>The New York Times</w:t>
      </w:r>
      <w:r w:rsidRPr="00760A96">
        <w:rPr>
          <w:rFonts w:ascii="Times New Roman" w:hAnsi="Times New Roman" w:cs="Times New Roman"/>
          <w:sz w:val="24"/>
          <w:szCs w:val="24"/>
        </w:rPr>
        <w:t>, January 10, 2010.</w:t>
      </w:r>
    </w:p>
    <w:p w14:paraId="76FD621B"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 xml:space="preserve">[5] Swisher, K. (2003). </w:t>
      </w:r>
      <w:r w:rsidRPr="00760A96">
        <w:rPr>
          <w:rFonts w:ascii="Times New Roman" w:hAnsi="Times New Roman" w:cs="Times New Roman"/>
          <w:i/>
          <w:sz w:val="24"/>
          <w:szCs w:val="24"/>
        </w:rPr>
        <w:t>There Must Be a Pony in Here Somewhere: The AOL Time Warner Debacle</w:t>
      </w:r>
      <w:r w:rsidRPr="00760A96">
        <w:rPr>
          <w:rFonts w:ascii="Times New Roman" w:hAnsi="Times New Roman" w:cs="Times New Roman"/>
          <w:sz w:val="24"/>
          <w:szCs w:val="24"/>
        </w:rPr>
        <w:t>. Crown Business.</w:t>
      </w:r>
    </w:p>
    <w:p w14:paraId="71A99F1D"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 xml:space="preserve">[6] Klein, A. (2003). </w:t>
      </w:r>
      <w:r w:rsidRPr="00760A96">
        <w:rPr>
          <w:rFonts w:ascii="Times New Roman" w:hAnsi="Times New Roman" w:cs="Times New Roman"/>
          <w:i/>
          <w:sz w:val="24"/>
          <w:szCs w:val="24"/>
        </w:rPr>
        <w:t>Stealing Time: Steve Case, Jerry Levin, and the Collapse of AOL Time Warner</w:t>
      </w:r>
      <w:r w:rsidRPr="00760A96">
        <w:rPr>
          <w:rFonts w:ascii="Times New Roman" w:hAnsi="Times New Roman" w:cs="Times New Roman"/>
          <w:sz w:val="24"/>
          <w:szCs w:val="24"/>
        </w:rPr>
        <w:t>. Simon &amp; Schuster.</w:t>
      </w:r>
    </w:p>
    <w:p w14:paraId="134A1EBD"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[7] Financial Accounting Standards Board. (2001). SFAS No. 141: Business Combinations. FASB Standards.</w:t>
      </w:r>
    </w:p>
    <w:p w14:paraId="1D89EE3C" w14:textId="77777777" w:rsidR="00C56532" w:rsidRPr="00760A96" w:rsidRDefault="00000000" w:rsidP="00760A96">
      <w:pPr>
        <w:spacing w:after="210"/>
        <w:jc w:val="both"/>
        <w:rPr>
          <w:rFonts w:ascii="Times New Roman" w:hAnsi="Times New Roman" w:cs="Times New Roman"/>
          <w:sz w:val="24"/>
          <w:szCs w:val="24"/>
        </w:rPr>
      </w:pPr>
      <w:r w:rsidRPr="00760A96">
        <w:rPr>
          <w:rFonts w:ascii="Times New Roman" w:hAnsi="Times New Roman" w:cs="Times New Roman"/>
          <w:sz w:val="24"/>
          <w:szCs w:val="24"/>
        </w:rPr>
        <w:t>[8] Financial Accounting Standards Board. (2001). SFAS No. 142: Goodwill and Other Intangible Assets. FASB Standards.</w:t>
      </w:r>
    </w:p>
    <w:sectPr w:rsidR="00C56532" w:rsidRPr="00760A96">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6B3"/>
    <w:multiLevelType w:val="hybridMultilevel"/>
    <w:tmpl w:val="D0282ED6"/>
    <w:lvl w:ilvl="0" w:tplc="233E64FA">
      <w:start w:val="1"/>
      <w:numFmt w:val="none"/>
      <w:lvlText w:val="•"/>
      <w:lvlJc w:val="left"/>
      <w:pPr>
        <w:tabs>
          <w:tab w:val="num" w:pos="1080"/>
        </w:tabs>
        <w:ind w:left="720" w:hanging="360"/>
      </w:pPr>
      <w:rPr>
        <w:rFonts w:ascii="Georgia" w:eastAsia="Georgia" w:hAnsi="Georgia" w:cs="Georgia"/>
      </w:rPr>
    </w:lvl>
    <w:lvl w:ilvl="1" w:tplc="4448D65E">
      <w:numFmt w:val="decimal"/>
      <w:lvlText w:val=""/>
      <w:lvlJc w:val="left"/>
    </w:lvl>
    <w:lvl w:ilvl="2" w:tplc="8BCE073A">
      <w:numFmt w:val="decimal"/>
      <w:lvlText w:val=""/>
      <w:lvlJc w:val="left"/>
    </w:lvl>
    <w:lvl w:ilvl="3" w:tplc="BC1E8260">
      <w:numFmt w:val="decimal"/>
      <w:lvlText w:val=""/>
      <w:lvlJc w:val="left"/>
    </w:lvl>
    <w:lvl w:ilvl="4" w:tplc="2222C348">
      <w:numFmt w:val="decimal"/>
      <w:lvlText w:val=""/>
      <w:lvlJc w:val="left"/>
    </w:lvl>
    <w:lvl w:ilvl="5" w:tplc="18724312">
      <w:numFmt w:val="decimal"/>
      <w:lvlText w:val=""/>
      <w:lvlJc w:val="left"/>
    </w:lvl>
    <w:lvl w:ilvl="6" w:tplc="8118DF1A">
      <w:numFmt w:val="decimal"/>
      <w:lvlText w:val=""/>
      <w:lvlJc w:val="left"/>
    </w:lvl>
    <w:lvl w:ilvl="7" w:tplc="7A408830">
      <w:numFmt w:val="decimal"/>
      <w:lvlText w:val=""/>
      <w:lvlJc w:val="left"/>
    </w:lvl>
    <w:lvl w:ilvl="8" w:tplc="3AAA1416">
      <w:numFmt w:val="decimal"/>
      <w:lvlText w:val=""/>
      <w:lvlJc w:val="left"/>
    </w:lvl>
  </w:abstractNum>
  <w:abstractNum w:abstractNumId="1" w15:restartNumberingAfterBreak="0">
    <w:nsid w:val="0B2D745B"/>
    <w:multiLevelType w:val="hybridMultilevel"/>
    <w:tmpl w:val="24D20E70"/>
    <w:lvl w:ilvl="0" w:tplc="1C14A360">
      <w:start w:val="1"/>
      <w:numFmt w:val="none"/>
      <w:lvlText w:val="•"/>
      <w:lvlJc w:val="left"/>
      <w:pPr>
        <w:tabs>
          <w:tab w:val="num" w:pos="1080"/>
        </w:tabs>
        <w:ind w:left="720" w:hanging="360"/>
      </w:pPr>
      <w:rPr>
        <w:rFonts w:ascii="Georgia" w:eastAsia="Georgia" w:hAnsi="Georgia" w:cs="Georgia"/>
      </w:rPr>
    </w:lvl>
    <w:lvl w:ilvl="1" w:tplc="01CA0348">
      <w:numFmt w:val="decimal"/>
      <w:lvlText w:val=""/>
      <w:lvlJc w:val="left"/>
    </w:lvl>
    <w:lvl w:ilvl="2" w:tplc="307EC4B0">
      <w:numFmt w:val="decimal"/>
      <w:lvlText w:val=""/>
      <w:lvlJc w:val="left"/>
    </w:lvl>
    <w:lvl w:ilvl="3" w:tplc="4C70FB06">
      <w:numFmt w:val="decimal"/>
      <w:lvlText w:val=""/>
      <w:lvlJc w:val="left"/>
    </w:lvl>
    <w:lvl w:ilvl="4" w:tplc="B86EC176">
      <w:numFmt w:val="decimal"/>
      <w:lvlText w:val=""/>
      <w:lvlJc w:val="left"/>
    </w:lvl>
    <w:lvl w:ilvl="5" w:tplc="4DA2B94C">
      <w:numFmt w:val="decimal"/>
      <w:lvlText w:val=""/>
      <w:lvlJc w:val="left"/>
    </w:lvl>
    <w:lvl w:ilvl="6" w:tplc="3E9424AE">
      <w:numFmt w:val="decimal"/>
      <w:lvlText w:val=""/>
      <w:lvlJc w:val="left"/>
    </w:lvl>
    <w:lvl w:ilvl="7" w:tplc="B49AEFBE">
      <w:numFmt w:val="decimal"/>
      <w:lvlText w:val=""/>
      <w:lvlJc w:val="left"/>
    </w:lvl>
    <w:lvl w:ilvl="8" w:tplc="05A29B6C">
      <w:numFmt w:val="decimal"/>
      <w:lvlText w:val=""/>
      <w:lvlJc w:val="left"/>
    </w:lvl>
  </w:abstractNum>
  <w:abstractNum w:abstractNumId="2" w15:restartNumberingAfterBreak="0">
    <w:nsid w:val="1B1A68F9"/>
    <w:multiLevelType w:val="hybridMultilevel"/>
    <w:tmpl w:val="A74EEF6A"/>
    <w:lvl w:ilvl="0" w:tplc="7E004E58">
      <w:start w:val="1"/>
      <w:numFmt w:val="decimal"/>
      <w:lvlText w:val="%1."/>
      <w:lvlJc w:val="left"/>
      <w:pPr>
        <w:tabs>
          <w:tab w:val="num" w:pos="1080"/>
        </w:tabs>
        <w:ind w:left="720" w:hanging="360"/>
      </w:pPr>
    </w:lvl>
    <w:lvl w:ilvl="1" w:tplc="DDA003B8">
      <w:numFmt w:val="decimal"/>
      <w:lvlText w:val=""/>
      <w:lvlJc w:val="left"/>
    </w:lvl>
    <w:lvl w:ilvl="2" w:tplc="0432417A">
      <w:numFmt w:val="decimal"/>
      <w:lvlText w:val=""/>
      <w:lvlJc w:val="left"/>
    </w:lvl>
    <w:lvl w:ilvl="3" w:tplc="75BE90B4">
      <w:numFmt w:val="decimal"/>
      <w:lvlText w:val=""/>
      <w:lvlJc w:val="left"/>
    </w:lvl>
    <w:lvl w:ilvl="4" w:tplc="D7FEA3F4">
      <w:numFmt w:val="decimal"/>
      <w:lvlText w:val=""/>
      <w:lvlJc w:val="left"/>
    </w:lvl>
    <w:lvl w:ilvl="5" w:tplc="30C667BE">
      <w:numFmt w:val="decimal"/>
      <w:lvlText w:val=""/>
      <w:lvlJc w:val="left"/>
    </w:lvl>
    <w:lvl w:ilvl="6" w:tplc="741CD30C">
      <w:numFmt w:val="decimal"/>
      <w:lvlText w:val=""/>
      <w:lvlJc w:val="left"/>
    </w:lvl>
    <w:lvl w:ilvl="7" w:tplc="F6AE2A6E">
      <w:numFmt w:val="decimal"/>
      <w:lvlText w:val=""/>
      <w:lvlJc w:val="left"/>
    </w:lvl>
    <w:lvl w:ilvl="8" w:tplc="27E4ADE0">
      <w:numFmt w:val="decimal"/>
      <w:lvlText w:val=""/>
      <w:lvlJc w:val="left"/>
    </w:lvl>
  </w:abstractNum>
  <w:abstractNum w:abstractNumId="3" w15:restartNumberingAfterBreak="0">
    <w:nsid w:val="211B3E5F"/>
    <w:multiLevelType w:val="hybridMultilevel"/>
    <w:tmpl w:val="F5D20C62"/>
    <w:lvl w:ilvl="0" w:tplc="8DE2B6D8">
      <w:start w:val="1"/>
      <w:numFmt w:val="decimal"/>
      <w:lvlText w:val="%1."/>
      <w:lvlJc w:val="left"/>
      <w:pPr>
        <w:tabs>
          <w:tab w:val="num" w:pos="1080"/>
        </w:tabs>
        <w:ind w:left="720" w:hanging="360"/>
      </w:pPr>
    </w:lvl>
    <w:lvl w:ilvl="1" w:tplc="29F06A0A">
      <w:numFmt w:val="decimal"/>
      <w:lvlText w:val=""/>
      <w:lvlJc w:val="left"/>
    </w:lvl>
    <w:lvl w:ilvl="2" w:tplc="A3A09B7E">
      <w:numFmt w:val="decimal"/>
      <w:lvlText w:val=""/>
      <w:lvlJc w:val="left"/>
    </w:lvl>
    <w:lvl w:ilvl="3" w:tplc="D57A1FF2">
      <w:numFmt w:val="decimal"/>
      <w:lvlText w:val=""/>
      <w:lvlJc w:val="left"/>
    </w:lvl>
    <w:lvl w:ilvl="4" w:tplc="0966D930">
      <w:numFmt w:val="decimal"/>
      <w:lvlText w:val=""/>
      <w:lvlJc w:val="left"/>
    </w:lvl>
    <w:lvl w:ilvl="5" w:tplc="B6021D90">
      <w:numFmt w:val="decimal"/>
      <w:lvlText w:val=""/>
      <w:lvlJc w:val="left"/>
    </w:lvl>
    <w:lvl w:ilvl="6" w:tplc="690C582C">
      <w:numFmt w:val="decimal"/>
      <w:lvlText w:val=""/>
      <w:lvlJc w:val="left"/>
    </w:lvl>
    <w:lvl w:ilvl="7" w:tplc="F4F4DC1A">
      <w:numFmt w:val="decimal"/>
      <w:lvlText w:val=""/>
      <w:lvlJc w:val="left"/>
    </w:lvl>
    <w:lvl w:ilvl="8" w:tplc="4FCCCB6E">
      <w:numFmt w:val="decimal"/>
      <w:lvlText w:val=""/>
      <w:lvlJc w:val="left"/>
    </w:lvl>
  </w:abstractNum>
  <w:abstractNum w:abstractNumId="4" w15:restartNumberingAfterBreak="0">
    <w:nsid w:val="2E5A7D0A"/>
    <w:multiLevelType w:val="hybridMultilevel"/>
    <w:tmpl w:val="758AB2A6"/>
    <w:lvl w:ilvl="0" w:tplc="0DEC5E98">
      <w:start w:val="1"/>
      <w:numFmt w:val="none"/>
      <w:lvlText w:val="•"/>
      <w:lvlJc w:val="left"/>
      <w:pPr>
        <w:tabs>
          <w:tab w:val="num" w:pos="1080"/>
        </w:tabs>
        <w:ind w:left="720" w:hanging="360"/>
      </w:pPr>
      <w:rPr>
        <w:rFonts w:ascii="Georgia" w:eastAsia="Georgia" w:hAnsi="Georgia" w:cs="Georgia"/>
      </w:rPr>
    </w:lvl>
    <w:lvl w:ilvl="1" w:tplc="5DD665EE">
      <w:numFmt w:val="decimal"/>
      <w:lvlText w:val=""/>
      <w:lvlJc w:val="left"/>
    </w:lvl>
    <w:lvl w:ilvl="2" w:tplc="C108F78A">
      <w:numFmt w:val="decimal"/>
      <w:lvlText w:val=""/>
      <w:lvlJc w:val="left"/>
    </w:lvl>
    <w:lvl w:ilvl="3" w:tplc="01EADC08">
      <w:numFmt w:val="decimal"/>
      <w:lvlText w:val=""/>
      <w:lvlJc w:val="left"/>
    </w:lvl>
    <w:lvl w:ilvl="4" w:tplc="C2EEDE2A">
      <w:numFmt w:val="decimal"/>
      <w:lvlText w:val=""/>
      <w:lvlJc w:val="left"/>
    </w:lvl>
    <w:lvl w:ilvl="5" w:tplc="B2DACB42">
      <w:numFmt w:val="decimal"/>
      <w:lvlText w:val=""/>
      <w:lvlJc w:val="left"/>
    </w:lvl>
    <w:lvl w:ilvl="6" w:tplc="1E52A5AE">
      <w:numFmt w:val="decimal"/>
      <w:lvlText w:val=""/>
      <w:lvlJc w:val="left"/>
    </w:lvl>
    <w:lvl w:ilvl="7" w:tplc="782C9D48">
      <w:numFmt w:val="decimal"/>
      <w:lvlText w:val=""/>
      <w:lvlJc w:val="left"/>
    </w:lvl>
    <w:lvl w:ilvl="8" w:tplc="47CCE3AE">
      <w:numFmt w:val="decimal"/>
      <w:lvlText w:val=""/>
      <w:lvlJc w:val="left"/>
    </w:lvl>
  </w:abstractNum>
  <w:abstractNum w:abstractNumId="5" w15:restartNumberingAfterBreak="0">
    <w:nsid w:val="36370CE1"/>
    <w:multiLevelType w:val="hybridMultilevel"/>
    <w:tmpl w:val="A7C492EE"/>
    <w:lvl w:ilvl="0" w:tplc="5A00034C">
      <w:start w:val="1"/>
      <w:numFmt w:val="none"/>
      <w:lvlText w:val="•"/>
      <w:lvlJc w:val="left"/>
      <w:pPr>
        <w:tabs>
          <w:tab w:val="num" w:pos="1080"/>
        </w:tabs>
        <w:ind w:left="720" w:hanging="360"/>
      </w:pPr>
      <w:rPr>
        <w:rFonts w:ascii="Georgia" w:eastAsia="Georgia" w:hAnsi="Georgia" w:cs="Georgia"/>
      </w:rPr>
    </w:lvl>
    <w:lvl w:ilvl="1" w:tplc="F60CAC48">
      <w:numFmt w:val="decimal"/>
      <w:lvlText w:val=""/>
      <w:lvlJc w:val="left"/>
    </w:lvl>
    <w:lvl w:ilvl="2" w:tplc="C50A9BF8">
      <w:numFmt w:val="decimal"/>
      <w:lvlText w:val=""/>
      <w:lvlJc w:val="left"/>
    </w:lvl>
    <w:lvl w:ilvl="3" w:tplc="0184837C">
      <w:numFmt w:val="decimal"/>
      <w:lvlText w:val=""/>
      <w:lvlJc w:val="left"/>
    </w:lvl>
    <w:lvl w:ilvl="4" w:tplc="CCD47BC8">
      <w:numFmt w:val="decimal"/>
      <w:lvlText w:val=""/>
      <w:lvlJc w:val="left"/>
    </w:lvl>
    <w:lvl w:ilvl="5" w:tplc="380EEAD6">
      <w:numFmt w:val="decimal"/>
      <w:lvlText w:val=""/>
      <w:lvlJc w:val="left"/>
    </w:lvl>
    <w:lvl w:ilvl="6" w:tplc="B62C4E78">
      <w:numFmt w:val="decimal"/>
      <w:lvlText w:val=""/>
      <w:lvlJc w:val="left"/>
    </w:lvl>
    <w:lvl w:ilvl="7" w:tplc="CAB622FA">
      <w:numFmt w:val="decimal"/>
      <w:lvlText w:val=""/>
      <w:lvlJc w:val="left"/>
    </w:lvl>
    <w:lvl w:ilvl="8" w:tplc="22069E0C">
      <w:numFmt w:val="decimal"/>
      <w:lvlText w:val=""/>
      <w:lvlJc w:val="left"/>
    </w:lvl>
  </w:abstractNum>
  <w:abstractNum w:abstractNumId="6" w15:restartNumberingAfterBreak="0">
    <w:nsid w:val="37D35C16"/>
    <w:multiLevelType w:val="hybridMultilevel"/>
    <w:tmpl w:val="22C2F4EC"/>
    <w:lvl w:ilvl="0" w:tplc="BA6A0580">
      <w:start w:val="1"/>
      <w:numFmt w:val="none"/>
      <w:lvlText w:val="•"/>
      <w:lvlJc w:val="left"/>
      <w:pPr>
        <w:tabs>
          <w:tab w:val="num" w:pos="1080"/>
        </w:tabs>
        <w:ind w:left="720" w:hanging="360"/>
      </w:pPr>
      <w:rPr>
        <w:rFonts w:ascii="Georgia" w:eastAsia="Georgia" w:hAnsi="Georgia" w:cs="Georgia"/>
      </w:rPr>
    </w:lvl>
    <w:lvl w:ilvl="1" w:tplc="54DCF960">
      <w:numFmt w:val="decimal"/>
      <w:lvlText w:val=""/>
      <w:lvlJc w:val="left"/>
    </w:lvl>
    <w:lvl w:ilvl="2" w:tplc="682608D2">
      <w:numFmt w:val="decimal"/>
      <w:lvlText w:val=""/>
      <w:lvlJc w:val="left"/>
    </w:lvl>
    <w:lvl w:ilvl="3" w:tplc="B6FEB6F8">
      <w:numFmt w:val="decimal"/>
      <w:lvlText w:val=""/>
      <w:lvlJc w:val="left"/>
    </w:lvl>
    <w:lvl w:ilvl="4" w:tplc="F5345F10">
      <w:numFmt w:val="decimal"/>
      <w:lvlText w:val=""/>
      <w:lvlJc w:val="left"/>
    </w:lvl>
    <w:lvl w:ilvl="5" w:tplc="49AE2426">
      <w:numFmt w:val="decimal"/>
      <w:lvlText w:val=""/>
      <w:lvlJc w:val="left"/>
    </w:lvl>
    <w:lvl w:ilvl="6" w:tplc="157EFE0A">
      <w:numFmt w:val="decimal"/>
      <w:lvlText w:val=""/>
      <w:lvlJc w:val="left"/>
    </w:lvl>
    <w:lvl w:ilvl="7" w:tplc="8F32021A">
      <w:numFmt w:val="decimal"/>
      <w:lvlText w:val=""/>
      <w:lvlJc w:val="left"/>
    </w:lvl>
    <w:lvl w:ilvl="8" w:tplc="080AA3D4">
      <w:numFmt w:val="decimal"/>
      <w:lvlText w:val=""/>
      <w:lvlJc w:val="left"/>
    </w:lvl>
  </w:abstractNum>
  <w:abstractNum w:abstractNumId="7" w15:restartNumberingAfterBreak="0">
    <w:nsid w:val="3A994856"/>
    <w:multiLevelType w:val="hybridMultilevel"/>
    <w:tmpl w:val="91DE9D6E"/>
    <w:lvl w:ilvl="0" w:tplc="34F8708A">
      <w:start w:val="1"/>
      <w:numFmt w:val="none"/>
      <w:lvlText w:val="•"/>
      <w:lvlJc w:val="left"/>
      <w:pPr>
        <w:tabs>
          <w:tab w:val="num" w:pos="1080"/>
        </w:tabs>
        <w:ind w:left="720" w:hanging="360"/>
      </w:pPr>
      <w:rPr>
        <w:rFonts w:ascii="Georgia" w:eastAsia="Georgia" w:hAnsi="Georgia" w:cs="Georgia"/>
      </w:rPr>
    </w:lvl>
    <w:lvl w:ilvl="1" w:tplc="C8BC4856">
      <w:numFmt w:val="decimal"/>
      <w:lvlText w:val=""/>
      <w:lvlJc w:val="left"/>
    </w:lvl>
    <w:lvl w:ilvl="2" w:tplc="7D40A588">
      <w:numFmt w:val="decimal"/>
      <w:lvlText w:val=""/>
      <w:lvlJc w:val="left"/>
    </w:lvl>
    <w:lvl w:ilvl="3" w:tplc="E30024FE">
      <w:numFmt w:val="decimal"/>
      <w:lvlText w:val=""/>
      <w:lvlJc w:val="left"/>
    </w:lvl>
    <w:lvl w:ilvl="4" w:tplc="7DD26932">
      <w:numFmt w:val="decimal"/>
      <w:lvlText w:val=""/>
      <w:lvlJc w:val="left"/>
    </w:lvl>
    <w:lvl w:ilvl="5" w:tplc="FA64587C">
      <w:numFmt w:val="decimal"/>
      <w:lvlText w:val=""/>
      <w:lvlJc w:val="left"/>
    </w:lvl>
    <w:lvl w:ilvl="6" w:tplc="FCD296F8">
      <w:numFmt w:val="decimal"/>
      <w:lvlText w:val=""/>
      <w:lvlJc w:val="left"/>
    </w:lvl>
    <w:lvl w:ilvl="7" w:tplc="3CC4B312">
      <w:numFmt w:val="decimal"/>
      <w:lvlText w:val=""/>
      <w:lvlJc w:val="left"/>
    </w:lvl>
    <w:lvl w:ilvl="8" w:tplc="5738536C">
      <w:numFmt w:val="decimal"/>
      <w:lvlText w:val=""/>
      <w:lvlJc w:val="left"/>
    </w:lvl>
  </w:abstractNum>
  <w:abstractNum w:abstractNumId="8" w15:restartNumberingAfterBreak="0">
    <w:nsid w:val="3B3C2169"/>
    <w:multiLevelType w:val="hybridMultilevel"/>
    <w:tmpl w:val="00BC72AC"/>
    <w:lvl w:ilvl="0" w:tplc="A53C815C">
      <w:start w:val="1"/>
      <w:numFmt w:val="none"/>
      <w:lvlText w:val="•"/>
      <w:lvlJc w:val="left"/>
      <w:pPr>
        <w:tabs>
          <w:tab w:val="num" w:pos="1080"/>
        </w:tabs>
        <w:ind w:left="720" w:hanging="360"/>
      </w:pPr>
      <w:rPr>
        <w:rFonts w:ascii="Georgia" w:eastAsia="Georgia" w:hAnsi="Georgia" w:cs="Georgia"/>
      </w:rPr>
    </w:lvl>
    <w:lvl w:ilvl="1" w:tplc="12D0FDD6">
      <w:numFmt w:val="decimal"/>
      <w:lvlText w:val=""/>
      <w:lvlJc w:val="left"/>
    </w:lvl>
    <w:lvl w:ilvl="2" w:tplc="C1A4552E">
      <w:numFmt w:val="decimal"/>
      <w:lvlText w:val=""/>
      <w:lvlJc w:val="left"/>
    </w:lvl>
    <w:lvl w:ilvl="3" w:tplc="413AD686">
      <w:numFmt w:val="decimal"/>
      <w:lvlText w:val=""/>
      <w:lvlJc w:val="left"/>
    </w:lvl>
    <w:lvl w:ilvl="4" w:tplc="757A3534">
      <w:numFmt w:val="decimal"/>
      <w:lvlText w:val=""/>
      <w:lvlJc w:val="left"/>
    </w:lvl>
    <w:lvl w:ilvl="5" w:tplc="68BEC304">
      <w:numFmt w:val="decimal"/>
      <w:lvlText w:val=""/>
      <w:lvlJc w:val="left"/>
    </w:lvl>
    <w:lvl w:ilvl="6" w:tplc="20D4B1A6">
      <w:numFmt w:val="decimal"/>
      <w:lvlText w:val=""/>
      <w:lvlJc w:val="left"/>
    </w:lvl>
    <w:lvl w:ilvl="7" w:tplc="AA9EDE4C">
      <w:numFmt w:val="decimal"/>
      <w:lvlText w:val=""/>
      <w:lvlJc w:val="left"/>
    </w:lvl>
    <w:lvl w:ilvl="8" w:tplc="8D685B80">
      <w:numFmt w:val="decimal"/>
      <w:lvlText w:val=""/>
      <w:lvlJc w:val="left"/>
    </w:lvl>
  </w:abstractNum>
  <w:abstractNum w:abstractNumId="9" w15:restartNumberingAfterBreak="0">
    <w:nsid w:val="40E30A85"/>
    <w:multiLevelType w:val="hybridMultilevel"/>
    <w:tmpl w:val="662293D0"/>
    <w:lvl w:ilvl="0" w:tplc="FCE0E608">
      <w:start w:val="1"/>
      <w:numFmt w:val="none"/>
      <w:lvlText w:val="•"/>
      <w:lvlJc w:val="left"/>
      <w:pPr>
        <w:tabs>
          <w:tab w:val="num" w:pos="1080"/>
        </w:tabs>
        <w:ind w:left="720" w:hanging="360"/>
      </w:pPr>
      <w:rPr>
        <w:rFonts w:ascii="Georgia" w:eastAsia="Georgia" w:hAnsi="Georgia" w:cs="Georgia"/>
      </w:rPr>
    </w:lvl>
    <w:lvl w:ilvl="1" w:tplc="6942766E">
      <w:numFmt w:val="decimal"/>
      <w:lvlText w:val=""/>
      <w:lvlJc w:val="left"/>
    </w:lvl>
    <w:lvl w:ilvl="2" w:tplc="E93C336C">
      <w:numFmt w:val="decimal"/>
      <w:lvlText w:val=""/>
      <w:lvlJc w:val="left"/>
    </w:lvl>
    <w:lvl w:ilvl="3" w:tplc="348425B0">
      <w:numFmt w:val="decimal"/>
      <w:lvlText w:val=""/>
      <w:lvlJc w:val="left"/>
    </w:lvl>
    <w:lvl w:ilvl="4" w:tplc="5D028DFC">
      <w:numFmt w:val="decimal"/>
      <w:lvlText w:val=""/>
      <w:lvlJc w:val="left"/>
    </w:lvl>
    <w:lvl w:ilvl="5" w:tplc="A76A1A82">
      <w:numFmt w:val="decimal"/>
      <w:lvlText w:val=""/>
      <w:lvlJc w:val="left"/>
    </w:lvl>
    <w:lvl w:ilvl="6" w:tplc="6AD29A88">
      <w:numFmt w:val="decimal"/>
      <w:lvlText w:val=""/>
      <w:lvlJc w:val="left"/>
    </w:lvl>
    <w:lvl w:ilvl="7" w:tplc="F44A4E10">
      <w:numFmt w:val="decimal"/>
      <w:lvlText w:val=""/>
      <w:lvlJc w:val="left"/>
    </w:lvl>
    <w:lvl w:ilvl="8" w:tplc="47747AAA">
      <w:numFmt w:val="decimal"/>
      <w:lvlText w:val=""/>
      <w:lvlJc w:val="left"/>
    </w:lvl>
  </w:abstractNum>
  <w:abstractNum w:abstractNumId="10" w15:restartNumberingAfterBreak="0">
    <w:nsid w:val="41453379"/>
    <w:multiLevelType w:val="hybridMultilevel"/>
    <w:tmpl w:val="EBACDABE"/>
    <w:lvl w:ilvl="0" w:tplc="3DA6944E">
      <w:start w:val="1"/>
      <w:numFmt w:val="decimal"/>
      <w:lvlText w:val="%1."/>
      <w:lvlJc w:val="left"/>
      <w:pPr>
        <w:tabs>
          <w:tab w:val="num" w:pos="1080"/>
        </w:tabs>
        <w:ind w:left="720" w:hanging="360"/>
      </w:pPr>
    </w:lvl>
    <w:lvl w:ilvl="1" w:tplc="E342FFD0">
      <w:numFmt w:val="decimal"/>
      <w:lvlText w:val=""/>
      <w:lvlJc w:val="left"/>
    </w:lvl>
    <w:lvl w:ilvl="2" w:tplc="57BC35EC">
      <w:numFmt w:val="decimal"/>
      <w:lvlText w:val=""/>
      <w:lvlJc w:val="left"/>
    </w:lvl>
    <w:lvl w:ilvl="3" w:tplc="01986FCA">
      <w:numFmt w:val="decimal"/>
      <w:lvlText w:val=""/>
      <w:lvlJc w:val="left"/>
    </w:lvl>
    <w:lvl w:ilvl="4" w:tplc="0A269BF8">
      <w:numFmt w:val="decimal"/>
      <w:lvlText w:val=""/>
      <w:lvlJc w:val="left"/>
    </w:lvl>
    <w:lvl w:ilvl="5" w:tplc="1E70F6C0">
      <w:numFmt w:val="decimal"/>
      <w:lvlText w:val=""/>
      <w:lvlJc w:val="left"/>
    </w:lvl>
    <w:lvl w:ilvl="6" w:tplc="CDCCA630">
      <w:numFmt w:val="decimal"/>
      <w:lvlText w:val=""/>
      <w:lvlJc w:val="left"/>
    </w:lvl>
    <w:lvl w:ilvl="7" w:tplc="1CBA7F34">
      <w:numFmt w:val="decimal"/>
      <w:lvlText w:val=""/>
      <w:lvlJc w:val="left"/>
    </w:lvl>
    <w:lvl w:ilvl="8" w:tplc="699CFD90">
      <w:numFmt w:val="decimal"/>
      <w:lvlText w:val=""/>
      <w:lvlJc w:val="left"/>
    </w:lvl>
  </w:abstractNum>
  <w:abstractNum w:abstractNumId="11" w15:restartNumberingAfterBreak="0">
    <w:nsid w:val="4486171F"/>
    <w:multiLevelType w:val="hybridMultilevel"/>
    <w:tmpl w:val="50C60B5E"/>
    <w:lvl w:ilvl="0" w:tplc="5F50038C">
      <w:start w:val="1"/>
      <w:numFmt w:val="decimal"/>
      <w:lvlText w:val="%1."/>
      <w:lvlJc w:val="left"/>
      <w:pPr>
        <w:tabs>
          <w:tab w:val="num" w:pos="1080"/>
        </w:tabs>
        <w:ind w:left="720" w:hanging="360"/>
      </w:pPr>
    </w:lvl>
    <w:lvl w:ilvl="1" w:tplc="65F60DAE">
      <w:numFmt w:val="decimal"/>
      <w:lvlText w:val=""/>
      <w:lvlJc w:val="left"/>
    </w:lvl>
    <w:lvl w:ilvl="2" w:tplc="3D4C01E6">
      <w:numFmt w:val="decimal"/>
      <w:lvlText w:val=""/>
      <w:lvlJc w:val="left"/>
    </w:lvl>
    <w:lvl w:ilvl="3" w:tplc="51C0A554">
      <w:numFmt w:val="decimal"/>
      <w:lvlText w:val=""/>
      <w:lvlJc w:val="left"/>
    </w:lvl>
    <w:lvl w:ilvl="4" w:tplc="2C785C70">
      <w:numFmt w:val="decimal"/>
      <w:lvlText w:val=""/>
      <w:lvlJc w:val="left"/>
    </w:lvl>
    <w:lvl w:ilvl="5" w:tplc="C8DE952A">
      <w:numFmt w:val="decimal"/>
      <w:lvlText w:val=""/>
      <w:lvlJc w:val="left"/>
    </w:lvl>
    <w:lvl w:ilvl="6" w:tplc="0A302C1E">
      <w:numFmt w:val="decimal"/>
      <w:lvlText w:val=""/>
      <w:lvlJc w:val="left"/>
    </w:lvl>
    <w:lvl w:ilvl="7" w:tplc="F2C27F8A">
      <w:numFmt w:val="decimal"/>
      <w:lvlText w:val=""/>
      <w:lvlJc w:val="left"/>
    </w:lvl>
    <w:lvl w:ilvl="8" w:tplc="74DA6494">
      <w:numFmt w:val="decimal"/>
      <w:lvlText w:val=""/>
      <w:lvlJc w:val="left"/>
    </w:lvl>
  </w:abstractNum>
  <w:abstractNum w:abstractNumId="12" w15:restartNumberingAfterBreak="0">
    <w:nsid w:val="4C383704"/>
    <w:multiLevelType w:val="hybridMultilevel"/>
    <w:tmpl w:val="BF72EC4E"/>
    <w:lvl w:ilvl="0" w:tplc="18526CC0">
      <w:start w:val="1"/>
      <w:numFmt w:val="none"/>
      <w:lvlText w:val="•"/>
      <w:lvlJc w:val="left"/>
      <w:pPr>
        <w:tabs>
          <w:tab w:val="num" w:pos="1080"/>
        </w:tabs>
        <w:ind w:left="720" w:hanging="360"/>
      </w:pPr>
      <w:rPr>
        <w:rFonts w:ascii="Georgia" w:eastAsia="Georgia" w:hAnsi="Georgia" w:cs="Georgia"/>
      </w:rPr>
    </w:lvl>
    <w:lvl w:ilvl="1" w:tplc="683C30D8">
      <w:numFmt w:val="decimal"/>
      <w:lvlText w:val=""/>
      <w:lvlJc w:val="left"/>
    </w:lvl>
    <w:lvl w:ilvl="2" w:tplc="14845028">
      <w:numFmt w:val="decimal"/>
      <w:lvlText w:val=""/>
      <w:lvlJc w:val="left"/>
    </w:lvl>
    <w:lvl w:ilvl="3" w:tplc="9DF07DD0">
      <w:numFmt w:val="decimal"/>
      <w:lvlText w:val=""/>
      <w:lvlJc w:val="left"/>
    </w:lvl>
    <w:lvl w:ilvl="4" w:tplc="F30A807C">
      <w:numFmt w:val="decimal"/>
      <w:lvlText w:val=""/>
      <w:lvlJc w:val="left"/>
    </w:lvl>
    <w:lvl w:ilvl="5" w:tplc="8AD6C962">
      <w:numFmt w:val="decimal"/>
      <w:lvlText w:val=""/>
      <w:lvlJc w:val="left"/>
    </w:lvl>
    <w:lvl w:ilvl="6" w:tplc="2FBC87AC">
      <w:numFmt w:val="decimal"/>
      <w:lvlText w:val=""/>
      <w:lvlJc w:val="left"/>
    </w:lvl>
    <w:lvl w:ilvl="7" w:tplc="4580D4E0">
      <w:numFmt w:val="decimal"/>
      <w:lvlText w:val=""/>
      <w:lvlJc w:val="left"/>
    </w:lvl>
    <w:lvl w:ilvl="8" w:tplc="280CCEEC">
      <w:numFmt w:val="decimal"/>
      <w:lvlText w:val=""/>
      <w:lvlJc w:val="left"/>
    </w:lvl>
  </w:abstractNum>
  <w:abstractNum w:abstractNumId="13" w15:restartNumberingAfterBreak="0">
    <w:nsid w:val="682119FC"/>
    <w:multiLevelType w:val="hybridMultilevel"/>
    <w:tmpl w:val="1E003416"/>
    <w:lvl w:ilvl="0" w:tplc="9370C888">
      <w:start w:val="1"/>
      <w:numFmt w:val="none"/>
      <w:lvlText w:val="•"/>
      <w:lvlJc w:val="left"/>
      <w:pPr>
        <w:tabs>
          <w:tab w:val="num" w:pos="1080"/>
        </w:tabs>
        <w:ind w:left="720" w:hanging="360"/>
      </w:pPr>
      <w:rPr>
        <w:rFonts w:ascii="Georgia" w:eastAsia="Georgia" w:hAnsi="Georgia" w:cs="Georgia"/>
      </w:rPr>
    </w:lvl>
    <w:lvl w:ilvl="1" w:tplc="7FEE2E6E">
      <w:numFmt w:val="decimal"/>
      <w:lvlText w:val=""/>
      <w:lvlJc w:val="left"/>
    </w:lvl>
    <w:lvl w:ilvl="2" w:tplc="B22CE434">
      <w:numFmt w:val="decimal"/>
      <w:lvlText w:val=""/>
      <w:lvlJc w:val="left"/>
    </w:lvl>
    <w:lvl w:ilvl="3" w:tplc="22CA00B8">
      <w:numFmt w:val="decimal"/>
      <w:lvlText w:val=""/>
      <w:lvlJc w:val="left"/>
    </w:lvl>
    <w:lvl w:ilvl="4" w:tplc="F36E6C0E">
      <w:numFmt w:val="decimal"/>
      <w:lvlText w:val=""/>
      <w:lvlJc w:val="left"/>
    </w:lvl>
    <w:lvl w:ilvl="5" w:tplc="E65CD5D6">
      <w:numFmt w:val="decimal"/>
      <w:lvlText w:val=""/>
      <w:lvlJc w:val="left"/>
    </w:lvl>
    <w:lvl w:ilvl="6" w:tplc="252EBC00">
      <w:numFmt w:val="decimal"/>
      <w:lvlText w:val=""/>
      <w:lvlJc w:val="left"/>
    </w:lvl>
    <w:lvl w:ilvl="7" w:tplc="D3B2DD3E">
      <w:numFmt w:val="decimal"/>
      <w:lvlText w:val=""/>
      <w:lvlJc w:val="left"/>
    </w:lvl>
    <w:lvl w:ilvl="8" w:tplc="2E7E2104">
      <w:numFmt w:val="decimal"/>
      <w:lvlText w:val=""/>
      <w:lvlJc w:val="left"/>
    </w:lvl>
  </w:abstractNum>
  <w:abstractNum w:abstractNumId="14" w15:restartNumberingAfterBreak="0">
    <w:nsid w:val="6DCD27CB"/>
    <w:multiLevelType w:val="hybridMultilevel"/>
    <w:tmpl w:val="B4DE526C"/>
    <w:lvl w:ilvl="0" w:tplc="8DCE8978">
      <w:start w:val="1"/>
      <w:numFmt w:val="none"/>
      <w:lvlText w:val="•"/>
      <w:lvlJc w:val="left"/>
      <w:pPr>
        <w:tabs>
          <w:tab w:val="num" w:pos="1080"/>
        </w:tabs>
        <w:ind w:left="720" w:hanging="360"/>
      </w:pPr>
      <w:rPr>
        <w:rFonts w:ascii="Georgia" w:eastAsia="Georgia" w:hAnsi="Georgia" w:cs="Georgia"/>
      </w:rPr>
    </w:lvl>
    <w:lvl w:ilvl="1" w:tplc="4658162E">
      <w:numFmt w:val="decimal"/>
      <w:lvlText w:val=""/>
      <w:lvlJc w:val="left"/>
    </w:lvl>
    <w:lvl w:ilvl="2" w:tplc="5A48E38E">
      <w:numFmt w:val="decimal"/>
      <w:lvlText w:val=""/>
      <w:lvlJc w:val="left"/>
    </w:lvl>
    <w:lvl w:ilvl="3" w:tplc="7444F166">
      <w:numFmt w:val="decimal"/>
      <w:lvlText w:val=""/>
      <w:lvlJc w:val="left"/>
    </w:lvl>
    <w:lvl w:ilvl="4" w:tplc="83306B10">
      <w:numFmt w:val="decimal"/>
      <w:lvlText w:val=""/>
      <w:lvlJc w:val="left"/>
    </w:lvl>
    <w:lvl w:ilvl="5" w:tplc="B6E4EF22">
      <w:numFmt w:val="decimal"/>
      <w:lvlText w:val=""/>
      <w:lvlJc w:val="left"/>
    </w:lvl>
    <w:lvl w:ilvl="6" w:tplc="812ACEBE">
      <w:numFmt w:val="decimal"/>
      <w:lvlText w:val=""/>
      <w:lvlJc w:val="left"/>
    </w:lvl>
    <w:lvl w:ilvl="7" w:tplc="E82A3800">
      <w:numFmt w:val="decimal"/>
      <w:lvlText w:val=""/>
      <w:lvlJc w:val="left"/>
    </w:lvl>
    <w:lvl w:ilvl="8" w:tplc="CBF4CCC8">
      <w:numFmt w:val="decimal"/>
      <w:lvlText w:val=""/>
      <w:lvlJc w:val="left"/>
    </w:lvl>
  </w:abstractNum>
  <w:abstractNum w:abstractNumId="15" w15:restartNumberingAfterBreak="0">
    <w:nsid w:val="7B10565B"/>
    <w:multiLevelType w:val="hybridMultilevel"/>
    <w:tmpl w:val="605294AE"/>
    <w:lvl w:ilvl="0" w:tplc="5CEC1E44">
      <w:start w:val="1"/>
      <w:numFmt w:val="none"/>
      <w:lvlText w:val="•"/>
      <w:lvlJc w:val="left"/>
      <w:pPr>
        <w:tabs>
          <w:tab w:val="num" w:pos="1080"/>
        </w:tabs>
        <w:ind w:left="720" w:hanging="360"/>
      </w:pPr>
      <w:rPr>
        <w:rFonts w:ascii="Georgia" w:eastAsia="Georgia" w:hAnsi="Georgia" w:cs="Georgia"/>
      </w:rPr>
    </w:lvl>
    <w:lvl w:ilvl="1" w:tplc="62BEA872">
      <w:numFmt w:val="decimal"/>
      <w:lvlText w:val=""/>
      <w:lvlJc w:val="left"/>
    </w:lvl>
    <w:lvl w:ilvl="2" w:tplc="968AA44C">
      <w:numFmt w:val="decimal"/>
      <w:lvlText w:val=""/>
      <w:lvlJc w:val="left"/>
    </w:lvl>
    <w:lvl w:ilvl="3" w:tplc="A59A9CD0">
      <w:numFmt w:val="decimal"/>
      <w:lvlText w:val=""/>
      <w:lvlJc w:val="left"/>
    </w:lvl>
    <w:lvl w:ilvl="4" w:tplc="4A38DDE2">
      <w:numFmt w:val="decimal"/>
      <w:lvlText w:val=""/>
      <w:lvlJc w:val="left"/>
    </w:lvl>
    <w:lvl w:ilvl="5" w:tplc="CED4363E">
      <w:numFmt w:val="decimal"/>
      <w:lvlText w:val=""/>
      <w:lvlJc w:val="left"/>
    </w:lvl>
    <w:lvl w:ilvl="6" w:tplc="421817F4">
      <w:numFmt w:val="decimal"/>
      <w:lvlText w:val=""/>
      <w:lvlJc w:val="left"/>
    </w:lvl>
    <w:lvl w:ilvl="7" w:tplc="69C637D0">
      <w:numFmt w:val="decimal"/>
      <w:lvlText w:val=""/>
      <w:lvlJc w:val="left"/>
    </w:lvl>
    <w:lvl w:ilvl="8" w:tplc="9368940C">
      <w:numFmt w:val="decimal"/>
      <w:lvlText w:val=""/>
      <w:lvlJc w:val="left"/>
    </w:lvl>
  </w:abstractNum>
  <w:abstractNum w:abstractNumId="16" w15:restartNumberingAfterBreak="0">
    <w:nsid w:val="7B314B6F"/>
    <w:multiLevelType w:val="hybridMultilevel"/>
    <w:tmpl w:val="284407AC"/>
    <w:lvl w:ilvl="0" w:tplc="8B6AD5A2">
      <w:start w:val="1"/>
      <w:numFmt w:val="none"/>
      <w:lvlText w:val="•"/>
      <w:lvlJc w:val="left"/>
      <w:pPr>
        <w:tabs>
          <w:tab w:val="num" w:pos="1080"/>
        </w:tabs>
        <w:ind w:left="720" w:hanging="360"/>
      </w:pPr>
      <w:rPr>
        <w:rFonts w:ascii="Georgia" w:eastAsia="Georgia" w:hAnsi="Georgia" w:cs="Georgia"/>
      </w:rPr>
    </w:lvl>
    <w:lvl w:ilvl="1" w:tplc="62A83C7C">
      <w:numFmt w:val="decimal"/>
      <w:lvlText w:val=""/>
      <w:lvlJc w:val="left"/>
    </w:lvl>
    <w:lvl w:ilvl="2" w:tplc="B84006F2">
      <w:numFmt w:val="decimal"/>
      <w:lvlText w:val=""/>
      <w:lvlJc w:val="left"/>
    </w:lvl>
    <w:lvl w:ilvl="3" w:tplc="CE644ADE">
      <w:numFmt w:val="decimal"/>
      <w:lvlText w:val=""/>
      <w:lvlJc w:val="left"/>
    </w:lvl>
    <w:lvl w:ilvl="4" w:tplc="A21EEA26">
      <w:numFmt w:val="decimal"/>
      <w:lvlText w:val=""/>
      <w:lvlJc w:val="left"/>
    </w:lvl>
    <w:lvl w:ilvl="5" w:tplc="3C607D8C">
      <w:numFmt w:val="decimal"/>
      <w:lvlText w:val=""/>
      <w:lvlJc w:val="left"/>
    </w:lvl>
    <w:lvl w:ilvl="6" w:tplc="D9844098">
      <w:numFmt w:val="decimal"/>
      <w:lvlText w:val=""/>
      <w:lvlJc w:val="left"/>
    </w:lvl>
    <w:lvl w:ilvl="7" w:tplc="54780ED8">
      <w:numFmt w:val="decimal"/>
      <w:lvlText w:val=""/>
      <w:lvlJc w:val="left"/>
    </w:lvl>
    <w:lvl w:ilvl="8" w:tplc="BC769112">
      <w:numFmt w:val="decimal"/>
      <w:lvlText w:val=""/>
      <w:lvlJc w:val="left"/>
    </w:lvl>
  </w:abstractNum>
  <w:abstractNum w:abstractNumId="17" w15:restartNumberingAfterBreak="0">
    <w:nsid w:val="7D6A2320"/>
    <w:multiLevelType w:val="hybridMultilevel"/>
    <w:tmpl w:val="5A2A625A"/>
    <w:lvl w:ilvl="0" w:tplc="97FC42B4">
      <w:start w:val="1"/>
      <w:numFmt w:val="none"/>
      <w:lvlText w:val="•"/>
      <w:lvlJc w:val="left"/>
      <w:pPr>
        <w:tabs>
          <w:tab w:val="num" w:pos="1080"/>
        </w:tabs>
        <w:ind w:left="720" w:hanging="360"/>
      </w:pPr>
      <w:rPr>
        <w:rFonts w:ascii="Georgia" w:eastAsia="Georgia" w:hAnsi="Georgia" w:cs="Georgia"/>
      </w:rPr>
    </w:lvl>
    <w:lvl w:ilvl="1" w:tplc="5BFC2F76">
      <w:numFmt w:val="decimal"/>
      <w:lvlText w:val=""/>
      <w:lvlJc w:val="left"/>
    </w:lvl>
    <w:lvl w:ilvl="2" w:tplc="3BA0FCE6">
      <w:numFmt w:val="decimal"/>
      <w:lvlText w:val=""/>
      <w:lvlJc w:val="left"/>
    </w:lvl>
    <w:lvl w:ilvl="3" w:tplc="A3FED680">
      <w:numFmt w:val="decimal"/>
      <w:lvlText w:val=""/>
      <w:lvlJc w:val="left"/>
    </w:lvl>
    <w:lvl w:ilvl="4" w:tplc="AF7007F0">
      <w:numFmt w:val="decimal"/>
      <w:lvlText w:val=""/>
      <w:lvlJc w:val="left"/>
    </w:lvl>
    <w:lvl w:ilvl="5" w:tplc="D042EB02">
      <w:numFmt w:val="decimal"/>
      <w:lvlText w:val=""/>
      <w:lvlJc w:val="left"/>
    </w:lvl>
    <w:lvl w:ilvl="6" w:tplc="4F0874EE">
      <w:numFmt w:val="decimal"/>
      <w:lvlText w:val=""/>
      <w:lvlJc w:val="left"/>
    </w:lvl>
    <w:lvl w:ilvl="7" w:tplc="5330E044">
      <w:numFmt w:val="decimal"/>
      <w:lvlText w:val=""/>
      <w:lvlJc w:val="left"/>
    </w:lvl>
    <w:lvl w:ilvl="8" w:tplc="388822B6">
      <w:numFmt w:val="decimal"/>
      <w:lvlText w:val=""/>
      <w:lvlJc w:val="left"/>
    </w:lvl>
  </w:abstractNum>
  <w:num w:numId="1" w16cid:durableId="1147552945">
    <w:abstractNumId w:val="6"/>
  </w:num>
  <w:num w:numId="2" w16cid:durableId="259290342">
    <w:abstractNumId w:val="11"/>
  </w:num>
  <w:num w:numId="3" w16cid:durableId="1191992581">
    <w:abstractNumId w:val="2"/>
  </w:num>
  <w:num w:numId="4" w16cid:durableId="196352188">
    <w:abstractNumId w:val="7"/>
  </w:num>
  <w:num w:numId="5" w16cid:durableId="1983460696">
    <w:abstractNumId w:val="4"/>
  </w:num>
  <w:num w:numId="6" w16cid:durableId="557010906">
    <w:abstractNumId w:val="3"/>
  </w:num>
  <w:num w:numId="7" w16cid:durableId="224343030">
    <w:abstractNumId w:val="16"/>
  </w:num>
  <w:num w:numId="8" w16cid:durableId="1621689015">
    <w:abstractNumId w:val="9"/>
  </w:num>
  <w:num w:numId="9" w16cid:durableId="1042946511">
    <w:abstractNumId w:val="15"/>
  </w:num>
  <w:num w:numId="10" w16cid:durableId="1646011117">
    <w:abstractNumId w:val="0"/>
  </w:num>
  <w:num w:numId="11" w16cid:durableId="512652380">
    <w:abstractNumId w:val="5"/>
  </w:num>
  <w:num w:numId="12" w16cid:durableId="1458985129">
    <w:abstractNumId w:val="17"/>
  </w:num>
  <w:num w:numId="13" w16cid:durableId="1160535693">
    <w:abstractNumId w:val="8"/>
  </w:num>
  <w:num w:numId="14" w16cid:durableId="1601794858">
    <w:abstractNumId w:val="1"/>
  </w:num>
  <w:num w:numId="15" w16cid:durableId="442308918">
    <w:abstractNumId w:val="13"/>
  </w:num>
  <w:num w:numId="16" w16cid:durableId="69622164">
    <w:abstractNumId w:val="14"/>
  </w:num>
  <w:num w:numId="17" w16cid:durableId="487403799">
    <w:abstractNumId w:val="12"/>
  </w:num>
  <w:num w:numId="18" w16cid:durableId="6457389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532"/>
    <w:rsid w:val="00760A96"/>
    <w:rsid w:val="00777DCB"/>
    <w:rsid w:val="00C56532"/>
    <w:rsid w:val="00C70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67BA9A"/>
  <w15:docId w15:val="{4B1987BF-60C7-D043-836A-36DC49817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A96"/>
    <w:pPr>
      <w:keepNext/>
      <w:keepLines/>
      <w:spacing w:before="240" w:after="0"/>
      <w:outlineLvl w:val="0"/>
    </w:pPr>
    <w:rPr>
      <w:rFonts w:ascii="Times New Roman" w:eastAsiaTheme="majorEastAsia" w:hAnsi="Times New Roman"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760A96"/>
    <w:rPr>
      <w:rFonts w:ascii="Times New Roman" w:eastAsiaTheme="majorEastAsia" w:hAnsi="Times New Roman" w:cstheme="majorBidi"/>
      <w:b/>
      <w:color w:val="000000" w:themeColor="text1"/>
      <w:sz w:val="32"/>
      <w:szCs w:val="32"/>
    </w:rPr>
  </w:style>
  <w:style w:type="paragraph" w:styleId="TOCHeading">
    <w:name w:val="TOC Heading"/>
    <w:basedOn w:val="Heading1"/>
    <w:next w:val="Normal"/>
    <w:uiPriority w:val="39"/>
    <w:unhideWhenUsed/>
    <w:qFormat/>
    <w:rsid w:val="00760A96"/>
    <w:pPr>
      <w:spacing w:before="480" w:line="276" w:lineRule="auto"/>
      <w:outlineLvl w:val="9"/>
    </w:pPr>
    <w:rPr>
      <w:rFonts w:asciiTheme="majorHAnsi" w:hAnsiTheme="majorHAnsi"/>
      <w:bCs/>
      <w:color w:val="0F4761" w:themeColor="accent1" w:themeShade="BF"/>
      <w:sz w:val="28"/>
      <w:szCs w:val="28"/>
    </w:rPr>
  </w:style>
  <w:style w:type="paragraph" w:styleId="TOC1">
    <w:name w:val="toc 1"/>
    <w:basedOn w:val="Normal"/>
    <w:next w:val="Normal"/>
    <w:autoRedefine/>
    <w:uiPriority w:val="39"/>
    <w:unhideWhenUsed/>
    <w:rsid w:val="00760A96"/>
    <w:pPr>
      <w:spacing w:before="120" w:after="0"/>
    </w:pPr>
    <w:rPr>
      <w:rFonts w:asciiTheme="minorHAnsi"/>
      <w:b/>
      <w:bCs/>
      <w:i/>
      <w:iCs/>
      <w:sz w:val="24"/>
      <w:szCs w:val="24"/>
    </w:rPr>
  </w:style>
  <w:style w:type="character" w:styleId="Hyperlink">
    <w:name w:val="Hyperlink"/>
    <w:basedOn w:val="DefaultParagraphFont"/>
    <w:uiPriority w:val="99"/>
    <w:unhideWhenUsed/>
    <w:rsid w:val="00760A96"/>
    <w:rPr>
      <w:color w:val="467886" w:themeColor="hyperlink"/>
      <w:u w:val="single"/>
    </w:rPr>
  </w:style>
  <w:style w:type="paragraph" w:styleId="TOC2">
    <w:name w:val="toc 2"/>
    <w:basedOn w:val="Normal"/>
    <w:next w:val="Normal"/>
    <w:autoRedefine/>
    <w:uiPriority w:val="39"/>
    <w:semiHidden/>
    <w:unhideWhenUsed/>
    <w:rsid w:val="00760A96"/>
    <w:pPr>
      <w:spacing w:before="120" w:after="0"/>
      <w:ind w:left="210"/>
    </w:pPr>
    <w:rPr>
      <w:rFonts w:asciiTheme="minorHAnsi"/>
      <w:b/>
      <w:bCs/>
      <w:sz w:val="22"/>
    </w:rPr>
  </w:style>
  <w:style w:type="paragraph" w:styleId="TOC3">
    <w:name w:val="toc 3"/>
    <w:basedOn w:val="Normal"/>
    <w:next w:val="Normal"/>
    <w:autoRedefine/>
    <w:uiPriority w:val="39"/>
    <w:semiHidden/>
    <w:unhideWhenUsed/>
    <w:rsid w:val="00760A96"/>
    <w:pPr>
      <w:spacing w:after="0"/>
      <w:ind w:left="420"/>
    </w:pPr>
    <w:rPr>
      <w:rFonts w:asciiTheme="minorHAnsi"/>
      <w:sz w:val="20"/>
      <w:szCs w:val="20"/>
    </w:rPr>
  </w:style>
  <w:style w:type="paragraph" w:styleId="TOC4">
    <w:name w:val="toc 4"/>
    <w:basedOn w:val="Normal"/>
    <w:next w:val="Normal"/>
    <w:autoRedefine/>
    <w:uiPriority w:val="39"/>
    <w:semiHidden/>
    <w:unhideWhenUsed/>
    <w:rsid w:val="00760A96"/>
    <w:pPr>
      <w:spacing w:after="0"/>
      <w:ind w:left="630"/>
    </w:pPr>
    <w:rPr>
      <w:rFonts w:asciiTheme="minorHAnsi"/>
      <w:sz w:val="20"/>
      <w:szCs w:val="20"/>
    </w:rPr>
  </w:style>
  <w:style w:type="paragraph" w:styleId="TOC5">
    <w:name w:val="toc 5"/>
    <w:basedOn w:val="Normal"/>
    <w:next w:val="Normal"/>
    <w:autoRedefine/>
    <w:uiPriority w:val="39"/>
    <w:semiHidden/>
    <w:unhideWhenUsed/>
    <w:rsid w:val="00760A96"/>
    <w:pPr>
      <w:spacing w:after="0"/>
      <w:ind w:left="840"/>
    </w:pPr>
    <w:rPr>
      <w:rFonts w:asciiTheme="minorHAnsi"/>
      <w:sz w:val="20"/>
      <w:szCs w:val="20"/>
    </w:rPr>
  </w:style>
  <w:style w:type="paragraph" w:styleId="TOC6">
    <w:name w:val="toc 6"/>
    <w:basedOn w:val="Normal"/>
    <w:next w:val="Normal"/>
    <w:autoRedefine/>
    <w:uiPriority w:val="39"/>
    <w:semiHidden/>
    <w:unhideWhenUsed/>
    <w:rsid w:val="00760A96"/>
    <w:pPr>
      <w:spacing w:after="0"/>
      <w:ind w:left="1050"/>
    </w:pPr>
    <w:rPr>
      <w:rFonts w:asciiTheme="minorHAnsi"/>
      <w:sz w:val="20"/>
      <w:szCs w:val="20"/>
    </w:rPr>
  </w:style>
  <w:style w:type="paragraph" w:styleId="TOC7">
    <w:name w:val="toc 7"/>
    <w:basedOn w:val="Normal"/>
    <w:next w:val="Normal"/>
    <w:autoRedefine/>
    <w:uiPriority w:val="39"/>
    <w:semiHidden/>
    <w:unhideWhenUsed/>
    <w:rsid w:val="00760A96"/>
    <w:pPr>
      <w:spacing w:after="0"/>
      <w:ind w:left="1260"/>
    </w:pPr>
    <w:rPr>
      <w:rFonts w:asciiTheme="minorHAnsi"/>
      <w:sz w:val="20"/>
      <w:szCs w:val="20"/>
    </w:rPr>
  </w:style>
  <w:style w:type="paragraph" w:styleId="TOC8">
    <w:name w:val="toc 8"/>
    <w:basedOn w:val="Normal"/>
    <w:next w:val="Normal"/>
    <w:autoRedefine/>
    <w:uiPriority w:val="39"/>
    <w:semiHidden/>
    <w:unhideWhenUsed/>
    <w:rsid w:val="00760A96"/>
    <w:pPr>
      <w:spacing w:after="0"/>
      <w:ind w:left="1470"/>
    </w:pPr>
    <w:rPr>
      <w:rFonts w:asciiTheme="minorHAnsi"/>
      <w:sz w:val="20"/>
      <w:szCs w:val="20"/>
    </w:rPr>
  </w:style>
  <w:style w:type="paragraph" w:styleId="TOC9">
    <w:name w:val="toc 9"/>
    <w:basedOn w:val="Normal"/>
    <w:next w:val="Normal"/>
    <w:autoRedefine/>
    <w:uiPriority w:val="39"/>
    <w:semiHidden/>
    <w:unhideWhenUsed/>
    <w:rsid w:val="00760A96"/>
    <w:pPr>
      <w:spacing w:after="0"/>
      <w:ind w:left="1680"/>
    </w:pPr>
    <w:rPr>
      <w:rFonts w:asci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ec.gov/edg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ec.gov/edga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68C7D-8051-C843-B900-1CA5E09A8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2166</Words>
  <Characters>14021</Characters>
  <Application>Microsoft Office Word</Application>
  <DocSecurity>0</DocSecurity>
  <Lines>424</Lines>
  <Paragraphs>376</Paragraphs>
  <ScaleCrop>false</ScaleCrop>
  <Company/>
  <LinksUpToDate>false</LinksUpToDate>
  <CharactersWithSpaces>15811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Khushi Kothari</cp:lastModifiedBy>
  <cp:revision>3</cp:revision>
  <dcterms:created xsi:type="dcterms:W3CDTF">2026-02-07T15:32:00Z</dcterms:created>
  <dcterms:modified xsi:type="dcterms:W3CDTF">2026-02-07T15:43:00Z</dcterms:modified>
</cp:coreProperties>
</file>