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9A24B"/>
          <w:spacing w:val="16"/>
          <w:sz w:val="24"/>
          <w:szCs w:val="24"/>
        </w:rPr>
        <w:t xml:space="preserve">BUSINESS STRATEGY &amp; INVESTMENT REPORT</w:t>
      </w:r>
    </w:p>
    <w:p>
      <w:pPr>
        <w:spacing w:before="260"/>
        <w:jc w:val="center"/>
      </w:pPr>
      <w:r>
        <w:rPr>
          <w:rFonts w:ascii="Calibri" w:cs="Calibri" w:eastAsia="Calibri" w:hAnsi="Calibri"/>
          <w:b/>
          <w:bCs/>
          <w:color w:val="0B2E33"/>
          <w:sz w:val="68"/>
          <w:szCs w:val="68"/>
        </w:rPr>
        <w:t xml:space="preserve">BHUMIPUTRA</w:t>
      </w:r>
    </w:p>
    <w:p>
      <w:pPr>
        <w:spacing w:after="400" w:before="120"/>
        <w:jc w:val="center"/>
      </w:pPr>
      <w:r>
        <w:rPr>
          <w:rFonts w:ascii="Calibri" w:cs="Calibri" w:eastAsia="Calibri" w:hAnsi="Calibri"/>
          <w:i/>
          <w:iCs/>
          <w:color w:val="2E7D32"/>
          <w:sz w:val="26"/>
          <w:szCs w:val="26"/>
        </w:rPr>
        <w:t xml:space="preserve">AI Soil Analysis &amp; Crop Recommendation Platform</w:t>
      </w:r>
    </w:p>
    <w:p>
      <w:pPr>
        <w:pBdr>
          <w:top w:val="single" w:color="C9A24B" w:sz="6" w:space="10"/>
          <w:bottom w:val="single" w:color="C9A24B" w:sz="6" w:space="10"/>
        </w:pBdr>
        <w:spacing w:after="500" w:before="500"/>
        <w:jc w:val="center"/>
      </w:pPr>
      <w:r>
        <w:rPr>
          <w:rFonts w:ascii="Calibri" w:cs="Calibri" w:eastAsia="Calibri" w:hAnsi="Calibri"/>
          <w:color w:val="6B7A7C"/>
          <w:sz w:val="19"/>
          <w:szCs w:val="19"/>
        </w:rPr>
        <w:t xml:space="preserve">Confidential  |  Prepared for Founder &amp; Investor Review  |  July 2026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6B7A7C"/>
          <w:sz w:val="18"/>
          <w:szCs w:val="18"/>
        </w:rPr>
        <w:t xml:space="preserve">Prepared by: AI Co-Founder &amp; Growth Strategy Desk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A7C"/>
          <w:sz w:val="16"/>
          <w:szCs w:val="16"/>
        </w:rPr>
        <w:t xml:space="preserve">Source of truth: Bhumiputra Customer &amp; MVP Blueprint (Day 23)</w:t>
      </w:r>
    </w:p>
    <w:p>
      <w:r>
        <w:br w:type="page"/>
      </w:r>
    </w:p>
    <w:p>
      <w:pPr>
        <w:pStyle w:val="Heading1"/>
        <w:spacing w:after="26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Table of Contents</w:t>
      </w:r>
    </w:p>
    <w:p>
      <w:pPr>
        <w:tabs>
          <w:tab w:val="right" w:pos="9500" w:leader="dot"/>
        </w:tabs>
        <w:spacing w:after="160"/>
      </w:pPr>
      <w:r>
        <w:rPr>
          <w:rFonts w:ascii="Calibri" w:cs="Calibri" w:eastAsia="Calibri" w:hAnsi="Calibri"/>
          <w:color w:val="0B2E33"/>
          <w:sz w:val="22"/>
          <w:szCs w:val="22"/>
        </w:rPr>
        <w:t xml:space="preserve">Executive Summary</w:t>
      </w:r>
      <w:r>
        <w:ptab w:alignment="right" w:relativeTo="margin" w:leader="dot"/>
      </w:r>
      <w:r>
        <w:rPr>
          <w:rFonts w:ascii="Calibri" w:cs="Calibri" w:eastAsia="Calibri" w:hAnsi="Calibri"/>
          <w:color w:val="0B2E33"/>
          <w:sz w:val="22"/>
          <w:szCs w:val="22"/>
        </w:rPr>
        <w:t xml:space="preserve">3</w:t>
      </w:r>
    </w:p>
    <w:p>
      <w:pPr>
        <w:tabs>
          <w:tab w:val="right" w:pos="9500" w:leader="dot"/>
        </w:tabs>
        <w:spacing w:after="160"/>
      </w:pPr>
      <w:r>
        <w:rPr>
          <w:rFonts w:ascii="Calibri" w:cs="Calibri" w:eastAsia="Calibri" w:hAnsi="Calibri"/>
          <w:color w:val="0B2E33"/>
          <w:sz w:val="22"/>
          <w:szCs w:val="22"/>
        </w:rPr>
        <w:t xml:space="preserve">Business Reality Check</w:t>
      </w:r>
      <w:r>
        <w:ptab w:alignment="right" w:relativeTo="margin" w:leader="dot"/>
      </w:r>
      <w:r>
        <w:rPr>
          <w:rFonts w:ascii="Calibri" w:cs="Calibri" w:eastAsia="Calibri" w:hAnsi="Calibri"/>
          <w:color w:val="0B2E33"/>
          <w:sz w:val="22"/>
          <w:szCs w:val="22"/>
        </w:rPr>
        <w:t xml:space="preserve">4</w:t>
      </w:r>
    </w:p>
    <w:p>
      <w:pPr>
        <w:tabs>
          <w:tab w:val="right" w:pos="9500" w:leader="dot"/>
        </w:tabs>
        <w:spacing w:after="160"/>
      </w:pPr>
      <w:r>
        <w:rPr>
          <w:rFonts w:ascii="Calibri" w:cs="Calibri" w:eastAsia="Calibri" w:hAnsi="Calibri"/>
          <w:color w:val="0B2E33"/>
          <w:sz w:val="22"/>
          <w:szCs w:val="22"/>
        </w:rPr>
        <w:t xml:space="preserve">Business Strategy Report</w:t>
      </w:r>
      <w:r>
        <w:ptab w:alignment="right" w:relativeTo="margin" w:leader="dot"/>
      </w:r>
      <w:r>
        <w:rPr>
          <w:rFonts w:ascii="Calibri" w:cs="Calibri" w:eastAsia="Calibri" w:hAnsi="Calibri"/>
          <w:color w:val="0B2E33"/>
          <w:sz w:val="22"/>
          <w:szCs w:val="22"/>
        </w:rPr>
        <w:t xml:space="preserve">5</w:t>
      </w:r>
    </w:p>
    <w:p>
      <w:pPr>
        <w:tabs>
          <w:tab w:val="right" w:pos="9500" w:leader="dot"/>
        </w:tabs>
        <w:spacing w:after="160"/>
      </w:pPr>
      <w:r>
        <w:rPr>
          <w:rFonts w:ascii="Calibri" w:cs="Calibri" w:eastAsia="Calibri" w:hAnsi="Calibri"/>
          <w:color w:val="0B2E33"/>
          <w:sz w:val="22"/>
          <w:szCs w:val="22"/>
        </w:rPr>
        <w:t xml:space="preserve">Investment Scorecard</w:t>
      </w:r>
      <w:r>
        <w:ptab w:alignment="right" w:relativeTo="margin" w:leader="dot"/>
      </w:r>
      <w:r>
        <w:rPr>
          <w:rFonts w:ascii="Calibri" w:cs="Calibri" w:eastAsia="Calibri" w:hAnsi="Calibri"/>
          <w:color w:val="0B2E33"/>
          <w:sz w:val="22"/>
          <w:szCs w:val="22"/>
        </w:rPr>
        <w:t xml:space="preserve">8</w:t>
      </w:r>
    </w:p>
    <w:p>
      <w:pPr>
        <w:tabs>
          <w:tab w:val="right" w:pos="9500" w:leader="dot"/>
        </w:tabs>
        <w:spacing w:after="160"/>
      </w:pPr>
      <w:r>
        <w:rPr>
          <w:rFonts w:ascii="Calibri" w:cs="Calibri" w:eastAsia="Calibri" w:hAnsi="Calibri"/>
          <w:color w:val="0B2E33"/>
          <w:sz w:val="22"/>
          <w:szCs w:val="22"/>
        </w:rPr>
        <w:t xml:space="preserve">Visual Dashboard</w:t>
      </w:r>
      <w:r>
        <w:ptab w:alignment="right" w:relativeTo="margin" w:leader="dot"/>
      </w:r>
      <w:r>
        <w:rPr>
          <w:rFonts w:ascii="Calibri" w:cs="Calibri" w:eastAsia="Calibri" w:hAnsi="Calibri"/>
          <w:color w:val="0B2E33"/>
          <w:sz w:val="22"/>
          <w:szCs w:val="22"/>
        </w:rPr>
        <w:t xml:space="preserve">9</w:t>
      </w:r>
    </w:p>
    <w:p>
      <w:pPr>
        <w:tabs>
          <w:tab w:val="right" w:pos="9500" w:leader="dot"/>
        </w:tabs>
        <w:spacing w:after="160"/>
      </w:pPr>
      <w:r>
        <w:rPr>
          <w:rFonts w:ascii="Calibri" w:cs="Calibri" w:eastAsia="Calibri" w:hAnsi="Calibri"/>
          <w:color w:val="0B2E33"/>
          <w:sz w:val="22"/>
          <w:szCs w:val="22"/>
        </w:rPr>
        <w:t xml:space="preserve">Founder Action Sheet</w:t>
      </w:r>
      <w:r>
        <w:ptab w:alignment="right" w:relativeTo="margin" w:leader="dot"/>
      </w:r>
      <w:r>
        <w:rPr>
          <w:rFonts w:ascii="Calibri" w:cs="Calibri" w:eastAsia="Calibri" w:hAnsi="Calibri"/>
          <w:color w:val="0B2E33"/>
          <w:sz w:val="22"/>
          <w:szCs w:val="22"/>
        </w:rPr>
        <w:t xml:space="preserve">10</w:t>
      </w:r>
    </w:p>
    <w:p>
      <w:pPr>
        <w:tabs>
          <w:tab w:val="right" w:pos="9500" w:leader="dot"/>
        </w:tabs>
        <w:spacing w:after="160"/>
      </w:pPr>
      <w:r>
        <w:rPr>
          <w:rFonts w:ascii="Calibri" w:cs="Calibri" w:eastAsia="Calibri" w:hAnsi="Calibri"/>
          <w:color w:val="0B2E33"/>
          <w:sz w:val="22"/>
          <w:szCs w:val="22"/>
        </w:rPr>
        <w:t xml:space="preserve">Sustainability Verdict</w:t>
      </w:r>
      <w:r>
        <w:ptab w:alignment="right" w:relativeTo="margin" w:leader="dot"/>
      </w:r>
      <w:r>
        <w:rPr>
          <w:rFonts w:ascii="Calibri" w:cs="Calibri" w:eastAsia="Calibri" w:hAnsi="Calibri"/>
          <w:color w:val="0B2E33"/>
          <w:sz w:val="22"/>
          <w:szCs w:val="22"/>
        </w:rPr>
        <w:t xml:space="preserve">10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Executive Summary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The Startup, in 8 Bullets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Bhumiputra is an AI prototype that classifies soil type from a smartphone photo and generates crop, fertilizer, and organic-pesticide recommendations.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Primary customer: small &amp; medium Indian farmers (0.5–4 hectares), B2C. Secondary: agri-dealers, NGOs, KVKs, agricultural universities, and AgriTech firms (B2B/B2G).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Currently pre-revenue and pre-launch — a working prototype with a trained classification model, but zero farmer interviews and zero paying users.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Competitors (Plantix, AgroStar, DeHaat, CropIn, BharatAgri, Fasal) are well-funded, but none lead with soil-first AI classification — a genuine positioning gap.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MVP scope is locked: photo → classify → recommend flow, offline capture, local-language UI, and a free no-signup first scan.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Pricing hypothesis: freemium for farmers (no paywall) + paid B2B/B2G institutional pilots, directionally ₹10–30 per farmer per season — entirely untested.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30-day plan: lock scope → build → pilot with 25–30 real farmers → iterate and open 2 B2B/NGO pricing conversations.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Blueprint verdict: “Promising but Unvalidated” — the problem and technology are validated; the customer and monetization are not.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Extracted Assumptions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0"/>
      </w:tblGrid>
      <w:tr>
        <w:trPr>
          <w:tblHeader/>
        </w:trPr>
        <w:tc>
          <w:tcPr>
            <w:tcW w:type="dxa" w:w="33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1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 Extracted from the Blueprint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Primary B2C farmer + secondary B2B/B2G intermediaries — untested; zero direct farmer interviews to date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MVP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Single scan → classify → recommend flow is well-scoped, but model accuracy is unproven on diverse real-world regional soils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Instant, free alternative to slow/costly formal soil testing — assumes farmers will trust AI output over dealer advice or tradition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Pricing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Institutions (dealers/NGOs/govt) will pay when individual farmers won’t — no institutional conversation has happened yet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₹10–30/farmer/season via B2B channel is a placeholder number, not derived from any real pricing conversation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GTM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Trusted intermediaries (KVK, NGO, dealer) will grant distribution access — no channel relationship is currently confirmed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4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Business Reality Check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Who Pays?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 the farmer, at least not in the MVP. The real payer, if this becomes a business, is an institutional buyer: an agri-input dealer, an NGO running a farmer-development program, a KVK/government extension office, or an AgriTech company licensing the engine. This is a B2B2C/B2G revenue model wearing a B2C adoption strategy — a distinction the blueprint has not yet fully reasoned through, because no institutional conversation has happened yet.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Why Do They Pay?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Dealers: a value-added tool that drives loyalty and cross-sells inputs (fertilizer, pesticide) — hypothesized, not confirmed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NGOs / KVKs: a scalable extension tool to reach more farmers without proportionally more agronomists — hypothesized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Government: a public-service deliverable aligned with precision-agriculture and Digital Agriculture Mission priorities — hypothesized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C0392B"/>
          <w:sz w:val="20"/>
          <w:szCs w:val="20"/>
        </w:rPr>
        <w:t xml:space="preserve">None of these “why” reasons have been tested with a real institutional buyer conversation. This is the single biggest revenue risk in the plan.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How Will They Discover the Product?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Planned channels are entirely intermediary-dependent: KVK/agri-university partnerships, agri-dealer relationships, NGO distribution, and organic reach via farmer WhatsApp groups and YouTube. Bhumiputra currently has no owned distribution and no confirmed relationship with any of these gatekeepers.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Biggest Growth Risks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Zero existing relationships with any distribution gatekeeper — the entire GTM depends on cold outreach succeeding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Solo founder, no funding or team to run parallel pilots across multiple regions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Long, seasonal agricultural sales cycles will slow institutional pilot signing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Trust deficit — farmers are skeptical of AI advice without a human or institutional stamp of approval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Biggest Monetization Risks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No willingness-to-pay evidence at any layer — farmer, dealer, NGO, or government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Government/NGO sales cycles are slow and often grant-dependent, not recurring revenue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 free-only farmer experience may harden a permanent zero-cost expectation, complicating future B2C monetization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Field accuracy failures could undermine institutional trust before any contract is signed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Weakest Assumptions to Validate Immediately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That any institutional buyer will actually pay ₹10–30/farmer/season — an untested, unanchored price point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That farmers will trust and act on AI soil advice without a human intermediary present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That soil classification accuracy generalizes across diverse real-world regional soils, not just the curated academic dataset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That KVKs/NGOs will grant pilot access to a solo student founder with no track record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That free-scan adoption converts into institutional interest, rather than institutions seeing no reason to pay for something already free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Business Strategy Report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Business Model Canvas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6260"/>
      </w:tblGrid>
      <w:tr>
        <w:trPr>
          <w:tblHeader/>
        </w:trPr>
        <w:tc>
          <w:tcPr>
            <w:tcW w:type="dxa" w:w="314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626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Key Partners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KVKs &amp; agricultural universities · NGOs · agri-input dealers · state agriculture departments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Model training &amp; accuracy improvement · farmer pilot operations · institutional partnership development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Key Resources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Trained soil-classification model · founder's AI/ML skillset · (future) regional soil-image dataset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Instant, free, soil-first AI recommendation replacing slow, costly, inaccessible formal soil testing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 Relationships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Self-serve app for farmers · relationship-managed pilots for institutional partners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Channels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KVK/university pilots · agri-dealer co-marketing · NGO distribution · WhatsApp/YouTube organic reach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 Segments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Smallholder farmers (B2C, primary) · dealers/NGOs/government/AgriTech firms (B2B/B2G, secondary)</w:t>
            </w:r>
          </w:p>
        </w:tc>
      </w:tr>
      <w:tr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Cost Structure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Founder time (unpaid) · model training/compute · field pilot logistics · (future) hosting &amp; support</w:t>
            </w:r>
          </w:p>
        </w:tc>
      </w:tr>
      <w:tr>
        <w:tc>
          <w:tcPr>
            <w:tcW w:type="dxa" w:w="314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 Streams</w:t>
            </w:r>
          </w:p>
        </w:tc>
        <w:tc>
          <w:tcPr>
            <w:tcW w:type="dxa" w:w="626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₹0 farmer tier (adoption) · B2B pilot license ≈ ₹10–30/farmer/season (hypothesis) · B2G grants/contracts (hypothesis)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Revenue &amp; Pricing Strategy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Treat the free B2C tier as a distribution and data-collection engine, not a revenue engine. All near-term monetization validation should focus on one or two B2B/B2G pilot partners — proving one paying relationship is worth more than 10,000 free farmer downloads.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34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34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Farmer (B2C)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Free core scan, no paywall — adoption over monetization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Live in MVP, ₹0 revenue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Dealer / NGO (B2B)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Directional ₹10–30 per farmer per season, pilot license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Untested hypothesis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Government / KVK (B2G)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Grant-funded or contract-based deployment, not per-user fee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Untested hypothesis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Future: Data Layer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Aggregated, anonymized soil/crop insights licensed to input companies or insurers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 yet in scope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Go-To-Market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100"/>
      </w:tblGrid>
      <w:tr>
        <w:trPr>
          <w:tblHeader/>
        </w:trPr>
        <w:tc>
          <w:tcPr>
            <w:tcW w:type="dxa" w:w="15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1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(Month 1)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Institutional Outreach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Cold-approach KVKs and agri-universities, framed as a free pilot for them — no ask, just access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 (Month 2–3)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Farmer Pilot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Deploy through the institutional channel; capture usage, accuracy, and trust data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 (Month 3–6)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Convert to Paid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Turn 1–2 successful pilot institutions into paying B2B/B2G relationships; use their endorsement to open the next round of doors</w:t>
            </w:r>
          </w:p>
        </w:tc>
      </w:tr>
    </w:tbl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Core principle: distribution via trusted intermediaries, not paid farmer acquisition — paid CAC would be uneconomical against a near-zero ARPU at this stage.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Customer Acquisition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68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KVK / University Partnerships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Primary channel — institutional credibility substitutes for the founder's lack of track record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Agri-Dealer Co-Marketing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Position as a value-add that drives dealer foot traffic and loyalty, not a competitor to their input sales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NGO Distribution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Piggyback on existing farmer-development programs already running in target districts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 / YouTube Organic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Low-cost farmer-facing awareness; supports but does not replace institutional channels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Referral Loop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Season-cycle check-ins and peer-proof prompts from early satisfied pilot farmers</w:t>
            </w:r>
          </w:p>
        </w:tc>
      </w:tr>
    </w:tbl>
    <w:p>
      <w:r>
        <w:br w:type="page"/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First 100 Users Plan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Partner with 2–3 KVKs or agri-universities for in-person demo days in one target district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Co-market through 2–3 local agri-input dealers willing to host a demo counter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Seed adoption via 3–5 village-level farmer WhatsApp groups with a simple video demo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Distribute through 1–2 NGO field programs already active with smallholder farmers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Provide printable/shareable recommendation reports to build trust where literacy or connectivity is low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Turn the first 20–30 satisfied pilot farmers into a referral loop for the next 70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Competitive Position &amp; Moat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70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2400"/>
            <w:shd w:fill="FD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Today</w:t>
            </w:r>
          </w:p>
        </w:tc>
        <w:tc>
          <w:tcPr>
            <w:tcW w:type="dxa" w:w="7000"/>
            <w:shd w:fill="FDEB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defensible moat. Soil-first positioning is a choice, not a structural barrier — it could be replicated quickly by a well-funded incumbent like Plantix or AgroStar</w:t>
            </w:r>
          </w:p>
        </w:tc>
      </w:tr>
      <w:tr>
        <w:tc>
          <w:tcPr>
            <w:tcW w:type="dxa" w:w="24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6–12 Months</w:t>
            </w:r>
          </w:p>
        </w:tc>
        <w:tc>
          <w:tcPr>
            <w:tcW w:type="dxa" w:w="70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proprietary regional soil-image dataset (improves with every scan), institutional trust relationships (KVK/university endorsement), and seasonal usage lock-in (check-ins across the crop cycle) are the moats to build deliberately</w:t>
            </w:r>
          </w:p>
        </w:tc>
      </w:tr>
    </w:tbl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Reality check: at pre-launch stage, Bhumiputra has zero moat. The moat must be earned through the data and relationships accumulated over the next 6–12 months — it does not exist yet.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Reverse SWOT Analysis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standard SWOT lists strengths and weaknesses in isolation. A reverse SWOT stress-tests each one — asking how a strength could backfire, and how a weakness could hide an opportunity.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3500"/>
      </w:tblGrid>
      <w:tr>
        <w:trPr>
          <w:tblHeader/>
        </w:trPr>
        <w:tc>
          <w:tcPr>
            <w:tcW w:type="dxa" w:w="235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5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 Stated</w:t>
            </w:r>
          </w:p>
        </w:tc>
        <w:tc>
          <w:tcPr>
            <w:tcW w:type="dxa" w:w="35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Reverse Read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Strength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Working AI prototype, technically validated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 create false confidence that the hard part is done — it isn't; the customer problem is unsolved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Weakness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farmer validation, no revenue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Forces a disciplined 30-day pilot now, before capital or ego is committed to the wrong assumptions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Large underserved smallholder market ($974M India AgriTech market)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Size attracts incumbents fast — a visible soil-first niche can be copied by a funded competitor within a quarter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Threat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Well-funded incumbents (Plantix, AgroStar, DeHaat)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Their scale makes them slow to chase a niche this small today — a genuine window to build the moat first</w:t>
            </w:r>
          </w:p>
        </w:tc>
      </w:tr>
    </w:tbl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Investor One-Liner</w:t>
      </w:r>
    </w:p>
    <w:p>
      <w:pPr>
        <w:spacing w:after="14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B2E33"/>
          <w:sz w:val="20"/>
          <w:szCs w:val="20"/>
        </w:rPr>
        <w:t xml:space="preserve">“Bhumiputra is Plantix’s blind spot — AI that scans soil, not symptoms, helping India’s smallholders choose the right crop before they plant, not after they’ve already lost the season.”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30-Second Founder Pitch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“Indian smallholder farmers lose yield and money every season because they can’t afford or access fast soil testing — so they guess on crops and fertilizer. Bhumiputra turns a smartphone photo into an instant, AI-powered soil analysis with crop and fertilizer recommendations, free for farmers. We’re not competing with disease-detection apps like Plantix — we’re solving the decision farmers make before they even plant. Right now we have a working model and a locked MVP; the next 30 days prove that KVKs, NGOs, and dealers will pay to put this in farmers’ hands.”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Investment Scorecard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700"/>
      </w:tblGrid>
      <w:tr>
        <w:trPr>
          <w:tblHeader/>
        </w:trPr>
        <w:tc>
          <w:tcPr>
            <w:tcW w:type="dxa" w:w="24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3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700"/>
            <w:shd w:fill="0B2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Viability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 / 100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Real, evidenced problem and working technology, but zero proven willingness-to-pay at any layer of the value chain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 Potential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 / 100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Large addressable population, but ARPU and pricing are entirely hypothetical; B2B/B2G sales cycles are slow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GTM Strength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 / 100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channel plan is logical, but zero distribution relationships are confirmed with any KVK, dealer, or NGO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Competitive Strength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/ 100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genuine soil-first positioning gap exists, but no moat yet against well-funded incumbents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Investor Readiness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 / 100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Pre-seed: no team, no funding, no revenue, no users — right stage for grants/incubators, too early for institutional capital</w:t>
            </w:r>
          </w:p>
        </w:tc>
      </w:tr>
    </w:tbl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B7A7C"/>
          <w:sz w:val="20"/>
          <w:szCs w:val="20"/>
        </w:rPr>
        <w:t xml:space="preserve">Composite read: the technology and problem framing are ahead of the business. Every score above is capped by the same root cause — the absence of real customer and revenue validation — and every score should rise together once that gap closes.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Visual Dashboard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single-view infographic summarizing the business model, revenue streams, go-to-market flow, first 100 users plan, competitive moat, key risks, investment scorecard, and final verdict.</w:t>
      </w:r>
    </w:p>
    <w:p>
      <w:pPr>
        <w:spacing w:after="0" w:before="160"/>
        <w:jc w:val="center"/>
      </w:pPr>
      <w:r>
        <w:drawing>
          <wp:inline distT="0" distB="0" distL="0" distR="0">
            <wp:extent cx="4953000" cy="665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6B7A7C"/>
          <w:sz w:val="17"/>
          <w:szCs w:val="17"/>
        </w:rPr>
        <w:t xml:space="preserve">Figure 1: Bhumiputra Investment Dashboard — July 2026</w:t>
      </w:r>
    </w:p>
    <w:p>
      <w:r>
        <w:br w:type="page"/>
      </w:r>
    </w:p>
    <w:p>
      <w:pPr>
        <w:pStyle w:val="Heading1"/>
        <w:pBdr>
          <w:bottom w:val="single" w:color="C9A24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Founder Action Sheet — Top 10 Next Actions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Business and distribution-focused (complements the product-focused action sheet already in the MVP Blueprint):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Identify and contact 10 KVKs or agri-universities this week for pilot access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Draft a 1-page institutional pilot pitch — written for a KVK/dealer/NGO decision-maker, not a farmer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Run 3 real farmer field demos and capture video proof / testimonials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Test the ₹10–30/farmer/season price point in one real conversation with a dealer or NGO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Build a simple one-pager or deck for institutional buyers, distinct from the app itself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Set up a WhatsApp-based farmer waitlist to demonstrate organic pull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Identify one government precision-agriculture scheme to align with for a future B2G path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Track and publish weekly farmer-scan and accuracy metrics to build partner and investor credibility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Find a co-founder or advisor with agricultural distribution experience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Apply to 2–3 relevant AgriTech incubators, accelerators, or grant programs for funding and credibility runway</w:t>
      </w:r>
    </w:p>
    <w:p>
      <w:pPr>
        <w:pStyle w:val="Heading1"/>
        <w:pBdr>
          <w:bottom w:val="single" w:color="C9A24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E33"/>
          <w:sz w:val="28"/>
          <w:szCs w:val="28"/>
        </w:rPr>
        <w:t xml:space="preserve">Sustainability Verdict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D68910"/>
          <w:sz w:val="30"/>
          <w:szCs w:val="30"/>
        </w:rPr>
        <w:t xml:space="preserve">🟡  VALIDATE</w:t>
      </w:r>
    </w:p>
    <w:p>
      <w:pPr>
        <w:spacing w:after="14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Bhumiputra has the ingredients of a sustainable business — a real, well-evidenced problem, a working product, and a defensible long-term positioning niche — but it is not yet a business, only a validated technology. Sustainability depends entirely on whether the next 30–90 days convert institutional interest from a KVK, dealer, or NGO into an actual paid pilot; without that, this remains a strong final-year project rather than a fundable startup. Recommended path: validate, not invest — prove one paying institutional relationship before scaling anything else.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7C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6B7A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7C"/>
        <w:sz w:val="16"/>
        <w:szCs w:val="16"/>
      </w:rPr>
      <w:t xml:space="preserve"> of </w:t>
    </w:r>
    <w:r>
      <w:rPr>
        <w:rFonts w:ascii="Calibri" w:cs="Calibri" w:eastAsia="Calibri" w:hAnsi="Calibri"/>
        <w:color w:val="6B7A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A7C"/>
        <w:sz w:val="16"/>
        <w:szCs w:val="16"/>
      </w:rPr>
      <w:t xml:space="preserve">Bhumiputra — Business Strategy &amp; Investment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eeefcebec59b257f790e3e0ef2dbebb0f6ba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2026-07-16T11:45:17.868Z</dcterms:created>
  <dcterms:modified xsi:type="dcterms:W3CDTF">2026-07-16T11:45:17.869Z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