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F6B78"/>
          <w:sz w:val="26"/>
        </w:rPr>
        <w:t>CONCEPT NOTE</w:t>
      </w:r>
    </w:p>
    <w:p>
      <w:pPr>
        <w:pStyle w:val="Title"/>
        <w:jc w:val="center"/>
      </w:pPr>
      <w:r>
        <w:t>KONKAN OFFSHORE SKILLS,</w:t>
        <w:br/>
        <w:t>UNDERWATER TECHNOLOGY &amp;</w:t>
        <w:br/>
        <w:t>MARINE ROBOTICS PARK</w:t>
      </w:r>
    </w:p>
    <w:p>
      <w:pPr>
        <w:jc w:val="center"/>
      </w:pPr>
      <w:r>
        <w:rPr>
          <w:b/>
          <w:color w:val="1F4E78"/>
          <w:sz w:val="40"/>
        </w:rPr>
        <w:t>(KOSMTP)</w:t>
      </w:r>
    </w:p>
    <w:p>
      <w:pPr>
        <w:spacing w:before="360"/>
        <w:jc w:val="center"/>
      </w:pPr>
      <w:r>
        <w:rPr>
          <w:sz w:val="26"/>
        </w:rPr>
        <w:t>A Public–Private Partnership Initiative for Maritime Skills,</w:t>
        <w:br/>
        <w:t>Underwater Systems, Autonomous Marine Craft and Blue Economy Growth</w:t>
      </w:r>
    </w:p>
    <w:tbl>
      <w:tblPr>
        <w:tblW w:type="auto" w:w="0"/>
        <w:jc w:val="center"/>
        <w:tblLook w:firstColumn="1" w:firstRow="1" w:lastColumn="0" w:lastRow="0" w:noHBand="0" w:noVBand="1" w:val="04A0"/>
      </w:tblPr>
      <w:tblGrid>
        <w:gridCol w:w="5040"/>
        <w:gridCol w:w="5040"/>
      </w:tblGrid>
      <w:tr>
        <w:tc>
          <w:tcPr>
            <w:tcW w:type="dxa" w:w="5040"/>
            <w:shd w:fill="17365D"/>
            <w:vAlign w:val="center"/>
          </w:tcPr>
          <w:p>
            <w:r/>
            <w:r>
              <w:rPr>
                <w:b/>
                <w:color w:val="FFFFFF"/>
                <w:sz w:val="18"/>
              </w:rPr>
              <w:t>PROPOSED LOCATION</w:t>
            </w:r>
          </w:p>
        </w:tc>
        <w:tc>
          <w:tcPr>
            <w:tcW w:type="dxa" w:w="5040"/>
            <w:shd w:fill="F3F6F9"/>
            <w:vAlign w:val="center"/>
          </w:tcPr>
          <w:p>
            <w:r/>
            <w:r>
              <w:rPr>
                <w:b w:val="0"/>
                <w:color w:val="17365D"/>
                <w:sz w:val="19"/>
              </w:rPr>
              <w:t>Vijaydurg Port / Creek Region, Sindhudurg District, Maharashtra</w:t>
            </w:r>
          </w:p>
        </w:tc>
      </w:tr>
      <w:tr>
        <w:tc>
          <w:tcPr>
            <w:tcW w:type="dxa" w:w="5040"/>
            <w:shd w:fill="17365D"/>
            <w:vAlign w:val="center"/>
          </w:tcPr>
          <w:p>
            <w:r/>
            <w:r>
              <w:rPr>
                <w:b/>
                <w:color w:val="FFFFFF"/>
                <w:sz w:val="18"/>
              </w:rPr>
              <w:t>PROMOTED BY</w:t>
            </w:r>
          </w:p>
        </w:tc>
        <w:tc>
          <w:tcPr>
            <w:tcW w:type="dxa" w:w="5040"/>
            <w:shd w:fill="F3F6F9"/>
            <w:vAlign w:val="center"/>
          </w:tcPr>
          <w:p>
            <w:r/>
            <w:r>
              <w:rPr>
                <w:b w:val="0"/>
                <w:color w:val="17365D"/>
                <w:sz w:val="19"/>
              </w:rPr>
              <w:t>Nirvidhi Marine Pvt. Ltd.</w:t>
            </w:r>
          </w:p>
        </w:tc>
      </w:tr>
      <w:tr>
        <w:tc>
          <w:tcPr>
            <w:tcW w:type="dxa" w:w="5040"/>
            <w:shd w:fill="17365D"/>
            <w:vAlign w:val="center"/>
          </w:tcPr>
          <w:p>
            <w:r/>
            <w:r>
              <w:rPr>
                <w:b/>
                <w:color w:val="FFFFFF"/>
                <w:sz w:val="18"/>
              </w:rPr>
              <w:t>DOCUMENT</w:t>
            </w:r>
          </w:p>
        </w:tc>
        <w:tc>
          <w:tcPr>
            <w:tcW w:type="dxa" w:w="5040"/>
            <w:shd w:fill="F3F6F9"/>
            <w:vAlign w:val="center"/>
          </w:tcPr>
          <w:p>
            <w:r/>
            <w:r>
              <w:rPr>
                <w:b w:val="0"/>
                <w:color w:val="17365D"/>
                <w:sz w:val="19"/>
              </w:rPr>
              <w:t>Government Engagement Concept Note</w:t>
            </w:r>
          </w:p>
        </w:tc>
      </w:tr>
      <w:tr>
        <w:tc>
          <w:tcPr>
            <w:tcW w:type="dxa" w:w="5040"/>
            <w:shd w:fill="17365D"/>
            <w:vAlign w:val="center"/>
          </w:tcPr>
          <w:p>
            <w:r/>
            <w:r>
              <w:rPr>
                <w:b/>
                <w:color w:val="FFFFFF"/>
                <w:sz w:val="18"/>
              </w:rPr>
              <w:t>STRATEGIC POSITIONING</w:t>
            </w:r>
          </w:p>
        </w:tc>
        <w:tc>
          <w:tcPr>
            <w:tcW w:type="dxa" w:w="5040"/>
            <w:shd w:fill="F3F6F9"/>
            <w:vAlign w:val="center"/>
          </w:tcPr>
          <w:p>
            <w:r>
              <w:t>Skills + Maritime Living Lab + Asset Integrity Services + Applied Research &amp; Data + Marine Robotics Assembly/MRO</w:t>
            </w:r>
          </w:p>
        </w:tc>
      </w:tr>
    </w:tbl>
    <w:p>
      <w:pPr>
        <w:spacing w:before="600"/>
        <w:jc w:val="center"/>
      </w:pPr>
      <w:r>
        <w:rPr>
          <w:b/>
          <w:color w:val="0F6B78"/>
          <w:sz w:val="22"/>
        </w:rPr>
        <w:t>MMB PRESENTATION EDITION</w:t>
      </w:r>
    </w:p>
    <w:p>
      <w:r/>
    </w:p>
    <w:p>
      <w:pPr>
        <w:pStyle w:val="Heading1"/>
        <w:keepNext/>
      </w:pPr>
      <w:r>
        <w:t>1. EXECUTIVE SUMMARY</w:t>
      </w:r>
    </w:p>
    <w:p>
      <w:r>
        <w:t>The Konkan Offshore Skills, Underwater Technology &amp; Marine Robotics Park (KOSMTP) is proposed as an integrated maritime capability, training, applied research, technology-development and sea-validation ecosystem in the Vijaydurg Port / Creek Region of Sindhudurg District, Maharashtra. Its operating architecture is strengthened through four market-facing strategic facilities: the Vijaydurg Maritime Living Lab and Sea-Validation Facility; the Marine Asset Integrity and Inspection Services Centre; the Applied Research and Maritime Data Centre; and the Marine Robotics Assembly, Repair and MRO Cluster.</w:t>
      </w:r>
    </w:p>
    <w:p>
      <w:r>
        <w:t>KOSMTP is conceived as a maritime capability, education, applied research and technology-development ecosystem rather than a stand-alone training institution. It will connect skills, real marine assignments, research, prototype engineering, assembly, maintenance, field testing and commercial deployment. The proposed model enables each inspection or sea-trial assignment to generate revenue, trainee field experience, research data, technology validation and opportunities for indigenous suppliers and startups.</w:t>
      </w:r>
    </w:p>
    <w:p>
      <w:r>
        <w:t>The project is proposed under a Public–Private Partnership (PPP) framework, with public-sector facilitation for suitable waterfront land, connectivity, approvals and institutional convergence, and private-sector responsibility for capital deployment, technology partnerships, programme delivery, operations, maintenance and market development.</w:t>
      </w:r>
      <w:r>
        <w:t xml:space="preserve"> The vocational education architecture will be developed in consultation with the Hydrocarbon Sector Skill Council (HSSC), an NCVET-recognised Awarding Body with pan-India jurisdiction, and mapped to the National Skills Qualification Framework (NSQF). International benchmarking will draw on applicable IMCA guidance and IDSA diver-training standards, while all claims of recognition, approval or certification will remain subject to formal authorisation by the relevant body.</w:t>
      </w:r>
    </w:p>
    <w:tbl>
      <w:tblPr>
        <w:tblW w:type="auto" w:w="0"/>
        <w:jc w:val="center"/>
        <w:tblLook w:firstColumn="1" w:firstRow="1" w:lastColumn="0" w:lastRow="0" w:noHBand="0" w:noVBand="1" w:val="04A0"/>
      </w:tblPr>
      <w:tblGrid>
        <w:gridCol w:w="10080"/>
      </w:tblGrid>
      <w:tr>
        <w:tc>
          <w:tcPr>
            <w:tcW w:type="dxa" w:w="10080"/>
            <w:shd w:fill="EAF2F8"/>
          </w:tcPr>
          <w:p>
            <w:r>
              <w:t>Strategic proposition</w:t>
              <w:br/>
              <w:t>Vijaydurg can support a learn–research–design–assemble–test–validate–deploy ecosystem. The four strategic operating engines are: (1) a Maritime Living Lab and Sea-Validation Facility, (2) an Asset Integrity and Inspection Services Centre, (3) an Applied Research and Maritime Data Centre, and (4) a Marine Robotics Assembly, Repair and MRO Cluster.</w:t>
            </w:r>
          </w:p>
        </w:tc>
      </w:tr>
    </w:tbl>
    <w:p>
      <w:pPr>
        <w:spacing w:after="0"/>
      </w:pPr>
    </w:p>
    <w:p>
      <w:r>
        <w:t>The concept is aligned at policy level with the port-led development and coastal community development logic of Sagarmala, the renewed shipbuilding/repair and maritime-investment emphasis under Sagarmala 2.0, the Research–Innovation–Startups–Entrepreneurship orientation of the Sagarmala Startup Innovation Initiative, and the broader technology, skill and maritime-capability direction of Maritime India Vision 2030 and Maritime Amrit Kaal Vision 2047.</w:t>
      </w:r>
    </w:p>
    <w:p>
      <w:pPr>
        <w:pStyle w:val="Heading1"/>
        <w:keepNext/>
      </w:pPr>
      <w:r>
        <w:t>2. STRATEGIC RATIONALE AND CAPABILITY GAP</w:t>
      </w:r>
    </w:p>
    <w:p>
      <w:r>
        <w:t>India's maritime economy is expanding across ports, coastal infrastructure, offshore energy, subsea utilities, shipbuilding, repair, marine logistics, hydrography, environmental monitoring and maritime security. Each of these sectors increasingly depends on specialised underwater competence and unmanned or autonomous systems. However, training, prototype engineering, test infrastructure and operational service capability are often institutionally separated.</w:t>
      </w:r>
    </w:p>
    <w:p>
      <w:r>
        <w:t>KOSMTP addresses this fragmentation by integrating seven mutually reinforcing capability layers:</w:t>
      </w:r>
    </w:p>
    <w:p>
      <w:pPr>
        <w:pStyle w:val="ListNumber"/>
        <w:spacing w:after="40"/>
      </w:pPr>
      <w:r>
        <w:t>Human capability — job-linked underwater, diving-support, ROV, AUV, USV, inspection, NDT, survey and marine-systems courses.</w:t>
      </w:r>
    </w:p>
    <w:p>
      <w:pPr>
        <w:pStyle w:val="ListNumber"/>
        <w:spacing w:after="40"/>
      </w:pPr>
      <w:r>
        <w:t>Technology capability — design, assembly, integration and localisation of compact and medium-class underwater and surface robotic platforms.</w:t>
      </w:r>
    </w:p>
    <w:p>
      <w:pPr>
        <w:pStyle w:val="ListNumber"/>
        <w:spacing w:after="40"/>
      </w:pPr>
      <w:r>
        <w:t>Test capability — simulation, tank/pool evaluation, sheltered-water testing, harbour/creek trials and progressive sea validation.</w:t>
      </w:r>
    </w:p>
    <w:p>
      <w:pPr>
        <w:pStyle w:val="ListNumber"/>
        <w:spacing w:after="40"/>
      </w:pPr>
      <w:r>
        <w:t>Service capability — inspection, survey, bathymetry, hull and infrastructure assessment, environmental data acquisition and asset-integrity support.</w:t>
      </w:r>
    </w:p>
    <w:p>
      <w:pPr>
        <w:pStyle w:val="ListNumber"/>
        <w:spacing w:after="40"/>
      </w:pPr>
      <w:r>
        <w:t>Innovation capability — industry problem statements, academic research, startup incubation, demonstrators, digital twins, autonomy software and indigenous payload development.</w:t>
      </w:r>
    </w:p>
    <w:p>
      <w:pPr>
        <w:pStyle w:val="ListNumber"/>
      </w:pPr>
      <w:r>
        <w:t>Data capability — creation of governed marine datasets, digital asset records, mission logs, condition histories and digital twins.</w:t>
      </w:r>
    </w:p>
    <w:p>
      <w:pPr>
        <w:pStyle w:val="ListNumber"/>
      </w:pPr>
      <w:r>
        <w:t>Lifecycle capability — assembly, localisation, maintenance, repair, overhaul, spares and field support for marine robotic systems.</w:t>
      </w:r>
    </w:p>
    <w:p>
      <w:r>
        <w:t>This integrated model is intended to reduce the gap between course completion and field readiness. Trainees should learn on real systems; engineers should design against operational requirements; prototypes should be validated through structured test protocols; and commercial/defence users should be able to evaluate technologies in realistic marine conditions, subject to applicable security, export-control, navigation, spectrum, environmental and defence regulations.</w:t>
      </w:r>
    </w:p>
    <w:p>
      <w:pPr>
        <w:pStyle w:val="Heading1"/>
        <w:keepNext/>
      </w:pPr>
      <w:r>
        <w:t>3. WHY VIJAYDURG: NATURAL-HARBOUR AND TEST-ECOSYSTEM LOGIC</w:t>
      </w:r>
    </w:p>
    <w:p>
      <w:r>
        <w:t>Vijaydurg is proposed as the preferred location because the port is situated at the mouth of Vijaydurg Creek and is widely described as a natural harbour. The creek–harbour–open-sea transition is strategically valuable for a marine technology campus because it can enable graduated training and validation rather than forcing early-stage systems directly into exposed offshore conditions.</w:t>
      </w:r>
    </w:p>
    <w:p>
      <w:pPr>
        <w:pStyle w:val="Heading2"/>
        <w:keepNext/>
      </w:pPr>
      <w:r>
        <w:t>3.1 Location advantages</w:t>
      </w:r>
    </w:p>
    <w:p>
      <w:pPr>
        <w:pStyle w:val="ListBullet"/>
        <w:spacing w:after="40"/>
        <w:ind w:left="360"/>
      </w:pPr>
      <w:r>
        <w:t>Natural-harbour character: a protected coastal setting provides a stronger conceptual basis for marine training, berthing, launch/recovery practice and initial trials than a purely exposed shoreline.</w:t>
      </w:r>
    </w:p>
    <w:p>
      <w:pPr>
        <w:pStyle w:val="ListBullet"/>
        <w:spacing w:after="40"/>
        <w:ind w:left="360"/>
      </w:pPr>
      <w:r>
        <w:t>Creek environment: useful for low-speed manoeuvring, navigation-algorithm development, acoustic/sensor experimentation, bathymetric exercises and supervised operator training, subject to permissions and local-use safeguards.</w:t>
      </w:r>
    </w:p>
    <w:p>
      <w:pPr>
        <w:pStyle w:val="ListBullet"/>
        <w:spacing w:after="40"/>
        <w:ind w:left="360"/>
      </w:pPr>
      <w:r>
        <w:t>Progressive test envelope: systems can conceptually progress from laboratory and simulator to tank/pool, sheltered water, harbour/creek and finally offshore validation.</w:t>
      </w:r>
    </w:p>
    <w:p>
      <w:pPr>
        <w:pStyle w:val="ListBullet"/>
        <w:spacing w:after="40"/>
        <w:ind w:left="360"/>
      </w:pPr>
      <w:r>
        <w:t>West-coast relevance: the location can serve Maharashtra and the wider western maritime corridor, including ports, coastal assets, offshore operators, shipyards, research institutions and maritime-security stakeholders.</w:t>
      </w:r>
    </w:p>
    <w:p>
      <w:pPr>
        <w:pStyle w:val="ListBullet"/>
        <w:spacing w:after="40"/>
        <w:ind w:left="360"/>
      </w:pPr>
      <w:r>
        <w:t>Coastal workforce opportunity: a specialised campus can create new technical career pathways for Sindhudurg youth beyond conventional seasonal coastal employment.</w:t>
      </w:r>
    </w:p>
    <w:p>
      <w:pPr>
        <w:pStyle w:val="ListBullet"/>
        <w:spacing w:after="40"/>
        <w:ind w:left="360"/>
      </w:pPr>
      <w:r>
        <w:t>Potential cluster effect: workshops, fabrication, electronics, composites, marine services, logistics, accommodation and specialist MSMEs can develop around the core campus.</w:t>
      </w:r>
    </w:p>
    <w:p>
      <w:pPr>
        <w:pStyle w:val="Heading2"/>
        <w:keepNext/>
      </w:pPr>
      <w:r>
        <w:t>3.2 Natural harbour justification for KOSMTP</w:t>
      </w:r>
    </w:p>
    <w:tbl>
      <w:tblPr>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b/>
                <w:color w:val="FFFFFF"/>
                <w:sz w:val="18"/>
              </w:rPr>
              <w:t>Vijaydurg characteristic</w:t>
            </w:r>
          </w:p>
        </w:tc>
        <w:tc>
          <w:tcPr>
            <w:tcW w:type="dxa" w:w="3360"/>
            <w:shd w:fill="17365D"/>
            <w:vAlign w:val="center"/>
          </w:tcPr>
          <w:p>
            <w:r/>
            <w:r>
              <w:rPr>
                <w:b/>
                <w:color w:val="FFFFFF"/>
                <w:sz w:val="18"/>
              </w:rPr>
              <w:t>KOSMTP relevance</w:t>
            </w:r>
          </w:p>
        </w:tc>
        <w:tc>
          <w:tcPr>
            <w:tcW w:type="dxa" w:w="3360"/>
            <w:shd w:fill="17365D"/>
            <w:vAlign w:val="center"/>
          </w:tcPr>
          <w:p>
            <w:r/>
            <w:r>
              <w:rPr>
                <w:b/>
                <w:color w:val="FFFFFF"/>
                <w:sz w:val="18"/>
              </w:rPr>
              <w:t>Indicative activity</w:t>
            </w:r>
          </w:p>
        </w:tc>
      </w:tr>
      <w:tr>
        <w:tc>
          <w:tcPr>
            <w:tcW w:type="dxa" w:w="3360"/>
            <w:shd w:fill="F7F9FB"/>
            <w:vAlign w:val="center"/>
          </w:tcPr>
          <w:p>
            <w:r/>
            <w:r>
              <w:rPr>
                <w:b w:val="0"/>
                <w:sz w:val="17"/>
              </w:rPr>
              <w:t>Sheltered harbour / creek setting</w:t>
            </w:r>
          </w:p>
        </w:tc>
        <w:tc>
          <w:tcPr>
            <w:tcW w:type="dxa" w:w="3360"/>
            <w:shd w:fill="F7F9FB"/>
            <w:vAlign w:val="center"/>
          </w:tcPr>
          <w:p>
            <w:r/>
            <w:r>
              <w:rPr>
                <w:b w:val="0"/>
                <w:sz w:val="17"/>
              </w:rPr>
              <w:t>Lower-risk progression for early training and prototype trials</w:t>
            </w:r>
          </w:p>
        </w:tc>
        <w:tc>
          <w:tcPr>
            <w:tcW w:type="dxa" w:w="3360"/>
            <w:shd w:fill="F7F9FB"/>
            <w:vAlign w:val="center"/>
          </w:tcPr>
          <w:p>
            <w:r/>
            <w:r>
              <w:rPr>
                <w:b w:val="0"/>
                <w:sz w:val="17"/>
              </w:rPr>
              <w:t>Launch/recovery drills, low-speed autonomy, operator familiarisation</w:t>
            </w:r>
          </w:p>
        </w:tc>
      </w:tr>
      <w:tr>
        <w:tc>
          <w:tcPr>
            <w:tcW w:type="dxa" w:w="3360"/>
            <w:shd w:fill="FFFFFF"/>
            <w:vAlign w:val="center"/>
          </w:tcPr>
          <w:p>
            <w:r/>
            <w:r>
              <w:rPr>
                <w:b w:val="0"/>
                <w:sz w:val="17"/>
              </w:rPr>
              <w:t>Transition to coastal waters</w:t>
            </w:r>
          </w:p>
        </w:tc>
        <w:tc>
          <w:tcPr>
            <w:tcW w:type="dxa" w:w="3360"/>
            <w:shd w:fill="FFFFFF"/>
            <w:vAlign w:val="center"/>
          </w:tcPr>
          <w:p>
            <w:r/>
            <w:r>
              <w:rPr>
                <w:b w:val="0"/>
                <w:sz w:val="17"/>
              </w:rPr>
              <w:t>Graduated validation under increasingly realistic conditions</w:t>
            </w:r>
          </w:p>
        </w:tc>
        <w:tc>
          <w:tcPr>
            <w:tcW w:type="dxa" w:w="3360"/>
            <w:shd w:fill="FFFFFF"/>
            <w:vAlign w:val="center"/>
          </w:tcPr>
          <w:p>
            <w:r/>
            <w:r>
              <w:rPr>
                <w:b w:val="0"/>
                <w:sz w:val="17"/>
              </w:rPr>
              <w:t>Endurance, navigation, communications and payload trials</w:t>
            </w:r>
          </w:p>
        </w:tc>
      </w:tr>
      <w:tr>
        <w:tc>
          <w:tcPr>
            <w:tcW w:type="dxa" w:w="3360"/>
            <w:shd w:fill="F7F9FB"/>
            <w:vAlign w:val="center"/>
          </w:tcPr>
          <w:p>
            <w:r/>
            <w:r>
              <w:rPr>
                <w:b w:val="0"/>
                <w:sz w:val="17"/>
              </w:rPr>
              <w:t>Waterfront operating context</w:t>
            </w:r>
          </w:p>
        </w:tc>
        <w:tc>
          <w:tcPr>
            <w:tcW w:type="dxa" w:w="3360"/>
            <w:shd w:fill="F7F9FB"/>
            <w:vAlign w:val="center"/>
          </w:tcPr>
          <w:p>
            <w:r/>
            <w:r>
              <w:rPr>
                <w:b w:val="0"/>
                <w:sz w:val="17"/>
              </w:rPr>
              <w:t>Supports field-oriented skill delivery</w:t>
            </w:r>
          </w:p>
        </w:tc>
        <w:tc>
          <w:tcPr>
            <w:tcW w:type="dxa" w:w="3360"/>
            <w:shd w:fill="F7F9FB"/>
            <w:vAlign w:val="center"/>
          </w:tcPr>
          <w:p>
            <w:r/>
            <w:r>
              <w:rPr>
                <w:b w:val="0"/>
                <w:sz w:val="17"/>
              </w:rPr>
              <w:t>Diving support, ROV operations, inspection exercises</w:t>
            </w:r>
          </w:p>
        </w:tc>
      </w:tr>
      <w:tr>
        <w:tc>
          <w:tcPr>
            <w:tcW w:type="dxa" w:w="3360"/>
            <w:shd w:fill="FFFFFF"/>
            <w:vAlign w:val="center"/>
          </w:tcPr>
          <w:p>
            <w:r/>
            <w:r>
              <w:rPr>
                <w:b w:val="0"/>
                <w:sz w:val="17"/>
              </w:rPr>
              <w:t>Port and coastal asset context</w:t>
            </w:r>
          </w:p>
        </w:tc>
        <w:tc>
          <w:tcPr>
            <w:tcW w:type="dxa" w:w="3360"/>
            <w:shd w:fill="FFFFFF"/>
            <w:vAlign w:val="center"/>
          </w:tcPr>
          <w:p>
            <w:r/>
            <w:r>
              <w:rPr>
                <w:b w:val="0"/>
                <w:sz w:val="17"/>
              </w:rPr>
              <w:t>Creates realistic commercial problem statements</w:t>
            </w:r>
          </w:p>
        </w:tc>
        <w:tc>
          <w:tcPr>
            <w:tcW w:type="dxa" w:w="3360"/>
            <w:shd w:fill="FFFFFF"/>
            <w:vAlign w:val="center"/>
          </w:tcPr>
          <w:p>
            <w:r/>
            <w:r>
              <w:rPr>
                <w:b w:val="0"/>
                <w:sz w:val="17"/>
              </w:rPr>
              <w:t>Quay, hull, mooring, intake/outfall and bathymetric inspection</w:t>
            </w:r>
          </w:p>
        </w:tc>
      </w:tr>
      <w:tr>
        <w:tc>
          <w:tcPr>
            <w:tcW w:type="dxa" w:w="3360"/>
            <w:shd w:fill="F7F9FB"/>
            <w:vAlign w:val="center"/>
          </w:tcPr>
          <w:p>
            <w:r/>
            <w:r>
              <w:rPr>
                <w:b w:val="0"/>
                <w:sz w:val="17"/>
              </w:rPr>
              <w:t>Regional coastal economy</w:t>
            </w:r>
          </w:p>
        </w:tc>
        <w:tc>
          <w:tcPr>
            <w:tcW w:type="dxa" w:w="3360"/>
            <w:shd w:fill="F7F9FB"/>
            <w:vAlign w:val="center"/>
          </w:tcPr>
          <w:p>
            <w:r/>
            <w:r>
              <w:rPr>
                <w:b w:val="0"/>
                <w:sz w:val="17"/>
              </w:rPr>
              <w:t>Supports local skills and MSME participation</w:t>
            </w:r>
          </w:p>
        </w:tc>
        <w:tc>
          <w:tcPr>
            <w:tcW w:type="dxa" w:w="3360"/>
            <w:shd w:fill="F7F9FB"/>
            <w:vAlign w:val="center"/>
          </w:tcPr>
          <w:p>
            <w:r/>
            <w:r>
              <w:rPr>
                <w:b w:val="0"/>
                <w:sz w:val="17"/>
              </w:rPr>
              <w:t>Technician training, fabrication, maintenance and service enterprises</w:t>
            </w:r>
          </w:p>
        </w:tc>
      </w:tr>
    </w:tbl>
    <w:p>
      <w:r>
        <w:t>Final site selection must follow hydrographic, bathymetric, metocean, environmental, navigation-safety, land-title, coastal-regulation and security due diligence. The 'natural harbour' advantage is therefore a strategic location rationale, not a substitute for statutory site investigations.</w:t>
      </w:r>
    </w:p>
    <w:p>
      <w:pPr>
        <w:pStyle w:val="Heading1"/>
        <w:keepNext/>
      </w:pPr>
      <w:r>
        <w:t>4. PROJECT VISION, MISSION AND OBJECTIVES</w:t>
      </w:r>
    </w:p>
    <w:p>
      <w:pPr>
        <w:pStyle w:val="Heading2"/>
        <w:keepNext/>
      </w:pPr>
      <w:r>
        <w:t>Vision</w:t>
      </w:r>
    </w:p>
    <w:p>
      <w:r>
        <w:t>To establish India's leading integrated waterfront centre for underwater skills, autonomous marine systems, applied marine research, maritime data, asset-integrity services, robotics assembly and sea-validation.</w:t>
      </w:r>
    </w:p>
    <w:p>
      <w:pPr>
        <w:pStyle w:val="Heading2"/>
        <w:keepNext/>
      </w:pPr>
      <w:r>
        <w:t>Mission</w:t>
      </w:r>
    </w:p>
    <w:p>
      <w:r>
        <w:t>To develop skilled manpower, indigenous marine-system capability, applied research, marine data assets and a structured test-to-deployment and lifecycle-support ecosystem while supporting port-led development, coastal employment, Atmanirbhar Bharat and India's long-term Blue Economy objectives.</w:t>
      </w:r>
    </w:p>
    <w:p>
      <w:pPr>
        <w:pStyle w:val="Heading2"/>
        <w:keepNext/>
      </w:pPr>
      <w:r>
        <w:t>Strategic objectives</w:t>
      </w:r>
    </w:p>
    <w:p>
      <w:pPr>
        <w:pStyle w:val="ListBullet"/>
        <w:spacing w:after="40"/>
        <w:ind w:left="360"/>
      </w:pPr>
      <w:r>
        <w:t>Create a nationally relevant Underwater Skills and Marine Robotics Academy.</w:t>
      </w:r>
    </w:p>
    <w:p>
      <w:pPr>
        <w:pStyle w:val="ListBullet"/>
        <w:spacing w:after="40"/>
        <w:ind w:left="360"/>
      </w:pPr>
      <w:r>
        <w:t>Build competency in small-to-medium autonomous underwater and surface craft.</w:t>
      </w:r>
    </w:p>
    <w:p>
      <w:pPr>
        <w:pStyle w:val="ListBullet"/>
        <w:spacing w:after="40"/>
        <w:ind w:left="360"/>
      </w:pPr>
      <w:r>
        <w:t>Provide a structured marine prototype integration and test environment.</w:t>
      </w:r>
    </w:p>
    <w:p>
      <w:pPr>
        <w:pStyle w:val="ListBullet"/>
        <w:spacing w:after="40"/>
        <w:ind w:left="360"/>
      </w:pPr>
      <w:r>
        <w:t>Develop dual-use technology capability for lawful defence and commercial markets.</w:t>
      </w:r>
    </w:p>
    <w:p>
      <w:pPr>
        <w:pStyle w:val="ListBullet"/>
        <w:spacing w:after="40"/>
        <w:ind w:left="360"/>
      </w:pPr>
      <w:r>
        <w:t>Support ports, offshore operators and coastal infrastructure owners with inspection and survey services.</w:t>
      </w:r>
    </w:p>
    <w:p>
      <w:pPr>
        <w:pStyle w:val="ListBullet"/>
        <w:spacing w:after="40"/>
        <w:ind w:left="360"/>
      </w:pPr>
      <w:r>
        <w:t>Enable coastal youth to enter specialised technical occupations.</w:t>
      </w:r>
    </w:p>
    <w:p>
      <w:pPr>
        <w:pStyle w:val="ListBullet"/>
        <w:spacing w:after="40"/>
        <w:ind w:left="360"/>
      </w:pPr>
      <w:r>
        <w:t>Incubate maritime startups and connect research with field validation.</w:t>
      </w:r>
    </w:p>
    <w:p>
      <w:pPr>
        <w:pStyle w:val="ListBullet"/>
        <w:spacing w:after="40"/>
        <w:ind w:left="360"/>
      </w:pPr>
      <w:r>
        <w:t>Create an expandable PPP platform capable of evolving into a National Centre of Excellence.</w:t>
      </w:r>
    </w:p>
    <w:p>
      <w:pPr>
        <w:pStyle w:val="ListBullet"/>
      </w:pPr>
      <w:r>
        <w:t>Establish the Vijaydurg Maritime Living Lab as a professionally governed platform for marine trials and user demonstrations.</w:t>
      </w:r>
    </w:p>
    <w:p>
      <w:pPr>
        <w:pStyle w:val="ListBullet"/>
      </w:pPr>
      <w:r>
        <w:t>Launch revenue-generating port, hull, subsea and coastal asset inspection services from the initial phase.</w:t>
      </w:r>
    </w:p>
    <w:p>
      <w:pPr>
        <w:pStyle w:val="ListBullet"/>
      </w:pPr>
      <w:r>
        <w:t>Create a governed Maritime Data Centre for asset histories, digital twins, research datasets and mission evidence.</w:t>
      </w:r>
    </w:p>
    <w:p>
      <w:pPr>
        <w:pStyle w:val="ListBullet"/>
      </w:pPr>
      <w:r>
        <w:t>Develop a marine robotics assembly, repair and MRO cluster with local supplier and technician participation.</w:t>
      </w:r>
    </w:p>
    <w:p>
      <w:pPr>
        <w:pStyle w:val="Heading1"/>
        <w:keepNext/>
      </w:pPr>
      <w:r>
        <w:t>5. CORE PROJECT COMPONENTS</w:t>
      </w:r>
    </w:p>
    <w:p>
      <w:pPr>
        <w:pStyle w:val="Heading2"/>
        <w:keepNext/>
      </w:pPr>
      <w:r>
        <w:t>5.1 Underwater Skills &amp; Operations Academy</w:t>
      </w:r>
    </w:p>
    <w:p>
      <w:r>
        <w:t>The Academy will be the human-capability anchor of KOSMTP. Course architecture should be modular, competency-based and linked to actual equipment, operating procedures and field exercises. Certification claims will be made only where the relevant approving/accrediting authority has formally recognised the programme.</w:t>
      </w:r>
    </w:p>
    <w:p>
      <w:pPr>
        <w:pStyle w:val="ListBullet"/>
        <w:spacing w:after="40"/>
        <w:ind w:left="360"/>
      </w:pPr>
      <w:r>
        <w:t>Commercial diving orientation and diving-support operations</w:t>
      </w:r>
    </w:p>
    <w:p>
      <w:pPr>
        <w:pStyle w:val="ListBullet"/>
        <w:spacing w:after="40"/>
        <w:ind w:left="360"/>
      </w:pPr>
      <w:r>
        <w:t>Underwater worksite safety, permits, hazard identification and emergency response</w:t>
      </w:r>
    </w:p>
    <w:p>
      <w:pPr>
        <w:pStyle w:val="ListBullet"/>
        <w:spacing w:after="40"/>
        <w:ind w:left="360"/>
      </w:pPr>
      <w:r>
        <w:t>ROV pilot/technician foundation and advanced operations</w:t>
      </w:r>
    </w:p>
    <w:p>
      <w:pPr>
        <w:pStyle w:val="ListBullet"/>
        <w:spacing w:after="40"/>
        <w:ind w:left="360"/>
      </w:pPr>
      <w:r>
        <w:t>AUV mission planning, launch/recovery and data handling</w:t>
      </w:r>
    </w:p>
    <w:p>
      <w:pPr>
        <w:pStyle w:val="ListBullet"/>
        <w:spacing w:after="40"/>
        <w:ind w:left="360"/>
      </w:pPr>
      <w:r>
        <w:t>USV operator and mission-supervision training</w:t>
      </w:r>
    </w:p>
    <w:p>
      <w:pPr>
        <w:pStyle w:val="ListBullet"/>
        <w:spacing w:after="40"/>
        <w:ind w:left="360"/>
      </w:pPr>
      <w:r>
        <w:t>Underwater inspection, visual reporting and digital evidence management</w:t>
      </w:r>
    </w:p>
    <w:p>
      <w:pPr>
        <w:pStyle w:val="ListBullet"/>
        <w:spacing w:after="40"/>
        <w:ind w:left="360"/>
      </w:pPr>
      <w:r>
        <w:t>Marine NDT awareness and role-specific advanced modules through approved pathways</w:t>
      </w:r>
    </w:p>
    <w:p>
      <w:pPr>
        <w:pStyle w:val="ListBullet"/>
        <w:spacing w:after="40"/>
        <w:ind w:left="360"/>
      </w:pPr>
      <w:r>
        <w:t>Hydrographic and bathymetric survey fundamentals</w:t>
      </w:r>
    </w:p>
    <w:p>
      <w:pPr>
        <w:pStyle w:val="ListBullet"/>
        <w:spacing w:after="40"/>
        <w:ind w:left="360"/>
      </w:pPr>
      <w:r>
        <w:t>Sonar, imaging, positioning and underwater navigation fundamentals</w:t>
      </w:r>
    </w:p>
    <w:p>
      <w:pPr>
        <w:pStyle w:val="ListBullet"/>
        <w:spacing w:after="40"/>
        <w:ind w:left="360"/>
      </w:pPr>
      <w:r>
        <w:t>Hyperbaric support operations and chamber technician pathways</w:t>
      </w:r>
    </w:p>
    <w:p>
      <w:pPr>
        <w:pStyle w:val="ListBullet"/>
        <w:spacing w:after="40"/>
        <w:ind w:left="360"/>
      </w:pPr>
      <w:r>
        <w:t>Subsea tooling, connectors, cables, umbilicals and maintenance</w:t>
      </w:r>
    </w:p>
    <w:p>
      <w:pPr>
        <w:pStyle w:val="ListBullet"/>
        <w:spacing w:after="40"/>
        <w:ind w:left="360"/>
      </w:pPr>
      <w:r>
        <w:t>Marine electronics, embedded systems and sensor integration</w:t>
      </w:r>
    </w:p>
    <w:p>
      <w:pPr>
        <w:pStyle w:val="ListBullet"/>
        <w:spacing w:after="40"/>
        <w:ind w:left="360"/>
      </w:pPr>
      <w:r>
        <w:t>Autonomy, mission planning and marine robotics software fundamentals</w:t>
      </w:r>
    </w:p>
    <w:p>
      <w:pPr>
        <w:pStyle w:val="ListBullet"/>
        <w:spacing w:after="40"/>
        <w:ind w:left="360"/>
      </w:pPr>
      <w:r>
        <w:t>Digital twin, simulation and scenario-based operator training</w:t>
      </w:r>
    </w:p>
    <w:p>
      <w:pPr>
        <w:pStyle w:val="Heading2"/>
        <w:keepNext/>
      </w:pPr>
      <w:r>
        <w:t>5.2 Autonomous Underwater Systems Centre — AUV / Hybrid UUV</w:t>
      </w:r>
    </w:p>
    <w:p>
      <w:r>
        <w:t>A dedicated engineering and training centre will focus on compact and medium-class autonomous underwater vehicles and hybrid underwater systems. The emphasis will be on modular platforms that can accept different sensors and mission payloads.</w:t>
      </w:r>
    </w:p>
    <w:p>
      <w:pPr>
        <w:pStyle w:val="ListBullet"/>
        <w:spacing w:after="40"/>
        <w:ind w:left="360"/>
      </w:pPr>
      <w:r>
        <w:t>Hull and pressure-vessel architecture</w:t>
      </w:r>
    </w:p>
    <w:p>
      <w:pPr>
        <w:pStyle w:val="ListBullet"/>
        <w:spacing w:after="40"/>
        <w:ind w:left="360"/>
      </w:pPr>
      <w:r>
        <w:t>Propulsion, buoyancy and trim systems</w:t>
      </w:r>
    </w:p>
    <w:p>
      <w:pPr>
        <w:pStyle w:val="ListBullet"/>
        <w:spacing w:after="40"/>
        <w:ind w:left="360"/>
      </w:pPr>
      <w:r>
        <w:t>Battery and energy-management systems</w:t>
      </w:r>
    </w:p>
    <w:p>
      <w:pPr>
        <w:pStyle w:val="ListBullet"/>
        <w:spacing w:after="40"/>
        <w:ind w:left="360"/>
      </w:pPr>
      <w:r>
        <w:t>Inertial navigation, DVL/GNSS-aided workflows and acoustic positioning</w:t>
      </w:r>
    </w:p>
    <w:p>
      <w:pPr>
        <w:pStyle w:val="ListBullet"/>
        <w:spacing w:after="40"/>
        <w:ind w:left="360"/>
      </w:pPr>
      <w:r>
        <w:t>Sonar, optical and environmental payload integration</w:t>
      </w:r>
    </w:p>
    <w:p>
      <w:pPr>
        <w:pStyle w:val="ListBullet"/>
        <w:spacing w:after="40"/>
        <w:ind w:left="360"/>
      </w:pPr>
      <w:r>
        <w:t>Mission planning, autonomy stacks and health monitoring</w:t>
      </w:r>
    </w:p>
    <w:p>
      <w:pPr>
        <w:pStyle w:val="ListBullet"/>
        <w:spacing w:after="40"/>
        <w:ind w:left="360"/>
      </w:pPr>
      <w:r>
        <w:t>Underwater communications and data offload</w:t>
      </w:r>
    </w:p>
    <w:p>
      <w:pPr>
        <w:pStyle w:val="ListBullet"/>
        <w:spacing w:after="40"/>
        <w:ind w:left="360"/>
      </w:pPr>
      <w:r>
        <w:t>Launch and recovery systems</w:t>
      </w:r>
    </w:p>
    <w:p>
      <w:pPr>
        <w:pStyle w:val="ListBullet"/>
        <w:spacing w:after="40"/>
        <w:ind w:left="360"/>
      </w:pPr>
      <w:r>
        <w:t>Simulation, hardware-in-the-loop testing and digital twins</w:t>
      </w:r>
    </w:p>
    <w:p>
      <w:pPr>
        <w:pStyle w:val="ListBullet"/>
        <w:spacing w:after="40"/>
        <w:ind w:left="360"/>
      </w:pPr>
      <w:r>
        <w:t>Maintainability, modularity and field repair</w:t>
      </w:r>
    </w:p>
    <w:p>
      <w:pPr>
        <w:pStyle w:val="Heading2"/>
        <w:keepNext/>
      </w:pPr>
      <w:r>
        <w:t>5.3 Autonomous / Unmanned Surface Craft Centre — ASV / USV</w:t>
      </w:r>
    </w:p>
    <w:p>
      <w:r>
        <w:t>The surface-systems centre will develop and demonstrate small-to-medium autonomous or remotely supervised craft for port, coastal and offshore support applications. The objective is not to replicate conventional shipbuilding at large scale, but to specialise in intelligent, modular, mission-configurable marine craft.</w:t>
      </w:r>
    </w:p>
    <w:p>
      <w:pPr>
        <w:pStyle w:val="ListBullet"/>
        <w:spacing w:after="40"/>
        <w:ind w:left="360"/>
      </w:pPr>
      <w:r>
        <w:t>Autonomous navigation and route execution</w:t>
      </w:r>
    </w:p>
    <w:p>
      <w:pPr>
        <w:pStyle w:val="ListBullet"/>
        <w:spacing w:after="40"/>
        <w:ind w:left="360"/>
      </w:pPr>
      <w:r>
        <w:t>COLREG-aware decision-support research and supervised autonomy</w:t>
      </w:r>
    </w:p>
    <w:p>
      <w:pPr>
        <w:pStyle w:val="ListBullet"/>
        <w:spacing w:after="40"/>
        <w:ind w:left="360"/>
      </w:pPr>
      <w:r>
        <w:t>Remote command-and-control architecture</w:t>
      </w:r>
    </w:p>
    <w:p>
      <w:pPr>
        <w:pStyle w:val="ListBullet"/>
        <w:spacing w:after="40"/>
        <w:ind w:left="360"/>
      </w:pPr>
      <w:r>
        <w:t>EO/IR, radar, AIS and LiDAR sensor integration where lawful and applicable</w:t>
      </w:r>
    </w:p>
    <w:p>
      <w:pPr>
        <w:pStyle w:val="ListBullet"/>
        <w:spacing w:after="40"/>
        <w:ind w:left="360"/>
      </w:pPr>
      <w:r>
        <w:t>Bathymetric and hydrographic payloads</w:t>
      </w:r>
    </w:p>
    <w:p>
      <w:pPr>
        <w:pStyle w:val="ListBullet"/>
        <w:spacing w:after="40"/>
        <w:ind w:left="360"/>
      </w:pPr>
      <w:r>
        <w:t>Environmental monitoring packages</w:t>
      </w:r>
    </w:p>
    <w:p>
      <w:pPr>
        <w:pStyle w:val="ListBullet"/>
        <w:spacing w:after="40"/>
        <w:ind w:left="360"/>
      </w:pPr>
      <w:r>
        <w:t>Communications and edge-computing systems</w:t>
      </w:r>
    </w:p>
    <w:p>
      <w:pPr>
        <w:pStyle w:val="ListBullet"/>
        <w:spacing w:after="40"/>
        <w:ind w:left="360"/>
      </w:pPr>
      <w:r>
        <w:t>Electric/hybrid propulsion demonstrators</w:t>
      </w:r>
    </w:p>
    <w:p>
      <w:pPr>
        <w:pStyle w:val="ListBullet"/>
        <w:spacing w:after="40"/>
        <w:ind w:left="360"/>
      </w:pPr>
      <w:r>
        <w:t>Digital-twin and predictive-maintenance frameworks</w:t>
      </w:r>
    </w:p>
    <w:p>
      <w:pPr>
        <w:pStyle w:val="ListBullet"/>
        <w:spacing w:after="40"/>
        <w:ind w:left="360"/>
      </w:pPr>
      <w:r>
        <w:t>Launch, recovery, trailerable and containerised deployment concepts</w:t>
      </w:r>
    </w:p>
    <w:p>
      <w:pPr>
        <w:pStyle w:val="Heading2"/>
        <w:keepNext/>
      </w:pPr>
      <w:r>
        <w:t>5.4 Marine Robotics Assembly, Repair and MRO Cluster</w:t>
      </w:r>
    </w:p>
    <w:p>
      <w:r>
        <w:t>The Cluster will provide assembly, systems integration, localisation, maintenance, repair and overhaul capability for ROVs, AUVs, USVs/ASVs and their payloads. It will initially focus on inspection-class systems and modular subsystems, creating recurring lifecycle revenue while developing local technicians, vendors and field-support capability.</w:t>
      </w:r>
    </w:p>
    <w:p>
      <w:pPr>
        <w:pStyle w:val="ListBullet"/>
        <w:spacing w:after="40"/>
        <w:ind w:left="360"/>
      </w:pPr>
      <w:r>
        <w:t>Inspection ROV assembly and integration</w:t>
      </w:r>
    </w:p>
    <w:p>
      <w:pPr>
        <w:pStyle w:val="ListBullet"/>
        <w:spacing w:after="40"/>
        <w:ind w:left="360"/>
      </w:pPr>
      <w:r>
        <w:t>Tether management and topside control systems</w:t>
      </w:r>
    </w:p>
    <w:p>
      <w:pPr>
        <w:pStyle w:val="ListBullet"/>
        <w:spacing w:after="40"/>
        <w:ind w:left="360"/>
      </w:pPr>
      <w:r>
        <w:t>Camera, lighting, sonar and laser-scaling integration</w:t>
      </w:r>
    </w:p>
    <w:p>
      <w:pPr>
        <w:pStyle w:val="ListBullet"/>
        <w:spacing w:after="40"/>
        <w:ind w:left="360"/>
      </w:pPr>
      <w:r>
        <w:t>Manipulator and light-tool interfaces</w:t>
      </w:r>
    </w:p>
    <w:p>
      <w:pPr>
        <w:pStyle w:val="ListBullet"/>
        <w:spacing w:after="40"/>
        <w:ind w:left="360"/>
      </w:pPr>
      <w:r>
        <w:t>Hull, quay, jetty, dam, intake and outfall inspection workflows</w:t>
      </w:r>
    </w:p>
    <w:p>
      <w:pPr>
        <w:pStyle w:val="ListBullet"/>
        <w:spacing w:after="40"/>
        <w:ind w:left="360"/>
      </w:pPr>
      <w:r>
        <w:t>Pilot training and competency assessment</w:t>
      </w:r>
    </w:p>
    <w:p>
      <w:pPr>
        <w:pStyle w:val="ListBullet"/>
        <w:spacing w:after="40"/>
        <w:ind w:left="360"/>
      </w:pPr>
      <w:r>
        <w:t>ROV maintenance, fault diagnosis and field repair</w:t>
      </w:r>
    </w:p>
    <w:p>
      <w:pPr>
        <w:pStyle w:val="ListBullet"/>
      </w:pPr>
      <w:r>
        <w:t>Incoming inspection, acceptance testing and configuration baselining</w:t>
      </w:r>
    </w:p>
    <w:p>
      <w:pPr>
        <w:pStyle w:val="ListBullet"/>
      </w:pPr>
      <w:r>
        <w:t>Preventive and corrective maintenance programmes</w:t>
      </w:r>
    </w:p>
    <w:p>
      <w:pPr>
        <w:pStyle w:val="ListBullet"/>
      </w:pPr>
      <w:r>
        <w:t>Annual maintenance contracts and lifecycle-support packages</w:t>
      </w:r>
    </w:p>
    <w:p>
      <w:pPr>
        <w:pStyle w:val="ListBullet"/>
      </w:pPr>
      <w:r>
        <w:t>Spares planning, component traceability and controlled inventory</w:t>
      </w:r>
    </w:p>
    <w:p>
      <w:pPr>
        <w:pStyle w:val="ListBullet"/>
      </w:pPr>
      <w:r>
        <w:t>Calibration, diagnostics and test-equipment support</w:t>
      </w:r>
    </w:p>
    <w:p>
      <w:pPr>
        <w:pStyle w:val="ListBullet"/>
      </w:pPr>
      <w:r>
        <w:t>Battery, connector, tether, thruster, payload and topside-system servicing</w:t>
      </w:r>
    </w:p>
    <w:p>
      <w:pPr>
        <w:pStyle w:val="ListBullet"/>
      </w:pPr>
      <w:r>
        <w:t>Mobile field-repair and customer-support teams</w:t>
      </w:r>
    </w:p>
    <w:p>
      <w:pPr>
        <w:pStyle w:val="ListBullet"/>
      </w:pPr>
      <w:r>
        <w:t>Local vendor qualification and MSME supplier development</w:t>
      </w:r>
    </w:p>
    <w:p>
      <w:pPr>
        <w:pStyle w:val="ListBullet"/>
      </w:pPr>
      <w:r>
        <w:t>Quality records, service history and reliability feedback to design teams</w:t>
      </w:r>
    </w:p>
    <w:p>
      <w:pPr>
        <w:pStyle w:val="Heading2"/>
        <w:keepNext/>
      </w:pPr>
      <w:r>
        <w:t>5.5 Vijaydurg Maritime Living Lab and Sea-Validation Facility</w:t>
      </w:r>
    </w:p>
    <w:p>
      <w:r>
        <w:t>The Vijaydurg Maritime Living Lab will be a defining KOSMTP facility: a permission-based, professionally managed environment connecting simulation, bench testing, controlled-water trials, sheltered harbour/creek testing and progressive coastal sea validation. It will serve KOSMTP projects as well as authorised universities, startups, manufacturers, ports, maritime agencies and industry users.</w:t>
      </w:r>
    </w:p>
    <w:p>
      <w:pPr>
        <w:pStyle w:val="ListBullet"/>
        <w:spacing w:after="40"/>
        <w:ind w:left="360"/>
      </w:pPr>
      <w:r>
        <w:t>Simulation and software-in-the-loop</w:t>
      </w:r>
    </w:p>
    <w:p>
      <w:pPr>
        <w:pStyle w:val="ListBullet"/>
        <w:spacing w:after="40"/>
        <w:ind w:left="360"/>
      </w:pPr>
      <w:r>
        <w:t>Hardware-in-the-loop and bench testing</w:t>
      </w:r>
    </w:p>
    <w:p>
      <w:pPr>
        <w:pStyle w:val="ListBullet"/>
        <w:spacing w:after="40"/>
        <w:ind w:left="360"/>
      </w:pPr>
      <w:r>
        <w:t>Pressure and ingress testing appropriate to system class</w:t>
      </w:r>
    </w:p>
    <w:p>
      <w:pPr>
        <w:pStyle w:val="ListBullet"/>
        <w:spacing w:after="40"/>
        <w:ind w:left="360"/>
      </w:pPr>
      <w:r>
        <w:t>Tank/pool functional checks</w:t>
      </w:r>
    </w:p>
    <w:p>
      <w:pPr>
        <w:pStyle w:val="ListBullet"/>
        <w:spacing w:after="40"/>
        <w:ind w:left="360"/>
      </w:pPr>
      <w:r>
        <w:t>Sheltered-water manoeuvring and communications trials</w:t>
      </w:r>
    </w:p>
    <w:p>
      <w:pPr>
        <w:pStyle w:val="ListBullet"/>
        <w:spacing w:after="40"/>
        <w:ind w:left="360"/>
      </w:pPr>
      <w:r>
        <w:t>Harbour/creek mission trials under approved operating controls</w:t>
      </w:r>
    </w:p>
    <w:p>
      <w:pPr>
        <w:pStyle w:val="ListBullet"/>
        <w:spacing w:after="40"/>
        <w:ind w:left="360"/>
      </w:pPr>
      <w:r>
        <w:t>Progressive coastal/offshore endurance and payload trials</w:t>
      </w:r>
    </w:p>
    <w:p>
      <w:pPr>
        <w:pStyle w:val="ListBullet"/>
        <w:spacing w:after="40"/>
        <w:ind w:left="360"/>
      </w:pPr>
      <w:r>
        <w:t>Test instrumentation, telemetry and evidence capture</w:t>
      </w:r>
    </w:p>
    <w:p>
      <w:pPr>
        <w:pStyle w:val="ListBullet"/>
        <w:spacing w:after="40"/>
        <w:ind w:left="360"/>
      </w:pPr>
      <w:r>
        <w:t>Configuration control, defect logging and test reports</w:t>
      </w:r>
    </w:p>
    <w:p>
      <w:pPr>
        <w:pStyle w:val="ListBullet"/>
        <w:spacing w:after="40"/>
        <w:ind w:left="360"/>
      </w:pPr>
      <w:r>
        <w:t>Independent user demonstrations and acceptance support</w:t>
      </w:r>
    </w:p>
    <w:p>
      <w:pPr>
        <w:pStyle w:val="ListBullet"/>
      </w:pPr>
      <w:r>
        <w:t>Designated trial areas and operating windows, subject to approvals and stakeholder safeguards</w:t>
      </w:r>
    </w:p>
    <w:p>
      <w:pPr>
        <w:pStyle w:val="ListBullet"/>
      </w:pPr>
      <w:r>
        <w:t>Test plans, risk assessments, readiness reviews and formal go/no-go authority</w:t>
      </w:r>
    </w:p>
    <w:p>
      <w:pPr>
        <w:pStyle w:val="ListBullet"/>
      </w:pPr>
      <w:r>
        <w:t>Range booking, client onboarding and controlled test-area access</w:t>
      </w:r>
    </w:p>
    <w:p>
      <w:pPr>
        <w:pStyle w:val="ListBullet"/>
      </w:pPr>
      <w:r>
        <w:t>Independent instrumentation, telemetry, tracking and mission evidence capture</w:t>
      </w:r>
    </w:p>
    <w:p>
      <w:pPr>
        <w:pStyle w:val="ListBullet"/>
      </w:pPr>
      <w:r>
        <w:t>Startup, university and industry access to shared trial infrastructure</w:t>
      </w:r>
    </w:p>
    <w:p>
      <w:pPr>
        <w:pStyle w:val="ListBullet"/>
      </w:pPr>
      <w:r>
        <w:t>Customer demonstrations, user evaluations and acceptance-support campaigns</w:t>
      </w:r>
    </w:p>
    <w:p>
      <w:pPr>
        <w:pStyle w:val="ListBullet"/>
      </w:pPr>
      <w:r>
        <w:t>Environmental, navigation, fishing-community and emergency-response protocols</w:t>
      </w:r>
    </w:p>
    <w:p>
      <w:pPr>
        <w:pStyle w:val="ListBullet"/>
      </w:pPr>
      <w:r>
        <w:t>Standard test reports, defect logs, configuration records and repeatability evidence</w:t>
      </w:r>
    </w:p>
    <w:p>
      <w:pPr>
        <w:pStyle w:val="Heading2"/>
        <w:keepNext/>
      </w:pPr>
      <w:r>
        <w:t>5.6 Marine Asset Integrity and Inspection Services Centre</w:t>
      </w:r>
    </w:p>
    <w:p>
      <w:r>
        <w:t>This Centre will be the principal early revenue and field-deployment arm of KOSMTP. It will deliver inspection, survey, condition-assessment and digital reporting services for ports, ships, jetties, underwater structures, intakes/outfalls, reservoirs and coastal infrastructure while generating live training assignments and research data.</w:t>
      </w:r>
    </w:p>
    <w:p>
      <w:pPr>
        <w:pStyle w:val="ListBullet"/>
        <w:spacing w:after="40"/>
        <w:ind w:left="360"/>
      </w:pPr>
      <w:r>
        <w:t>Port, quay and jetty inspection</w:t>
      </w:r>
    </w:p>
    <w:p>
      <w:pPr>
        <w:pStyle w:val="ListBullet"/>
        <w:spacing w:after="40"/>
        <w:ind w:left="360"/>
      </w:pPr>
      <w:r>
        <w:t>Hull and propeller visual inspection</w:t>
      </w:r>
    </w:p>
    <w:p>
      <w:pPr>
        <w:pStyle w:val="ListBullet"/>
        <w:spacing w:after="40"/>
        <w:ind w:left="360"/>
      </w:pPr>
      <w:r>
        <w:t>Mooring and underwater structure assessment</w:t>
      </w:r>
    </w:p>
    <w:p>
      <w:pPr>
        <w:pStyle w:val="ListBullet"/>
        <w:spacing w:after="40"/>
        <w:ind w:left="360"/>
      </w:pPr>
      <w:r>
        <w:t>Intake/outfall and pipeline route inspection</w:t>
      </w:r>
    </w:p>
    <w:p>
      <w:pPr>
        <w:pStyle w:val="ListBullet"/>
        <w:spacing w:after="40"/>
        <w:ind w:left="360"/>
      </w:pPr>
      <w:r>
        <w:t>Reservoir and dam underwater inspection</w:t>
      </w:r>
    </w:p>
    <w:p>
      <w:pPr>
        <w:pStyle w:val="ListBullet"/>
        <w:spacing w:after="40"/>
        <w:ind w:left="360"/>
      </w:pPr>
      <w:r>
        <w:t>Bathymetry and seabed mapping</w:t>
      </w:r>
    </w:p>
    <w:p>
      <w:pPr>
        <w:pStyle w:val="ListBullet"/>
        <w:spacing w:after="40"/>
        <w:ind w:left="360"/>
      </w:pPr>
      <w:r>
        <w:t>Coastal infrastructure condition surveys</w:t>
      </w:r>
    </w:p>
    <w:p>
      <w:pPr>
        <w:pStyle w:val="ListBullet"/>
        <w:spacing w:after="40"/>
        <w:ind w:left="360"/>
      </w:pPr>
      <w:r>
        <w:t>Environmental and water-quality data acquisition</w:t>
      </w:r>
    </w:p>
    <w:p>
      <w:pPr>
        <w:pStyle w:val="ListBullet"/>
        <w:spacing w:after="40"/>
        <w:ind w:left="360"/>
      </w:pPr>
      <w:r>
        <w:t>Digital inspection records and asset-condition trending</w:t>
      </w:r>
    </w:p>
    <w:p>
      <w:pPr>
        <w:pStyle w:val="ListBullet"/>
      </w:pPr>
      <w:r>
        <w:t>Baseline digital condition surveys and recurring inspection programmes</w:t>
      </w:r>
    </w:p>
    <w:p>
      <w:pPr>
        <w:pStyle w:val="ListBullet"/>
      </w:pPr>
      <w:r>
        <w:t>Quay-wall, pile, berth-pocket and navigational-area assessments</w:t>
      </w:r>
    </w:p>
    <w:p>
      <w:pPr>
        <w:pStyle w:val="ListBullet"/>
      </w:pPr>
      <w:r>
        <w:t>Dredging-support, under-keel and seabed-change surveys</w:t>
      </w:r>
    </w:p>
    <w:p>
      <w:pPr>
        <w:pStyle w:val="ListBullet"/>
      </w:pPr>
      <w:r>
        <w:t>Sonar, imagery and AI-assisted anomaly identification</w:t>
      </w:r>
    </w:p>
    <w:p>
      <w:pPr>
        <w:pStyle w:val="ListBullet"/>
      </w:pPr>
      <w:r>
        <w:t>Post-storm, incident and emergency underwater assessment</w:t>
      </w:r>
    </w:p>
    <w:p>
      <w:pPr>
        <w:pStyle w:val="ListBullet"/>
      </w:pPr>
      <w:r>
        <w:t>Specialist NDT and engineering assessment through approved partners</w:t>
      </w:r>
    </w:p>
    <w:p>
      <w:pPr>
        <w:pStyle w:val="ListBullet"/>
      </w:pPr>
      <w:r>
        <w:t>Asset-condition dashboards, defect registers and maintenance-priority reports</w:t>
      </w:r>
    </w:p>
    <w:p>
      <w:pPr>
        <w:pStyle w:val="ListBullet"/>
      </w:pPr>
      <w:r>
        <w:t>Mobile inspection teams capable of serving Maharashtra and the western coast</w:t>
      </w:r>
    </w:p>
    <w:p>
      <w:pPr>
        <w:pStyle w:val="Heading2"/>
        <w:keepNext/>
      </w:pPr>
      <w:r>
        <w:t>5.7 Hyperbaric &amp; Diving Support Facility</w:t>
      </w:r>
    </w:p>
    <w:p>
      <w:r>
        <w:t>The facility will support diver training applications, operational diving support and hyperbaric competence development within the scope of applicable medical, occupational and equipment regulations.</w:t>
      </w:r>
    </w:p>
    <w:p>
      <w:pPr>
        <w:pStyle w:val="ListBullet"/>
        <w:spacing w:after="40"/>
        <w:ind w:left="360"/>
      </w:pPr>
      <w:r>
        <w:t>Hyperbaric chamber systems</w:t>
      </w:r>
    </w:p>
    <w:p>
      <w:pPr>
        <w:pStyle w:val="ListBullet"/>
        <w:spacing w:after="40"/>
        <w:ind w:left="360"/>
      </w:pPr>
      <w:r>
        <w:t>Diver support and control station</w:t>
      </w:r>
    </w:p>
    <w:p>
      <w:pPr>
        <w:pStyle w:val="ListBullet"/>
        <w:spacing w:after="40"/>
        <w:ind w:left="360"/>
      </w:pPr>
      <w:r>
        <w:t>Emergency response planning</w:t>
      </w:r>
    </w:p>
    <w:p>
      <w:pPr>
        <w:pStyle w:val="ListBullet"/>
        <w:spacing w:after="40"/>
        <w:ind w:left="360"/>
      </w:pPr>
      <w:r>
        <w:t>Medical support interfaces</w:t>
      </w:r>
    </w:p>
    <w:p>
      <w:pPr>
        <w:pStyle w:val="ListBullet"/>
        <w:spacing w:after="40"/>
        <w:ind w:left="360"/>
      </w:pPr>
      <w:r>
        <w:t>Chamber operator/technician training pathways</w:t>
      </w:r>
    </w:p>
    <w:p>
      <w:pPr>
        <w:pStyle w:val="ListBullet"/>
        <w:spacing w:after="40"/>
        <w:ind w:left="360"/>
      </w:pPr>
      <w:r>
        <w:t>Diving equipment maintenance and inspection area</w:t>
      </w:r>
    </w:p>
    <w:p>
      <w:pPr>
        <w:pStyle w:val="Heading2"/>
        <w:keepNext/>
      </w:pPr>
      <w:r>
        <w:t>5.8 Applied Research and Maritime Data Centre</w:t>
      </w:r>
    </w:p>
    <w:p>
      <w:r>
        <w:t>The Applied Research and Maritime Data Centre will connect operational maritime problems with universities, government R&amp;D organisations, startups, MSMEs and technology companies. It will manage applied and sponsored research, field datasets, digital twins, mission records, prototype evidence, publications, intellectual property and technology transfer, with appropriate controls for security, privacy, commercial confidentiality and sensitive projects.</w:t>
      </w:r>
    </w:p>
    <w:p>
      <w:pPr>
        <w:pStyle w:val="ListBullet"/>
        <w:spacing w:after="40"/>
        <w:ind w:left="360"/>
      </w:pPr>
      <w:r>
        <w:t>Marine autonomy and perception</w:t>
      </w:r>
    </w:p>
    <w:p>
      <w:pPr>
        <w:pStyle w:val="ListBullet"/>
        <w:spacing w:after="40"/>
        <w:ind w:left="360"/>
      </w:pPr>
      <w:r>
        <w:t>Underwater navigation and communications</w:t>
      </w:r>
    </w:p>
    <w:p>
      <w:pPr>
        <w:pStyle w:val="ListBullet"/>
        <w:spacing w:after="40"/>
        <w:ind w:left="360"/>
      </w:pPr>
      <w:r>
        <w:t>Low-cost indigenous sensors and payloads</w:t>
      </w:r>
    </w:p>
    <w:p>
      <w:pPr>
        <w:pStyle w:val="ListBullet"/>
        <w:spacing w:after="40"/>
        <w:ind w:left="360"/>
      </w:pPr>
      <w:r>
        <w:t>AI-assisted inspection and anomaly detection</w:t>
      </w:r>
    </w:p>
    <w:p>
      <w:pPr>
        <w:pStyle w:val="ListBullet"/>
        <w:spacing w:after="40"/>
        <w:ind w:left="360"/>
      </w:pPr>
      <w:r>
        <w:t>Digital twins for marine systems</w:t>
      </w:r>
    </w:p>
    <w:p>
      <w:pPr>
        <w:pStyle w:val="ListBullet"/>
        <w:spacing w:after="40"/>
        <w:ind w:left="360"/>
      </w:pPr>
      <w:r>
        <w:t>Energy systems and endurance improvement</w:t>
      </w:r>
    </w:p>
    <w:p>
      <w:pPr>
        <w:pStyle w:val="ListBullet"/>
        <w:spacing w:after="40"/>
        <w:ind w:left="360"/>
      </w:pPr>
      <w:r>
        <w:t>Biofouling, corrosion and asset integrity</w:t>
      </w:r>
    </w:p>
    <w:p>
      <w:pPr>
        <w:pStyle w:val="ListBullet"/>
        <w:spacing w:after="40"/>
        <w:ind w:left="360"/>
      </w:pPr>
      <w:r>
        <w:t>Ocean/environmental sensing</w:t>
      </w:r>
    </w:p>
    <w:p>
      <w:pPr>
        <w:pStyle w:val="ListBullet"/>
        <w:spacing w:after="40"/>
        <w:ind w:left="360"/>
      </w:pPr>
      <w:r>
        <w:t>Coastal resilience and sustainable Blue Economy applications</w:t>
      </w:r>
    </w:p>
    <w:p>
      <w:pPr>
        <w:pStyle w:val="ListBullet"/>
        <w:spacing w:after="40"/>
        <w:ind w:left="360"/>
      </w:pPr>
      <w:r>
        <w:t>Startup incubation, mentoring, test access and industry demonstrations</w:t>
      </w:r>
    </w:p>
    <w:p>
      <w:pPr>
        <w:pStyle w:val="ListBullet"/>
      </w:pPr>
      <w:r>
        <w:t>Governed repository for bathymetry, sonar, imagery, environmental and mission datasets</w:t>
      </w:r>
    </w:p>
    <w:p>
      <w:pPr>
        <w:pStyle w:val="ListBullet"/>
      </w:pPr>
      <w:r>
        <w:t>Digital asset registers and condition-history databases</w:t>
      </w:r>
    </w:p>
    <w:p>
      <w:pPr>
        <w:pStyle w:val="ListBullet"/>
      </w:pPr>
      <w:r>
        <w:t>Digital twins of selected port, vessel and underwater assets</w:t>
      </w:r>
    </w:p>
    <w:p>
      <w:pPr>
        <w:pStyle w:val="ListBullet"/>
      </w:pPr>
      <w:r>
        <w:t>Research data acquisition, curation, quality control and controlled access</w:t>
      </w:r>
    </w:p>
    <w:p>
      <w:pPr>
        <w:pStyle w:val="ListBullet"/>
      </w:pPr>
      <w:r>
        <w:t>Sponsored R&amp;D, joint laboratories and industry challenge programmes</w:t>
      </w:r>
    </w:p>
    <w:p>
      <w:pPr>
        <w:pStyle w:val="ListBullet"/>
      </w:pPr>
      <w:r>
        <w:t>Secure data partitions for commercial and authorised government projects</w:t>
      </w:r>
    </w:p>
    <w:p>
      <w:pPr>
        <w:pStyle w:val="ListBullet"/>
      </w:pPr>
      <w:r>
        <w:t>Patent, design-registration, publication and technology-transfer support</w:t>
      </w:r>
    </w:p>
    <w:p>
      <w:pPr>
        <w:pStyle w:val="ListBullet"/>
      </w:pPr>
      <w:r>
        <w:t>Data analytics, change detection and recurring asset-intelligence services</w:t>
      </w:r>
    </w:p>
    <w:p>
      <w:pPr>
        <w:pStyle w:val="Heading2"/>
      </w:pPr>
      <w:r>
        <w:t>5.9 Integrated Operating Model of the Four Strategic Additions</w:t>
      </w:r>
    </w:p>
    <w:p>
      <w:r>
        <w:t>The four facilities are intended to operate as one commercial and knowledge cycle. The Asset Integrity Centre creates assignments and customer problems; the Living Lab validates methods, vehicles and payloads; the Assembly and MRO Cluster prepares and supports the equipment; and the Applied Research and Maritime Data Centre converts field evidence into datasets, digital twins, research outputs and improved technology.</w:t>
      </w:r>
    </w:p>
    <w:p>
      <w:pPr>
        <w:pStyle w:val="Heading3"/>
      </w:pPr>
      <w:r>
        <w:t>Illustrative integrated assignment</w:t>
      </w:r>
    </w:p>
    <w:p>
      <w:r>
        <w:t>A port inspection assignment can simultaneously produce service revenue, trainee field exposure, a digital asset baseline, a research dataset, validation of an indigenous ROV or sensor, maintenance feedback for the MRO team and a recurring asset-monitoring opportunity. This integration is intended to make KOSMTP operationally sustainable and difficult to replicate as a conventional training campus.</w:t>
      </w:r>
    </w:p>
    <w:p>
      <w:pPr>
        <w:pStyle w:val="Heading3"/>
      </w:pPr>
      <w:r>
        <w:t>Phase-0 launch principle</w:t>
      </w:r>
    </w:p>
    <w:p>
      <w:r>
        <w:t>Before full campus construction, KOSMTP should commence through a 12-month pilot using leased or partner facilities. The pilot should deploy a compact ROV/inspection fleet, initiate selected short courses, undertake paid inspection and survey assignments, complete at least one Vijaydurg technology demonstration, establish initial research partnerships and generate operating evidence for the DPR and PPP appraisal.</w:t>
      </w:r>
    </w:p>
    <w:p>
      <w:pPr>
        <w:pStyle w:val="Heading1"/>
        <w:keepNext/>
      </w:pPr>
      <w:r>
        <w:t>6. PRIORITY UNDERWATER AND AUTONOMOUS SYSTEM COURSES</w:t>
      </w:r>
    </w:p>
    <w:p>
      <w:r>
        <w:t>The KOSMTP concept places NCVET/NSQF-aligned Underwater and Offshore Courses at the centre of the project. The proposed portfolio is divided into operator, technician, engineer and mission-specialist pathways. Existing HSSC Qualification Packs and National Occupational Standards will be adopted where applicable; gaps specific to commercial diving, ROV/AUV/USV operations, underwater inspection and hyperbaric support will be addressed through formal qualification-development or micro-credential pathways with the competent Awarding Body and NCVET ecosystem. International benchmarking will use applicable IMCA guidance and the modular IDSA training standards without representing KOSMTP as accredited or approved until such status is formally granted.</w:t>
      </w:r>
    </w:p>
    <w:tbl>
      <w:tblPr>
        <w:tblW w:type="auto" w:w="0"/>
        <w:jc w:val="center"/>
        <w:tblLook w:firstColumn="1" w:firstRow="1" w:lastColumn="0" w:lastRow="0" w:noHBand="0" w:noVBand="1" w:val="04A0"/>
      </w:tblPr>
      <w:tblGrid>
        <w:gridCol w:w="2520"/>
        <w:gridCol w:w="2520"/>
        <w:gridCol w:w="2520"/>
        <w:gridCol w:w="2520"/>
      </w:tblGrid>
      <w:tr>
        <w:tc>
          <w:tcPr>
            <w:tcW w:type="dxa" w:w="2520"/>
            <w:shd w:fill="17365D"/>
            <w:vAlign w:val="center"/>
          </w:tcPr>
          <w:p>
            <w:r/>
            <w:r>
              <w:rPr>
                <w:b/>
                <w:color w:val="FFFFFF"/>
                <w:sz w:val="17"/>
              </w:rPr>
              <w:t>Course family</w:t>
            </w:r>
          </w:p>
        </w:tc>
        <w:tc>
          <w:tcPr>
            <w:tcW w:type="dxa" w:w="2520"/>
            <w:shd w:fill="17365D"/>
            <w:vAlign w:val="center"/>
          </w:tcPr>
          <w:p>
            <w:r/>
            <w:r>
              <w:rPr>
                <w:b/>
                <w:color w:val="FFFFFF"/>
                <w:sz w:val="17"/>
              </w:rPr>
              <w:t>Indicative modules</w:t>
            </w:r>
          </w:p>
        </w:tc>
        <w:tc>
          <w:tcPr>
            <w:tcW w:type="dxa" w:w="2520"/>
            <w:shd w:fill="17365D"/>
            <w:vAlign w:val="center"/>
          </w:tcPr>
          <w:p>
            <w:r/>
            <w:r>
              <w:rPr>
                <w:b/>
                <w:color w:val="FFFFFF"/>
                <w:sz w:val="17"/>
              </w:rPr>
              <w:t>Primary learner</w:t>
            </w:r>
          </w:p>
        </w:tc>
        <w:tc>
          <w:tcPr>
            <w:tcW w:type="dxa" w:w="2520"/>
            <w:shd w:fill="17365D"/>
            <w:vAlign w:val="center"/>
          </w:tcPr>
          <w:p>
            <w:r/>
            <w:r>
              <w:rPr>
                <w:b/>
                <w:color w:val="FFFFFF"/>
                <w:sz w:val="17"/>
              </w:rPr>
              <w:t>Practical output</w:t>
            </w:r>
          </w:p>
        </w:tc>
      </w:tr>
      <w:tr>
        <w:tc>
          <w:tcPr>
            <w:tcW w:type="dxa" w:w="2520"/>
            <w:shd w:fill="F7F9FB"/>
            <w:vAlign w:val="center"/>
          </w:tcPr>
          <w:p>
            <w:r/>
            <w:r>
              <w:rPr>
                <w:b w:val="0"/>
                <w:sz w:val="15"/>
              </w:rPr>
              <w:t>Underwater Operations Foundation</w:t>
            </w:r>
          </w:p>
        </w:tc>
        <w:tc>
          <w:tcPr>
            <w:tcW w:type="dxa" w:w="2520"/>
            <w:shd w:fill="F7F9FB"/>
            <w:vAlign w:val="center"/>
          </w:tcPr>
          <w:p>
            <w:r/>
            <w:r>
              <w:rPr>
                <w:b w:val="0"/>
                <w:sz w:val="15"/>
              </w:rPr>
              <w:t>Marine safety; underwater hazards; dive/ROV worksite; emergency drills</w:t>
            </w:r>
          </w:p>
        </w:tc>
        <w:tc>
          <w:tcPr>
            <w:tcW w:type="dxa" w:w="2520"/>
            <w:shd w:fill="F7F9FB"/>
            <w:vAlign w:val="center"/>
          </w:tcPr>
          <w:p>
            <w:r/>
            <w:r>
              <w:rPr>
                <w:b w:val="0"/>
                <w:sz w:val="15"/>
              </w:rPr>
              <w:t>Entry-level coastal youth / technicians</w:t>
            </w:r>
          </w:p>
        </w:tc>
        <w:tc>
          <w:tcPr>
            <w:tcW w:type="dxa" w:w="2520"/>
            <w:shd w:fill="F7F9FB"/>
            <w:vAlign w:val="center"/>
          </w:tcPr>
          <w:p>
            <w:r/>
            <w:r>
              <w:rPr>
                <w:b w:val="0"/>
                <w:sz w:val="15"/>
              </w:rPr>
              <w:t>Worksite readiness</w:t>
            </w:r>
          </w:p>
        </w:tc>
      </w:tr>
      <w:tr>
        <w:tc>
          <w:tcPr>
            <w:tcW w:type="dxa" w:w="2520"/>
            <w:shd w:fill="FFFFFF"/>
            <w:vAlign w:val="center"/>
          </w:tcPr>
          <w:p>
            <w:r/>
            <w:r>
              <w:rPr>
                <w:b w:val="0"/>
                <w:sz w:val="15"/>
              </w:rPr>
              <w:t>ROV Pilot-Technician</w:t>
            </w:r>
          </w:p>
        </w:tc>
        <w:tc>
          <w:tcPr>
            <w:tcW w:type="dxa" w:w="2520"/>
            <w:shd w:fill="FFFFFF"/>
            <w:vAlign w:val="center"/>
          </w:tcPr>
          <w:p>
            <w:r/>
            <w:r>
              <w:rPr>
                <w:b w:val="0"/>
                <w:sz w:val="15"/>
              </w:rPr>
              <w:t>Piloting; tether; sonar; inspection; maintenance; reporting</w:t>
            </w:r>
          </w:p>
        </w:tc>
        <w:tc>
          <w:tcPr>
            <w:tcW w:type="dxa" w:w="2520"/>
            <w:shd w:fill="FFFFFF"/>
            <w:vAlign w:val="center"/>
          </w:tcPr>
          <w:p>
            <w:r/>
            <w:r>
              <w:rPr>
                <w:b w:val="0"/>
                <w:sz w:val="15"/>
              </w:rPr>
              <w:t>ITI/diploma/industry</w:t>
            </w:r>
          </w:p>
        </w:tc>
        <w:tc>
          <w:tcPr>
            <w:tcW w:type="dxa" w:w="2520"/>
            <w:shd w:fill="FFFFFF"/>
            <w:vAlign w:val="center"/>
          </w:tcPr>
          <w:p>
            <w:r/>
            <w:r>
              <w:rPr>
                <w:b w:val="0"/>
                <w:sz w:val="15"/>
              </w:rPr>
              <w:t>ROV mission and inspection report</w:t>
            </w:r>
          </w:p>
        </w:tc>
      </w:tr>
      <w:tr>
        <w:tc>
          <w:tcPr>
            <w:tcW w:type="dxa" w:w="2520"/>
            <w:shd w:fill="F7F9FB"/>
            <w:vAlign w:val="center"/>
          </w:tcPr>
          <w:p>
            <w:r/>
            <w:r>
              <w:rPr>
                <w:b w:val="0"/>
                <w:sz w:val="15"/>
              </w:rPr>
              <w:t>AUV Mission Operator</w:t>
            </w:r>
          </w:p>
        </w:tc>
        <w:tc>
          <w:tcPr>
            <w:tcW w:type="dxa" w:w="2520"/>
            <w:shd w:fill="F7F9FB"/>
            <w:vAlign w:val="center"/>
          </w:tcPr>
          <w:p>
            <w:r/>
            <w:r>
              <w:rPr>
                <w:b w:val="0"/>
                <w:sz w:val="15"/>
              </w:rPr>
              <w:t>Mission design; navigation; payload; L&amp;R; data QA</w:t>
            </w:r>
          </w:p>
        </w:tc>
        <w:tc>
          <w:tcPr>
            <w:tcW w:type="dxa" w:w="2520"/>
            <w:shd w:fill="F7F9FB"/>
            <w:vAlign w:val="center"/>
          </w:tcPr>
          <w:p>
            <w:r/>
            <w:r>
              <w:rPr>
                <w:b w:val="0"/>
                <w:sz w:val="15"/>
              </w:rPr>
              <w:t>Diploma/graduate/industry</w:t>
            </w:r>
          </w:p>
        </w:tc>
        <w:tc>
          <w:tcPr>
            <w:tcW w:type="dxa" w:w="2520"/>
            <w:shd w:fill="F7F9FB"/>
            <w:vAlign w:val="center"/>
          </w:tcPr>
          <w:p>
            <w:r/>
            <w:r>
              <w:rPr>
                <w:b w:val="0"/>
                <w:sz w:val="15"/>
              </w:rPr>
              <w:t>Planned and executed supervised mission</w:t>
            </w:r>
          </w:p>
        </w:tc>
      </w:tr>
      <w:tr>
        <w:tc>
          <w:tcPr>
            <w:tcW w:type="dxa" w:w="2520"/>
            <w:shd w:fill="FFFFFF"/>
            <w:vAlign w:val="center"/>
          </w:tcPr>
          <w:p>
            <w:r/>
            <w:r>
              <w:rPr>
                <w:b w:val="0"/>
                <w:sz w:val="15"/>
              </w:rPr>
              <w:t>USV/ASV Mission Supervisor</w:t>
            </w:r>
          </w:p>
        </w:tc>
        <w:tc>
          <w:tcPr>
            <w:tcW w:type="dxa" w:w="2520"/>
            <w:shd w:fill="FFFFFF"/>
            <w:vAlign w:val="center"/>
          </w:tcPr>
          <w:p>
            <w:r/>
            <w:r>
              <w:rPr>
                <w:b w:val="0"/>
                <w:sz w:val="15"/>
              </w:rPr>
              <w:t>Remote operations; route planning; C2; sensor fusion; safety case</w:t>
            </w:r>
          </w:p>
        </w:tc>
        <w:tc>
          <w:tcPr>
            <w:tcW w:type="dxa" w:w="2520"/>
            <w:shd w:fill="FFFFFF"/>
            <w:vAlign w:val="center"/>
          </w:tcPr>
          <w:p>
            <w:r/>
            <w:r>
              <w:rPr>
                <w:b w:val="0"/>
                <w:sz w:val="15"/>
              </w:rPr>
              <w:t>Marine/engineering personnel</w:t>
            </w:r>
          </w:p>
        </w:tc>
        <w:tc>
          <w:tcPr>
            <w:tcW w:type="dxa" w:w="2520"/>
            <w:shd w:fill="FFFFFF"/>
            <w:vAlign w:val="center"/>
          </w:tcPr>
          <w:p>
            <w:r/>
            <w:r>
              <w:rPr>
                <w:b w:val="0"/>
                <w:sz w:val="15"/>
              </w:rPr>
              <w:t>Supervised autonomous surface mission</w:t>
            </w:r>
          </w:p>
        </w:tc>
      </w:tr>
      <w:tr>
        <w:tc>
          <w:tcPr>
            <w:tcW w:type="dxa" w:w="2520"/>
            <w:shd w:fill="F7F9FB"/>
            <w:vAlign w:val="center"/>
          </w:tcPr>
          <w:p>
            <w:r/>
            <w:r>
              <w:rPr>
                <w:b w:val="0"/>
                <w:sz w:val="15"/>
              </w:rPr>
              <w:t>Underwater Inspection</w:t>
            </w:r>
          </w:p>
        </w:tc>
        <w:tc>
          <w:tcPr>
            <w:tcW w:type="dxa" w:w="2520"/>
            <w:shd w:fill="F7F9FB"/>
            <w:vAlign w:val="center"/>
          </w:tcPr>
          <w:p>
            <w:r/>
            <w:r>
              <w:rPr>
                <w:b w:val="0"/>
                <w:sz w:val="15"/>
              </w:rPr>
              <w:t>Visual inspection; defect taxonomy; scaling; evidence; reporting</w:t>
            </w:r>
          </w:p>
        </w:tc>
        <w:tc>
          <w:tcPr>
            <w:tcW w:type="dxa" w:w="2520"/>
            <w:shd w:fill="F7F9FB"/>
            <w:vAlign w:val="center"/>
          </w:tcPr>
          <w:p>
            <w:r/>
            <w:r>
              <w:rPr>
                <w:b w:val="0"/>
                <w:sz w:val="15"/>
              </w:rPr>
              <w:t>Divers/ROV pilots/inspectors</w:t>
            </w:r>
          </w:p>
        </w:tc>
        <w:tc>
          <w:tcPr>
            <w:tcW w:type="dxa" w:w="2520"/>
            <w:shd w:fill="F7F9FB"/>
            <w:vAlign w:val="center"/>
          </w:tcPr>
          <w:p>
            <w:r/>
            <w:r>
              <w:rPr>
                <w:b w:val="0"/>
                <w:sz w:val="15"/>
              </w:rPr>
              <w:t>Digital inspection dossier</w:t>
            </w:r>
          </w:p>
        </w:tc>
      </w:tr>
      <w:tr>
        <w:tc>
          <w:tcPr>
            <w:tcW w:type="dxa" w:w="2520"/>
            <w:shd w:fill="FFFFFF"/>
            <w:vAlign w:val="center"/>
          </w:tcPr>
          <w:p>
            <w:r/>
            <w:r>
              <w:rPr>
                <w:b w:val="0"/>
                <w:sz w:val="15"/>
              </w:rPr>
              <w:t>Marine Robotics Technician</w:t>
            </w:r>
          </w:p>
        </w:tc>
        <w:tc>
          <w:tcPr>
            <w:tcW w:type="dxa" w:w="2520"/>
            <w:shd w:fill="FFFFFF"/>
            <w:vAlign w:val="center"/>
          </w:tcPr>
          <w:p>
            <w:r/>
            <w:r>
              <w:rPr>
                <w:b w:val="0"/>
                <w:sz w:val="15"/>
              </w:rPr>
              <w:t>Electronics; connectors; pressure housings; thrusters; batteries</w:t>
            </w:r>
          </w:p>
        </w:tc>
        <w:tc>
          <w:tcPr>
            <w:tcW w:type="dxa" w:w="2520"/>
            <w:shd w:fill="FFFFFF"/>
            <w:vAlign w:val="center"/>
          </w:tcPr>
          <w:p>
            <w:r/>
            <w:r>
              <w:rPr>
                <w:b w:val="0"/>
                <w:sz w:val="15"/>
              </w:rPr>
              <w:t>ITI/diploma</w:t>
            </w:r>
          </w:p>
        </w:tc>
        <w:tc>
          <w:tcPr>
            <w:tcW w:type="dxa" w:w="2520"/>
            <w:shd w:fill="FFFFFF"/>
            <w:vAlign w:val="center"/>
          </w:tcPr>
          <w:p>
            <w:r/>
            <w:r>
              <w:rPr>
                <w:b w:val="0"/>
                <w:sz w:val="15"/>
              </w:rPr>
              <w:t>Integrated and tested subsystem</w:t>
            </w:r>
          </w:p>
        </w:tc>
      </w:tr>
      <w:tr>
        <w:tc>
          <w:tcPr>
            <w:tcW w:type="dxa" w:w="2520"/>
            <w:shd w:fill="F7F9FB"/>
            <w:vAlign w:val="center"/>
          </w:tcPr>
          <w:p>
            <w:r/>
            <w:r>
              <w:rPr>
                <w:b w:val="0"/>
                <w:sz w:val="15"/>
              </w:rPr>
              <w:t>Autonomous Marine Systems Engineer</w:t>
            </w:r>
          </w:p>
        </w:tc>
        <w:tc>
          <w:tcPr>
            <w:tcW w:type="dxa" w:w="2520"/>
            <w:shd w:fill="F7F9FB"/>
            <w:vAlign w:val="center"/>
          </w:tcPr>
          <w:p>
            <w:r/>
            <w:r>
              <w:rPr>
                <w:b w:val="0"/>
                <w:sz w:val="15"/>
              </w:rPr>
              <w:t>Controls; perception; autonomy; simulation; HIL; V&amp;V</w:t>
            </w:r>
          </w:p>
        </w:tc>
        <w:tc>
          <w:tcPr>
            <w:tcW w:type="dxa" w:w="2520"/>
            <w:shd w:fill="F7F9FB"/>
            <w:vAlign w:val="center"/>
          </w:tcPr>
          <w:p>
            <w:r/>
            <w:r>
              <w:rPr>
                <w:b w:val="0"/>
                <w:sz w:val="15"/>
              </w:rPr>
              <w:t>Engineering graduates</w:t>
            </w:r>
          </w:p>
        </w:tc>
        <w:tc>
          <w:tcPr>
            <w:tcW w:type="dxa" w:w="2520"/>
            <w:shd w:fill="F7F9FB"/>
            <w:vAlign w:val="center"/>
          </w:tcPr>
          <w:p>
            <w:r/>
            <w:r>
              <w:rPr>
                <w:b w:val="0"/>
                <w:sz w:val="15"/>
              </w:rPr>
              <w:t>Prototype autonomy demonstrator</w:t>
            </w:r>
          </w:p>
        </w:tc>
      </w:tr>
      <w:tr>
        <w:tc>
          <w:tcPr>
            <w:tcW w:type="dxa" w:w="2520"/>
            <w:shd w:fill="FFFFFF"/>
            <w:vAlign w:val="center"/>
          </w:tcPr>
          <w:p>
            <w:r/>
            <w:r>
              <w:rPr>
                <w:b w:val="0"/>
                <w:sz w:val="15"/>
              </w:rPr>
              <w:t>Hydrography &amp; Bathymetry Foundation</w:t>
            </w:r>
          </w:p>
        </w:tc>
        <w:tc>
          <w:tcPr>
            <w:tcW w:type="dxa" w:w="2520"/>
            <w:shd w:fill="FFFFFF"/>
            <w:vAlign w:val="center"/>
          </w:tcPr>
          <w:p>
            <w:r/>
            <w:r>
              <w:rPr>
                <w:b w:val="0"/>
                <w:sz w:val="15"/>
              </w:rPr>
              <w:t>Survey planning; sonar; GNSS; data QC; mapping</w:t>
            </w:r>
          </w:p>
        </w:tc>
        <w:tc>
          <w:tcPr>
            <w:tcW w:type="dxa" w:w="2520"/>
            <w:shd w:fill="FFFFFF"/>
            <w:vAlign w:val="center"/>
          </w:tcPr>
          <w:p>
            <w:r/>
            <w:r>
              <w:rPr>
                <w:b w:val="0"/>
                <w:sz w:val="15"/>
              </w:rPr>
              <w:t>Survey/marine personnel</w:t>
            </w:r>
          </w:p>
        </w:tc>
        <w:tc>
          <w:tcPr>
            <w:tcW w:type="dxa" w:w="2520"/>
            <w:shd w:fill="FFFFFF"/>
            <w:vAlign w:val="center"/>
          </w:tcPr>
          <w:p>
            <w:r/>
            <w:r>
              <w:rPr>
                <w:b w:val="0"/>
                <w:sz w:val="15"/>
              </w:rPr>
              <w:t>Basic bathymetric dataset</w:t>
            </w:r>
          </w:p>
        </w:tc>
      </w:tr>
      <w:tr>
        <w:tc>
          <w:tcPr>
            <w:tcW w:type="dxa" w:w="2520"/>
            <w:shd w:fill="F7F9FB"/>
            <w:vAlign w:val="center"/>
          </w:tcPr>
          <w:p>
            <w:r/>
            <w:r>
              <w:rPr>
                <w:b w:val="0"/>
                <w:sz w:val="15"/>
              </w:rPr>
              <w:t>Subsea Sensor &amp; Payload Integration</w:t>
            </w:r>
          </w:p>
        </w:tc>
        <w:tc>
          <w:tcPr>
            <w:tcW w:type="dxa" w:w="2520"/>
            <w:shd w:fill="F7F9FB"/>
            <w:vAlign w:val="center"/>
          </w:tcPr>
          <w:p>
            <w:r/>
            <w:r>
              <w:rPr>
                <w:b w:val="0"/>
                <w:sz w:val="15"/>
              </w:rPr>
              <w:t>Sonar; cameras; environmental sensors; interfaces; calibration</w:t>
            </w:r>
          </w:p>
        </w:tc>
        <w:tc>
          <w:tcPr>
            <w:tcW w:type="dxa" w:w="2520"/>
            <w:shd w:fill="F7F9FB"/>
            <w:vAlign w:val="center"/>
          </w:tcPr>
          <w:p>
            <w:r/>
            <w:r>
              <w:rPr>
                <w:b w:val="0"/>
                <w:sz w:val="15"/>
              </w:rPr>
              <w:t>Engineers/technicians</w:t>
            </w:r>
          </w:p>
        </w:tc>
        <w:tc>
          <w:tcPr>
            <w:tcW w:type="dxa" w:w="2520"/>
            <w:shd w:fill="F7F9FB"/>
            <w:vAlign w:val="center"/>
          </w:tcPr>
          <w:p>
            <w:r/>
            <w:r>
              <w:rPr>
                <w:b w:val="0"/>
                <w:sz w:val="15"/>
              </w:rPr>
              <w:t>Mission payload integration</w:t>
            </w:r>
          </w:p>
        </w:tc>
      </w:tr>
      <w:tr>
        <w:tc>
          <w:tcPr>
            <w:tcW w:type="dxa" w:w="2520"/>
            <w:shd w:fill="FFFFFF"/>
            <w:vAlign w:val="center"/>
          </w:tcPr>
          <w:p>
            <w:r/>
            <w:r>
              <w:rPr>
                <w:b w:val="0"/>
                <w:sz w:val="15"/>
              </w:rPr>
              <w:t>Hyperbaric Support Operations</w:t>
            </w:r>
          </w:p>
        </w:tc>
        <w:tc>
          <w:tcPr>
            <w:tcW w:type="dxa" w:w="2520"/>
            <w:shd w:fill="FFFFFF"/>
            <w:vAlign w:val="center"/>
          </w:tcPr>
          <w:p>
            <w:r/>
            <w:r>
              <w:rPr>
                <w:b w:val="0"/>
                <w:sz w:val="15"/>
              </w:rPr>
              <w:t>Chamber systems; logs; checks; emergency procedures</w:t>
            </w:r>
          </w:p>
        </w:tc>
        <w:tc>
          <w:tcPr>
            <w:tcW w:type="dxa" w:w="2520"/>
            <w:shd w:fill="FFFFFF"/>
            <w:vAlign w:val="center"/>
          </w:tcPr>
          <w:p>
            <w:r/>
            <w:r>
              <w:rPr>
                <w:b w:val="0"/>
                <w:sz w:val="15"/>
              </w:rPr>
              <w:t>Medical/diving support staff</w:t>
            </w:r>
          </w:p>
        </w:tc>
        <w:tc>
          <w:tcPr>
            <w:tcW w:type="dxa" w:w="2520"/>
            <w:shd w:fill="FFFFFF"/>
            <w:vAlign w:val="center"/>
          </w:tcPr>
          <w:p>
            <w:r/>
            <w:r>
              <w:rPr>
                <w:b w:val="0"/>
                <w:sz w:val="15"/>
              </w:rPr>
              <w:t>Supervised chamber-support competency</w:t>
            </w:r>
          </w:p>
        </w:tc>
      </w:tr>
    </w:tbl>
    <w:p>
      <w:pPr>
        <w:pStyle w:val="Heading1"/>
        <w:keepNext/>
      </w:pPr>
      <w:r>
        <w:t>7. DUAL-USE APPLICATION FOCUS: DEFENCE AND COMMERCIAL</w:t>
      </w:r>
    </w:p>
    <w:p>
      <w:r>
        <w:t>KOSMTP will focus on dual-use marine technologies. Defence-facing work will remain within lawful, authorised and customer-defined programmes, with appropriate security, confidentiality, export-control and end-use controls. The concept note therefore frames capability areas at a systems and mission-support level.</w:t>
      </w:r>
    </w:p>
    <w:p>
      <w:pPr>
        <w:pStyle w:val="Heading2"/>
        <w:keepNext/>
      </w:pPr>
      <w:r>
        <w:t>7.1 Defence and maritime-security use cases</w:t>
      </w:r>
    </w:p>
    <w:p>
      <w:pPr>
        <w:pStyle w:val="ListBullet"/>
        <w:spacing w:after="40"/>
        <w:ind w:left="360"/>
      </w:pPr>
      <w:r>
        <w:t>Harbour and critical-waterfront inspection support.</w:t>
      </w:r>
    </w:p>
    <w:p>
      <w:pPr>
        <w:pStyle w:val="ListBullet"/>
        <w:spacing w:after="40"/>
        <w:ind w:left="360"/>
      </w:pPr>
      <w:r>
        <w:t>Underwater object detection, classification-support and survey missions.</w:t>
      </w:r>
    </w:p>
    <w:p>
      <w:pPr>
        <w:pStyle w:val="ListBullet"/>
        <w:spacing w:after="40"/>
        <w:ind w:left="360"/>
      </w:pPr>
      <w:r>
        <w:t>Persistent or repeatable environmental and hydrographic data collection.</w:t>
      </w:r>
    </w:p>
    <w:p>
      <w:pPr>
        <w:pStyle w:val="ListBullet"/>
        <w:spacing w:after="40"/>
        <w:ind w:left="360"/>
      </w:pPr>
      <w:r>
        <w:t>Remote reconnaissance and situational-awareness payload carriage.</w:t>
      </w:r>
    </w:p>
    <w:p>
      <w:pPr>
        <w:pStyle w:val="ListBullet"/>
        <w:spacing w:after="40"/>
        <w:ind w:left="360"/>
      </w:pPr>
      <w:r>
        <w:t>Route survey and seabed-change monitoring.</w:t>
      </w:r>
    </w:p>
    <w:p>
      <w:pPr>
        <w:pStyle w:val="ListBullet"/>
        <w:spacing w:after="40"/>
        <w:ind w:left="360"/>
      </w:pPr>
      <w:r>
        <w:t>Training systems for unmanned marine vehicle operators and maintainers.</w:t>
      </w:r>
    </w:p>
    <w:p>
      <w:pPr>
        <w:pStyle w:val="ListBullet"/>
        <w:spacing w:after="40"/>
        <w:ind w:left="360"/>
      </w:pPr>
      <w:r>
        <w:t>Rapidly deployable small autonomous craft for supervised maritime missions.</w:t>
      </w:r>
    </w:p>
    <w:p>
      <w:pPr>
        <w:pStyle w:val="ListBullet"/>
        <w:spacing w:after="40"/>
        <w:ind w:left="360"/>
      </w:pPr>
      <w:r>
        <w:t>Test and evaluation support for indigenous sensors, navigation systems and marine robotic subsystems.</w:t>
      </w:r>
    </w:p>
    <w:p>
      <w:pPr>
        <w:pStyle w:val="Heading2"/>
        <w:keepNext/>
      </w:pPr>
      <w:r>
        <w:t>7.2 Commercial and civil use cases</w:t>
      </w:r>
    </w:p>
    <w:p>
      <w:pPr>
        <w:pStyle w:val="ListBullet"/>
        <w:spacing w:after="40"/>
        <w:ind w:left="360"/>
      </w:pPr>
      <w:r>
        <w:t>Port and terminal infrastructure inspection.</w:t>
      </w:r>
    </w:p>
    <w:p>
      <w:pPr>
        <w:pStyle w:val="ListBullet"/>
        <w:spacing w:after="40"/>
        <w:ind w:left="360"/>
      </w:pPr>
      <w:r>
        <w:t>Ship hull, propeller and underwater appendage inspection.</w:t>
      </w:r>
    </w:p>
    <w:p>
      <w:pPr>
        <w:pStyle w:val="ListBullet"/>
        <w:spacing w:after="40"/>
        <w:ind w:left="360"/>
      </w:pPr>
      <w:r>
        <w:t>Bathymetry, dredging-support surveys and under-keel data acquisition.</w:t>
      </w:r>
    </w:p>
    <w:p>
      <w:pPr>
        <w:pStyle w:val="ListBullet"/>
        <w:spacing w:after="40"/>
        <w:ind w:left="360"/>
      </w:pPr>
      <w:r>
        <w:t>Offshore energy and subsea infrastructure inspection support.</w:t>
      </w:r>
    </w:p>
    <w:p>
      <w:pPr>
        <w:pStyle w:val="ListBullet"/>
        <w:spacing w:after="40"/>
        <w:ind w:left="360"/>
      </w:pPr>
      <w:r>
        <w:t>Dam, reservoir, intake and outfall inspection.</w:t>
      </w:r>
    </w:p>
    <w:p>
      <w:pPr>
        <w:pStyle w:val="ListBullet"/>
        <w:spacing w:after="40"/>
        <w:ind w:left="360"/>
      </w:pPr>
      <w:r>
        <w:t>Environmental monitoring, water-quality and ocean-data collection.</w:t>
      </w:r>
    </w:p>
    <w:p>
      <w:pPr>
        <w:pStyle w:val="ListBullet"/>
        <w:spacing w:after="40"/>
        <w:ind w:left="360"/>
      </w:pPr>
      <w:r>
        <w:t>Aquaculture and coastal-resource monitoring.</w:t>
      </w:r>
    </w:p>
    <w:p>
      <w:pPr>
        <w:pStyle w:val="ListBullet"/>
        <w:spacing w:after="40"/>
        <w:ind w:left="360"/>
      </w:pPr>
      <w:r>
        <w:t>Search support, hazard survey and post-event coastal assessment.</w:t>
      </w:r>
    </w:p>
    <w:p>
      <w:pPr>
        <w:pStyle w:val="ListBullet"/>
        <w:spacing w:after="40"/>
        <w:ind w:left="360"/>
      </w:pPr>
      <w:r>
        <w:t>Marine research and academic field experiments.</w:t>
      </w:r>
    </w:p>
    <w:tbl>
      <w:tblPr>
        <w:tblW w:type="auto" w:w="0"/>
        <w:jc w:val="center"/>
        <w:tblLook w:firstColumn="1" w:firstRow="1" w:lastColumn="0" w:lastRow="0" w:noHBand="0" w:noVBand="1" w:val="04A0"/>
      </w:tblPr>
      <w:tblGrid>
        <w:gridCol w:w="10080"/>
      </w:tblGrid>
      <w:tr>
        <w:tc>
          <w:tcPr>
            <w:tcW w:type="dxa" w:w="10080"/>
            <w:shd w:fill="EAF2F8"/>
          </w:tcPr>
          <w:p>
            <w:r/>
            <w:r>
              <w:rPr>
                <w:b/>
                <w:color w:val="17365D"/>
                <w:sz w:val="22"/>
              </w:rPr>
              <w:t>Platform focus</w:t>
              <w:br/>
            </w:r>
            <w:r>
              <w:rPr>
                <w:sz w:val="19"/>
              </w:rPr>
              <w:t>Initial engineering emphasis: portable and inspection-class ROVs; compact AUVs; modular small USVs/ASVs; and selected medium-category demonstrators. The platform strategy should prioritise modular payload bays, common control architecture, maintainability, indigenous subsystem integration and repeatable sea-trial evidence.</w:t>
            </w:r>
          </w:p>
        </w:tc>
      </w:tr>
    </w:tbl>
    <w:p>
      <w:pPr>
        <w:spacing w:after="0"/>
      </w:pPr>
    </w:p>
    <w:p>
      <w:pPr>
        <w:pStyle w:val="Heading1"/>
        <w:keepNext/>
      </w:pPr>
      <w:r>
        <w:t>8. ALIGNMENT WITH SAGARMALA AND NATIONAL MARITIME PRIORITIES</w:t>
      </w:r>
    </w:p>
    <w:p>
      <w:r>
        <w:t>KOSMTP can be positioned as an enabling coastal capability project rather than a stand-alone training institute. Its strongest Sagarmala alignment lies in port-led development, coastal community development and skill creation; its technology and startup components also align with the innovation direction reinforced by Sagarmala 2.0 and the Sagarmala Startup Innovation Initiative (S2I2).</w:t>
      </w:r>
    </w:p>
    <w:tbl>
      <w:tblPr>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b/>
                <w:color w:val="FFFFFF"/>
                <w:sz w:val="17"/>
              </w:rPr>
              <w:t>Policy / programme direction</w:t>
            </w:r>
          </w:p>
        </w:tc>
        <w:tc>
          <w:tcPr>
            <w:tcW w:type="dxa" w:w="3360"/>
            <w:shd w:fill="17365D"/>
            <w:vAlign w:val="center"/>
          </w:tcPr>
          <w:p>
            <w:r/>
            <w:r>
              <w:rPr>
                <w:b/>
                <w:color w:val="FFFFFF"/>
                <w:sz w:val="17"/>
              </w:rPr>
              <w:t>KOSMTP alignment</w:t>
            </w:r>
          </w:p>
        </w:tc>
        <w:tc>
          <w:tcPr>
            <w:tcW w:type="dxa" w:w="3360"/>
            <w:shd w:fill="17365D"/>
            <w:vAlign w:val="center"/>
          </w:tcPr>
          <w:p>
            <w:r/>
            <w:r>
              <w:rPr>
                <w:b/>
                <w:color w:val="FFFFFF"/>
                <w:sz w:val="17"/>
              </w:rPr>
              <w:t>Proposed evidence / KPI</w:t>
            </w:r>
          </w:p>
        </w:tc>
      </w:tr>
      <w:tr>
        <w:tc>
          <w:tcPr>
            <w:tcW w:type="dxa" w:w="3360"/>
            <w:shd w:fill="F7F9FB"/>
            <w:vAlign w:val="center"/>
          </w:tcPr>
          <w:p>
            <w:r/>
            <w:r>
              <w:rPr>
                <w:b w:val="0"/>
                <w:sz w:val="16"/>
              </w:rPr>
              <w:t>Sagarmala — port-led development</w:t>
            </w:r>
          </w:p>
        </w:tc>
        <w:tc>
          <w:tcPr>
            <w:tcW w:type="dxa" w:w="3360"/>
            <w:shd w:fill="F7F9FB"/>
            <w:vAlign w:val="center"/>
          </w:tcPr>
          <w:p>
            <w:r/>
            <w:r>
              <w:rPr>
                <w:b w:val="0"/>
                <w:sz w:val="16"/>
              </w:rPr>
              <w:t>Waterfront skills, inspection services, marine technology and port-support systems</w:t>
            </w:r>
          </w:p>
        </w:tc>
        <w:tc>
          <w:tcPr>
            <w:tcW w:type="dxa" w:w="3360"/>
            <w:shd w:fill="F7F9FB"/>
            <w:vAlign w:val="center"/>
          </w:tcPr>
          <w:p>
            <w:r/>
            <w:r>
              <w:rPr>
                <w:b w:val="0"/>
                <w:sz w:val="16"/>
              </w:rPr>
              <w:t>Port-linked training, inspection missions, technology demonstrations</w:t>
            </w:r>
          </w:p>
        </w:tc>
      </w:tr>
      <w:tr>
        <w:tc>
          <w:tcPr>
            <w:tcW w:type="dxa" w:w="3360"/>
            <w:shd w:fill="FFFFFF"/>
            <w:vAlign w:val="center"/>
          </w:tcPr>
          <w:p>
            <w:r/>
            <w:r>
              <w:rPr>
                <w:b w:val="0"/>
                <w:sz w:val="16"/>
              </w:rPr>
              <w:t>Sagarmala — coastal community development</w:t>
            </w:r>
          </w:p>
        </w:tc>
        <w:tc>
          <w:tcPr>
            <w:tcW w:type="dxa" w:w="3360"/>
            <w:shd w:fill="FFFFFF"/>
            <w:vAlign w:val="center"/>
          </w:tcPr>
          <w:p>
            <w:r/>
            <w:r>
              <w:rPr>
                <w:b w:val="0"/>
                <w:sz w:val="16"/>
              </w:rPr>
              <w:t>Job-linked maritime skills and local technician pathways</w:t>
            </w:r>
          </w:p>
        </w:tc>
        <w:tc>
          <w:tcPr>
            <w:tcW w:type="dxa" w:w="3360"/>
            <w:shd w:fill="FFFFFF"/>
            <w:vAlign w:val="center"/>
          </w:tcPr>
          <w:p>
            <w:r/>
            <w:r>
              <w:rPr>
                <w:b w:val="0"/>
                <w:sz w:val="16"/>
              </w:rPr>
              <w:t>Local enrolment, placement, apprenticeships, women participation</w:t>
            </w:r>
          </w:p>
        </w:tc>
      </w:tr>
      <w:tr>
        <w:tc>
          <w:tcPr>
            <w:tcW w:type="dxa" w:w="3360"/>
            <w:shd w:fill="F7F9FB"/>
            <w:vAlign w:val="center"/>
          </w:tcPr>
          <w:p>
            <w:r/>
            <w:r>
              <w:rPr>
                <w:b w:val="0"/>
                <w:sz w:val="16"/>
              </w:rPr>
              <w:t>Sagarmala 2.0 — shipbuilding/repair ecosystem emphasis</w:t>
            </w:r>
          </w:p>
        </w:tc>
        <w:tc>
          <w:tcPr>
            <w:tcW w:type="dxa" w:w="3360"/>
            <w:shd w:fill="F7F9FB"/>
            <w:vAlign w:val="center"/>
          </w:tcPr>
          <w:p>
            <w:r/>
            <w:r>
              <w:rPr>
                <w:b w:val="0"/>
                <w:sz w:val="16"/>
              </w:rPr>
              <w:t>Small/medium autonomous craft integration, repair, subsystem and marine workshop capability</w:t>
            </w:r>
          </w:p>
        </w:tc>
        <w:tc>
          <w:tcPr>
            <w:tcW w:type="dxa" w:w="3360"/>
            <w:shd w:fill="F7F9FB"/>
            <w:vAlign w:val="center"/>
          </w:tcPr>
          <w:p>
            <w:r/>
            <w:r>
              <w:rPr>
                <w:b w:val="0"/>
                <w:sz w:val="16"/>
              </w:rPr>
              <w:t>Platforms integrated, repair jobs, MSME vendors</w:t>
            </w:r>
          </w:p>
        </w:tc>
      </w:tr>
      <w:tr>
        <w:tc>
          <w:tcPr>
            <w:tcW w:type="dxa" w:w="3360"/>
            <w:shd w:fill="FFFFFF"/>
            <w:vAlign w:val="center"/>
          </w:tcPr>
          <w:p>
            <w:r/>
            <w:r>
              <w:rPr>
                <w:b w:val="0"/>
                <w:sz w:val="16"/>
              </w:rPr>
              <w:t>S2I2 — RISE: Research, Innovation, Startups, Entrepreneurship</w:t>
            </w:r>
          </w:p>
        </w:tc>
        <w:tc>
          <w:tcPr>
            <w:tcW w:type="dxa" w:w="3360"/>
            <w:shd w:fill="FFFFFF"/>
            <w:vAlign w:val="center"/>
          </w:tcPr>
          <w:p>
            <w:r/>
            <w:r>
              <w:rPr>
                <w:b w:val="0"/>
                <w:sz w:val="16"/>
              </w:rPr>
              <w:t>Maritime incubation, challenge statements, test access and demonstrations</w:t>
            </w:r>
          </w:p>
        </w:tc>
        <w:tc>
          <w:tcPr>
            <w:tcW w:type="dxa" w:w="3360"/>
            <w:shd w:fill="FFFFFF"/>
            <w:vAlign w:val="center"/>
          </w:tcPr>
          <w:p>
            <w:r/>
            <w:r>
              <w:rPr>
                <w:b w:val="0"/>
                <w:sz w:val="16"/>
              </w:rPr>
              <w:t>Startups incubated, pilots completed, industry challenges solved</w:t>
            </w:r>
          </w:p>
        </w:tc>
      </w:tr>
      <w:tr>
        <w:tc>
          <w:tcPr>
            <w:tcW w:type="dxa" w:w="3360"/>
            <w:shd w:fill="F7F9FB"/>
            <w:vAlign w:val="center"/>
          </w:tcPr>
          <w:p>
            <w:r/>
            <w:r>
              <w:rPr>
                <w:b w:val="0"/>
                <w:sz w:val="16"/>
              </w:rPr>
              <w:t>Maritime India Vision 2030</w:t>
            </w:r>
          </w:p>
        </w:tc>
        <w:tc>
          <w:tcPr>
            <w:tcW w:type="dxa" w:w="3360"/>
            <w:shd w:fill="F7F9FB"/>
            <w:vAlign w:val="center"/>
          </w:tcPr>
          <w:p>
            <w:r/>
            <w:r>
              <w:rPr>
                <w:b w:val="0"/>
                <w:sz w:val="16"/>
              </w:rPr>
              <w:t>Technology, skill, port efficiency and maritime ecosystem capability</w:t>
            </w:r>
          </w:p>
        </w:tc>
        <w:tc>
          <w:tcPr>
            <w:tcW w:type="dxa" w:w="3360"/>
            <w:shd w:fill="F7F9FB"/>
            <w:vAlign w:val="center"/>
          </w:tcPr>
          <w:p>
            <w:r/>
            <w:r>
              <w:rPr>
                <w:b w:val="0"/>
                <w:sz w:val="16"/>
              </w:rPr>
              <w:t>Industry-linked programmes and digital marine systems</w:t>
            </w:r>
          </w:p>
        </w:tc>
      </w:tr>
      <w:tr>
        <w:tc>
          <w:tcPr>
            <w:tcW w:type="dxa" w:w="3360"/>
            <w:shd w:fill="FFFFFF"/>
            <w:vAlign w:val="center"/>
          </w:tcPr>
          <w:p>
            <w:r/>
            <w:r>
              <w:rPr>
                <w:b w:val="0"/>
                <w:sz w:val="16"/>
              </w:rPr>
              <w:t>Maritime Amrit Kaal Vision 2047</w:t>
            </w:r>
          </w:p>
        </w:tc>
        <w:tc>
          <w:tcPr>
            <w:tcW w:type="dxa" w:w="3360"/>
            <w:shd w:fill="FFFFFF"/>
            <w:vAlign w:val="center"/>
          </w:tcPr>
          <w:p>
            <w:r/>
            <w:r>
              <w:rPr>
                <w:b w:val="0"/>
                <w:sz w:val="16"/>
              </w:rPr>
              <w:t>Long-term indigenous capability, innovation and globally competitive maritime ecosystem</w:t>
            </w:r>
          </w:p>
        </w:tc>
        <w:tc>
          <w:tcPr>
            <w:tcW w:type="dxa" w:w="3360"/>
            <w:shd w:fill="FFFFFF"/>
            <w:vAlign w:val="center"/>
          </w:tcPr>
          <w:p>
            <w:r/>
            <w:r>
              <w:rPr>
                <w:b w:val="0"/>
                <w:sz w:val="16"/>
              </w:rPr>
              <w:t>Indigenisation, IP, test capability and skilled workforce</w:t>
            </w:r>
          </w:p>
        </w:tc>
      </w:tr>
      <w:tr>
        <w:tc>
          <w:tcPr>
            <w:tcW w:type="dxa" w:w="3360"/>
            <w:shd w:fill="F7F9FB"/>
            <w:vAlign w:val="center"/>
          </w:tcPr>
          <w:p>
            <w:r/>
            <w:r>
              <w:rPr>
                <w:b w:val="0"/>
                <w:sz w:val="16"/>
              </w:rPr>
              <w:t>Make in India / Atmanirbhar Bharat</w:t>
            </w:r>
          </w:p>
        </w:tc>
        <w:tc>
          <w:tcPr>
            <w:tcW w:type="dxa" w:w="3360"/>
            <w:shd w:fill="F7F9FB"/>
            <w:vAlign w:val="center"/>
          </w:tcPr>
          <w:p>
            <w:r/>
            <w:r>
              <w:rPr>
                <w:b w:val="0"/>
                <w:sz w:val="16"/>
              </w:rPr>
              <w:t>Localisation of marine robotic platforms, payloads and subsystems</w:t>
            </w:r>
          </w:p>
        </w:tc>
        <w:tc>
          <w:tcPr>
            <w:tcW w:type="dxa" w:w="3360"/>
            <w:shd w:fill="F7F9FB"/>
            <w:vAlign w:val="center"/>
          </w:tcPr>
          <w:p>
            <w:r/>
            <w:r>
              <w:rPr>
                <w:b w:val="0"/>
                <w:sz w:val="16"/>
              </w:rPr>
              <w:t>Domestic value addition and supplier development</w:t>
            </w:r>
          </w:p>
        </w:tc>
      </w:tr>
      <w:tr>
        <w:tc>
          <w:tcPr>
            <w:tcW w:type="dxa" w:w="3360"/>
            <w:shd w:fill="FFFFFF"/>
            <w:vAlign w:val="center"/>
          </w:tcPr>
          <w:p>
            <w:r/>
            <w:r>
              <w:rPr>
                <w:b w:val="0"/>
                <w:sz w:val="16"/>
              </w:rPr>
              <w:t>Skill India</w:t>
            </w:r>
          </w:p>
        </w:tc>
        <w:tc>
          <w:tcPr>
            <w:tcW w:type="dxa" w:w="3360"/>
            <w:shd w:fill="FFFFFF"/>
            <w:vAlign w:val="center"/>
          </w:tcPr>
          <w:p>
            <w:r/>
            <w:r>
              <w:rPr>
                <w:b w:val="0"/>
                <w:sz w:val="16"/>
              </w:rPr>
              <w:t>Competency-based, industry-linked technical pathways</w:t>
            </w:r>
          </w:p>
        </w:tc>
        <w:tc>
          <w:tcPr>
            <w:tcW w:type="dxa" w:w="3360"/>
            <w:shd w:fill="FFFFFF"/>
            <w:vAlign w:val="center"/>
          </w:tcPr>
          <w:p>
            <w:r/>
            <w:r>
              <w:rPr>
                <w:b w:val="0"/>
                <w:sz w:val="16"/>
              </w:rPr>
              <w:t>Certified/assessed trainees and placement outcomes</w:t>
            </w:r>
          </w:p>
        </w:tc>
      </w:tr>
    </w:tbl>
    <w:p>
      <w:r>
        <w:t>At government-engagement stage, the project should seek convergence with the Ministry of Ports, Shipping and Waterways, Maharashtra Maritime Board, Government of Maharashtra, skill-development agencies, relevant defence and maritime-security stakeholders, academic institutions and industry. Any reference to funding or scheme eligibility should remain subject to the prevailing guidelines, appraisal criteria and formal approval of the competent authority.</w:t>
      </w:r>
    </w:p>
    <w:p>
      <w:pPr>
        <w:pStyle w:val="Heading1"/>
      </w:pPr>
      <w:r>
        <w:t>8A. APPLIED RESEARCH, MARITIME DATA AND TECHNOLOGY DEVELOPMENT</w:t>
      </w:r>
    </w:p>
    <w:p>
      <w:r>
        <w:t>Research is a permanent operating function of KOSMTP and is anchored within the Applied Research and Maritime Data Centre. Annual thematic programmes will be based on port, subsea, offshore, environmental and autonomous-system problem statements, with defined technical leads, partner institutions, data-management plans, test campaigns and technology-readiness outcomes.</w:t>
      </w:r>
    </w:p>
    <w:p>
      <w:pPr>
        <w:pStyle w:val="Heading2"/>
      </w:pPr>
      <w:r>
        <w:t>Priority themes</w:t>
      </w:r>
    </w:p>
    <w:p>
      <w:r>
        <w:t>Underwater autonomy and navigation; acoustic and resilient marine communications; sonar, optical imaging and sensor fusion; AI-assisted anomaly detection; digital twins; marine batteries and endurance; indigenous pressure housings, connectors, thrusters and payload interfaces; corrosion and biofouling; bathymetry and seabed-change detection; environmental sensing; coastal resilience; and human factors in unmanned marine operations.</w:t>
      </w:r>
    </w:p>
    <w:p>
      <w:pPr>
        <w:pStyle w:val="Heading2"/>
      </w:pPr>
      <w:r>
        <w:t>Research and data outputs</w:t>
      </w:r>
    </w:p>
    <w:p>
      <w:r>
        <w:t>Outputs will be measured through sponsored research value, datasets curated, digital asset baselines created, prototypes integrated, sea-trial campaigns completed, patents and design registrations filed, peer-reviewed publications, technologies transferred, startups supported and systems progressing through defined readiness levels.</w:t>
      </w:r>
    </w:p>
    <w:p>
      <w:pPr>
        <w:pStyle w:val="Heading1"/>
        <w:keepNext/>
      </w:pPr>
      <w:r>
        <w:t>9. PUBLIC–PRIVATE PARTNERSHIP MODEL</w:t>
      </w:r>
    </w:p>
    <w:p>
      <w:r>
        <w:t>The preferred structure is a long-tenure PPP or other suitable government-approved development framework that protects public ownership/oversight of strategic land while enabling private investment and professional operation.</w:t>
      </w:r>
    </w:p>
    <w:p>
      <w:pPr>
        <w:pStyle w:val="Heading2"/>
        <w:keepNext/>
      </w:pPr>
      <w:r>
        <w:t>9.1 Indicative public-sector support</w:t>
      </w:r>
    </w:p>
    <w:p>
      <w:pPr>
        <w:pStyle w:val="ListBullet"/>
        <w:spacing w:after="40"/>
        <w:ind w:left="360"/>
      </w:pPr>
      <w:r>
        <w:t>Identification and allocation/lease of suitable waterfront or near-waterfront land.</w:t>
      </w:r>
    </w:p>
    <w:p>
      <w:pPr>
        <w:pStyle w:val="ListBullet"/>
        <w:spacing w:after="40"/>
        <w:ind w:left="360"/>
      </w:pPr>
      <w:r>
        <w:t>Facilitation of road, power, water and digital connectivity.</w:t>
      </w:r>
    </w:p>
    <w:p>
      <w:pPr>
        <w:pStyle w:val="ListBullet"/>
        <w:spacing w:after="40"/>
        <w:ind w:left="360"/>
      </w:pPr>
      <w:r>
        <w:t>Single-window institutional coordination for project development.</w:t>
      </w:r>
    </w:p>
    <w:p>
      <w:pPr>
        <w:pStyle w:val="ListBullet"/>
        <w:spacing w:after="40"/>
        <w:ind w:left="360"/>
      </w:pPr>
      <w:r>
        <w:t>Guidance on CRZ, environment, port, navigation and other applicable approvals.</w:t>
      </w:r>
    </w:p>
    <w:p>
      <w:pPr>
        <w:pStyle w:val="ListBullet"/>
        <w:spacing w:after="40"/>
        <w:ind w:left="360"/>
      </w:pPr>
      <w:r>
        <w:t>Convergence with skill-development and coastal-employment programmes.</w:t>
      </w:r>
    </w:p>
    <w:p>
      <w:pPr>
        <w:pStyle w:val="ListBullet"/>
        <w:spacing w:after="40"/>
        <w:ind w:left="360"/>
      </w:pPr>
      <w:r>
        <w:t>Facilitation of consultations with maritime, defence, academic and industry stakeholders.</w:t>
      </w:r>
    </w:p>
    <w:p>
      <w:pPr>
        <w:pStyle w:val="ListBullet"/>
        <w:spacing w:after="40"/>
        <w:ind w:left="360"/>
      </w:pPr>
      <w:r>
        <w:t>Consideration of eligible project components under applicable maritime/innovation/skill schemes, subject to guidelines.</w:t>
      </w:r>
    </w:p>
    <w:p>
      <w:pPr>
        <w:pStyle w:val="ListBullet"/>
      </w:pPr>
      <w:r>
        <w:t>Guidance on a permission-based pilot maritime living lab and sea-validation operating framework.</w:t>
      </w:r>
    </w:p>
    <w:p>
      <w:pPr>
        <w:pStyle w:val="ListBullet"/>
      </w:pPr>
      <w:r>
        <w:t>Facilitation of access to non-sensitive port and asset problem statements for pilot inspection and research projects.</w:t>
      </w:r>
    </w:p>
    <w:p>
      <w:pPr>
        <w:pStyle w:val="Heading2"/>
        <w:keepNext/>
      </w:pPr>
      <w:r>
        <w:t>9.2 Private-sector responsibilities</w:t>
      </w:r>
    </w:p>
    <w:p>
      <w:pPr>
        <w:pStyle w:val="ListBullet"/>
        <w:spacing w:after="40"/>
        <w:ind w:left="360"/>
      </w:pPr>
      <w:r>
        <w:t>Project development, detailed design and capital investment.</w:t>
      </w:r>
    </w:p>
    <w:p>
      <w:pPr>
        <w:pStyle w:val="ListBullet"/>
        <w:spacing w:after="40"/>
        <w:ind w:left="360"/>
      </w:pPr>
      <w:r>
        <w:t>Equipment procurement, technology partnerships and laboratory creation.</w:t>
      </w:r>
    </w:p>
    <w:p>
      <w:pPr>
        <w:pStyle w:val="ListBullet"/>
        <w:spacing w:after="40"/>
        <w:ind w:left="360"/>
      </w:pPr>
      <w:r>
        <w:t>Course development, faculty/mentor engagement and training delivery.</w:t>
      </w:r>
    </w:p>
    <w:p>
      <w:pPr>
        <w:pStyle w:val="ListBullet"/>
        <w:spacing w:after="40"/>
        <w:ind w:left="360"/>
      </w:pPr>
      <w:r>
        <w:t>Operations, maintenance, safety management and quality systems.</w:t>
      </w:r>
    </w:p>
    <w:p>
      <w:pPr>
        <w:pStyle w:val="ListBullet"/>
        <w:spacing w:after="40"/>
        <w:ind w:left="360"/>
      </w:pPr>
      <w:r>
        <w:t>Industry engagement and service-business development.</w:t>
      </w:r>
    </w:p>
    <w:p>
      <w:pPr>
        <w:pStyle w:val="ListBullet"/>
        <w:spacing w:after="40"/>
        <w:ind w:left="360"/>
      </w:pPr>
      <w:r>
        <w:t>Prototype integration, testing and technology demonstration.</w:t>
      </w:r>
    </w:p>
    <w:p>
      <w:pPr>
        <w:pStyle w:val="ListBullet"/>
        <w:spacing w:after="40"/>
        <w:ind w:left="360"/>
      </w:pPr>
      <w:r>
        <w:t>Startup incubation and academic collaboration.</w:t>
      </w:r>
    </w:p>
    <w:p>
      <w:pPr>
        <w:pStyle w:val="ListBullet"/>
        <w:spacing w:after="40"/>
        <w:ind w:left="360"/>
      </w:pPr>
      <w:r>
        <w:t>Employment generation and local supplier development.</w:t>
      </w:r>
    </w:p>
    <w:p>
      <w:pPr>
        <w:pStyle w:val="ListBullet"/>
      </w:pPr>
      <w:r>
        <w:t>Deployment and operation of the asset-integrity service fleet and inspection teams.</w:t>
      </w:r>
    </w:p>
    <w:p>
      <w:pPr>
        <w:pStyle w:val="ListBullet"/>
      </w:pPr>
      <w:r>
        <w:t>Creation of the maritime data governance, digital-twin and secure research environment.</w:t>
      </w:r>
    </w:p>
    <w:p>
      <w:pPr>
        <w:pStyle w:val="ListBullet"/>
      </w:pPr>
      <w:r>
        <w:t>Establishment of assembly, repair, spares and lifecycle-support systems for marine robotics.</w:t>
      </w:r>
    </w:p>
    <w:p>
      <w:r>
        <w:t>Indicative concession / lease horizon: 30–60 years, subject to the selected PPP structure, government policy and project financial model.</w:t>
      </w:r>
    </w:p>
    <w:p>
      <w:pPr>
        <w:pStyle w:val="Heading1"/>
        <w:keepNext/>
      </w:pPr>
      <w:r>
        <w:t>10. LAND, WATERFRONT AND INFRASTRUCTURE REQUIREMENT</w:t>
      </w:r>
    </w:p>
    <w:p>
      <w:r>
        <w:t>The technology scope requires more deliberate waterfront planning than the original concept.</w:t>
      </w:r>
    </w:p>
    <w:tbl>
      <w:tblPr>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b/>
                <w:color w:val="FFFFFF"/>
                <w:sz w:val="18"/>
              </w:rPr>
              <w:t>Development stage</w:t>
            </w:r>
          </w:p>
        </w:tc>
        <w:tc>
          <w:tcPr>
            <w:tcW w:type="dxa" w:w="3360"/>
            <w:shd w:fill="17365D"/>
            <w:vAlign w:val="center"/>
          </w:tcPr>
          <w:p>
            <w:r/>
            <w:r>
              <w:rPr>
                <w:b/>
                <w:color w:val="FFFFFF"/>
                <w:sz w:val="18"/>
              </w:rPr>
              <w:t>Indicative land</w:t>
            </w:r>
          </w:p>
        </w:tc>
        <w:tc>
          <w:tcPr>
            <w:tcW w:type="dxa" w:w="3360"/>
            <w:shd w:fill="17365D"/>
            <w:vAlign w:val="center"/>
          </w:tcPr>
          <w:p>
            <w:r/>
            <w:r>
              <w:rPr>
                <w:b/>
                <w:color w:val="FFFFFF"/>
                <w:sz w:val="18"/>
              </w:rPr>
              <w:t>Principal requirement</w:t>
            </w:r>
          </w:p>
        </w:tc>
      </w:tr>
      <w:tr>
        <w:tc>
          <w:tcPr>
            <w:tcW w:type="dxa" w:w="3360"/>
            <w:vAlign w:val="center"/>
          </w:tcPr>
          <w:p>
            <w:r/>
            <w:r>
              <w:rPr>
                <w:b w:val="0"/>
                <w:sz w:val="17"/>
              </w:rPr>
              <w:t>Phase I</w:t>
            </w:r>
          </w:p>
        </w:tc>
        <w:tc>
          <w:tcPr>
            <w:tcW w:type="dxa" w:w="3360"/>
            <w:vAlign w:val="center"/>
          </w:tcPr>
          <w:p>
            <w:r/>
            <w:r>
              <w:rPr>
                <w:b w:val="0"/>
                <w:sz w:val="17"/>
              </w:rPr>
              <w:t>5–10 acres</w:t>
            </w:r>
          </w:p>
        </w:tc>
        <w:tc>
          <w:tcPr>
            <w:tcW w:type="dxa" w:w="3360"/>
            <w:vAlign w:val="center"/>
          </w:tcPr>
          <w:p>
            <w:r/>
            <w:r>
              <w:rPr>
                <w:b w:val="0"/>
                <w:sz w:val="17"/>
              </w:rPr>
              <w:t>Academy, labs, workshop, simulator, hostel, launch/recovery access</w:t>
            </w:r>
          </w:p>
        </w:tc>
      </w:tr>
      <w:tr>
        <w:tc>
          <w:tcPr>
            <w:tcW w:type="dxa" w:w="3360"/>
            <w:vAlign w:val="center"/>
          </w:tcPr>
          <w:p>
            <w:r/>
            <w:r>
              <w:rPr>
                <w:b w:val="0"/>
                <w:sz w:val="17"/>
              </w:rPr>
              <w:t>Phase II</w:t>
            </w:r>
          </w:p>
        </w:tc>
        <w:tc>
          <w:tcPr>
            <w:tcW w:type="dxa" w:w="3360"/>
            <w:vAlign w:val="center"/>
          </w:tcPr>
          <w:p>
            <w:r/>
            <w:r>
              <w:rPr>
                <w:b w:val="0"/>
                <w:sz w:val="17"/>
              </w:rPr>
              <w:t>10–15 acres</w:t>
            </w:r>
          </w:p>
        </w:tc>
        <w:tc>
          <w:tcPr>
            <w:tcW w:type="dxa" w:w="3360"/>
            <w:vAlign w:val="center"/>
          </w:tcPr>
          <w:p>
            <w:r/>
            <w:r>
              <w:rPr>
                <w:b w:val="0"/>
                <w:sz w:val="17"/>
              </w:rPr>
              <w:t>Autonomous systems centre, integration bays, test support, incubation</w:t>
            </w:r>
          </w:p>
        </w:tc>
      </w:tr>
      <w:tr>
        <w:tc>
          <w:tcPr>
            <w:tcW w:type="dxa" w:w="3360"/>
            <w:vAlign w:val="center"/>
          </w:tcPr>
          <w:p>
            <w:r/>
            <w:r>
              <w:rPr>
                <w:b w:val="0"/>
                <w:sz w:val="17"/>
              </w:rPr>
              <w:t>Long-term campus</w:t>
            </w:r>
          </w:p>
        </w:tc>
        <w:tc>
          <w:tcPr>
            <w:tcW w:type="dxa" w:w="3360"/>
            <w:vAlign w:val="center"/>
          </w:tcPr>
          <w:p>
            <w:r/>
            <w:r>
              <w:rPr>
                <w:b w:val="0"/>
                <w:sz w:val="17"/>
              </w:rPr>
              <w:t>Up to 25 acres</w:t>
            </w:r>
          </w:p>
        </w:tc>
        <w:tc>
          <w:tcPr>
            <w:tcW w:type="dxa" w:w="3360"/>
            <w:vAlign w:val="center"/>
          </w:tcPr>
          <w:p>
            <w:r/>
            <w:r>
              <w:rPr>
                <w:b w:val="0"/>
                <w:sz w:val="17"/>
              </w:rPr>
              <w:t>Expanded CoE, hyperbaric facility, advanced labs, industry bays</w:t>
            </w:r>
          </w:p>
        </w:tc>
      </w:tr>
    </w:tbl>
    <w:p>
      <w:pPr>
        <w:pStyle w:val="Heading2"/>
        <w:keepNext/>
      </w:pPr>
      <w:r>
        <w:t>10.1 Indicative land utilisation</w:t>
      </w:r>
    </w:p>
    <w:p>
      <w:pPr>
        <w:pStyle w:val="ListBullet"/>
        <w:spacing w:after="40"/>
        <w:ind w:left="360"/>
      </w:pPr>
      <w:r>
        <w:t>Academic and simulator block.</w:t>
      </w:r>
    </w:p>
    <w:p>
      <w:pPr>
        <w:pStyle w:val="ListBullet"/>
        <w:spacing w:after="40"/>
        <w:ind w:left="360"/>
      </w:pPr>
      <w:r>
        <w:t>Underwater skills laboratories and diving-support area.</w:t>
      </w:r>
    </w:p>
    <w:p>
      <w:pPr>
        <w:pStyle w:val="ListBullet"/>
        <w:spacing w:after="40"/>
        <w:ind w:left="360"/>
      </w:pPr>
      <w:r>
        <w:t>ROV/AUV/USV laboratories.</w:t>
      </w:r>
    </w:p>
    <w:p>
      <w:pPr>
        <w:pStyle w:val="ListBullet"/>
        <w:spacing w:after="40"/>
        <w:ind w:left="360"/>
      </w:pPr>
      <w:r>
        <w:t>Electronics, mechatronics and autonomy laboratory.</w:t>
      </w:r>
    </w:p>
    <w:p>
      <w:pPr>
        <w:pStyle w:val="ListBullet"/>
        <w:spacing w:after="40"/>
        <w:ind w:left="360"/>
      </w:pPr>
      <w:r>
        <w:t>Marine fabrication and integration workshop.</w:t>
      </w:r>
    </w:p>
    <w:p>
      <w:pPr>
        <w:pStyle w:val="ListBullet"/>
        <w:spacing w:after="40"/>
        <w:ind w:left="360"/>
      </w:pPr>
      <w:r>
        <w:t>Composite/rapid-prototyping and machine-support area, subject to safety design.</w:t>
      </w:r>
    </w:p>
    <w:p>
      <w:pPr>
        <w:pStyle w:val="ListBullet"/>
        <w:spacing w:after="40"/>
        <w:ind w:left="360"/>
      </w:pPr>
      <w:r>
        <w:t>Mission-control and telemetry room.</w:t>
      </w:r>
    </w:p>
    <w:p>
      <w:pPr>
        <w:pStyle w:val="ListBullet"/>
        <w:spacing w:after="40"/>
        <w:ind w:left="360"/>
      </w:pPr>
      <w:r>
        <w:t>Test preparation and equipment staging area.</w:t>
      </w:r>
    </w:p>
    <w:p>
      <w:pPr>
        <w:pStyle w:val="ListBullet"/>
        <w:spacing w:after="40"/>
        <w:ind w:left="360"/>
      </w:pPr>
      <w:r>
        <w:t>Hyperbaric and medical-support zone.</w:t>
      </w:r>
    </w:p>
    <w:p>
      <w:pPr>
        <w:pStyle w:val="ListBullet"/>
        <w:spacing w:after="40"/>
        <w:ind w:left="360"/>
      </w:pPr>
      <w:r>
        <w:t>Startup and research incubation centre.</w:t>
      </w:r>
    </w:p>
    <w:p>
      <w:pPr>
        <w:pStyle w:val="ListBullet"/>
        <w:spacing w:after="40"/>
        <w:ind w:left="360"/>
      </w:pPr>
      <w:r>
        <w:t>Hostel, mess and trainee welfare facilities.</w:t>
      </w:r>
    </w:p>
    <w:p>
      <w:pPr>
        <w:pStyle w:val="ListBullet"/>
        <w:spacing w:after="40"/>
        <w:ind w:left="360"/>
      </w:pPr>
      <w:r>
        <w:t>Administration, stores and quality/document-control facilities.</w:t>
      </w:r>
    </w:p>
    <w:p>
      <w:pPr>
        <w:pStyle w:val="ListBullet"/>
        <w:spacing w:after="40"/>
        <w:ind w:left="360"/>
      </w:pPr>
      <w:r>
        <w:t>Secure project bays for authorised customer programmes.</w:t>
      </w:r>
    </w:p>
    <w:p>
      <w:pPr>
        <w:pStyle w:val="ListBullet"/>
        <w:spacing w:after="40"/>
        <w:ind w:left="360"/>
      </w:pPr>
      <w:r>
        <w:t>Jetty/slipway/launch-and-recovery interface or dedicated access arrangement, subject to site feasibility.</w:t>
      </w:r>
    </w:p>
    <w:p>
      <w:pPr>
        <w:pStyle w:val="ListBullet"/>
      </w:pPr>
      <w:r>
        <w:t>Living Lab mission-control, telemetry and sea-trial coordination facility.</w:t>
      </w:r>
    </w:p>
    <w:p>
      <w:pPr>
        <w:pStyle w:val="ListBullet"/>
      </w:pPr>
      <w:r>
        <w:t>Asset-integrity operations base, equipment staging and mobile inspection fleet.</w:t>
      </w:r>
    </w:p>
    <w:p>
      <w:pPr>
        <w:pStyle w:val="ListBullet"/>
      </w:pPr>
      <w:r>
        <w:t>Maritime data centre, secure server environment and digital-twin laboratory.</w:t>
      </w:r>
    </w:p>
    <w:p>
      <w:pPr>
        <w:pStyle w:val="ListBullet"/>
      </w:pPr>
      <w:r>
        <w:t>Marine robotics assembly, diagnostics, spares, repair and MRO bays.</w:t>
      </w:r>
    </w:p>
    <w:p>
      <w:pPr>
        <w:pStyle w:val="Heading1"/>
        <w:keepNext/>
      </w:pPr>
      <w:r>
        <w:t>11. IMPLEMENTATION PHASING AND INDICATIVE INVESTMENT</w:t>
      </w:r>
    </w:p>
    <w:p>
      <w:r>
        <w:t>A 12-month Phase-0 pilot is recommended before major campus CAPEX. The pilot should validate customer demand, operating permissions, training-market response, inspection revenue, research partnerships and the practical Vijaydurg sea-validation model. The existing investment bands remain concept-stage starting points and require DPR validation; final CAPEX will depend on waterfront works, hyperbaric systems, test equipment, data infrastructure, MRO equipment, imported content and medium-class demonstrator platforms.</w:t>
      </w:r>
    </w:p>
    <w:tbl>
      <w:tblPr>
        <w:tblW w:type="auto" w:w="0"/>
        <w:jc w:val="center"/>
        <w:tblLook w:firstColumn="1" w:firstRow="1" w:lastColumn="0" w:lastRow="0" w:noHBand="0" w:noVBand="1" w:val="04A0"/>
      </w:tblPr>
      <w:tblGrid>
        <w:gridCol w:w="2520"/>
        <w:gridCol w:w="2520"/>
        <w:gridCol w:w="2520"/>
        <w:gridCol w:w="2520"/>
      </w:tblGrid>
      <w:tr>
        <w:tc>
          <w:tcPr>
            <w:tcW w:type="dxa" w:w="2520"/>
            <w:shd w:fill="17365D"/>
            <w:vAlign w:val="center"/>
          </w:tcPr>
          <w:p>
            <w:r/>
            <w:r>
              <w:rPr>
                <w:b/>
                <w:color w:val="FFFFFF"/>
                <w:sz w:val="17"/>
              </w:rPr>
              <w:t>Phase</w:t>
            </w:r>
          </w:p>
        </w:tc>
        <w:tc>
          <w:tcPr>
            <w:tcW w:type="dxa" w:w="2520"/>
            <w:shd w:fill="17365D"/>
            <w:vAlign w:val="center"/>
          </w:tcPr>
          <w:p>
            <w:r/>
            <w:r>
              <w:rPr>
                <w:b/>
                <w:color w:val="FFFFFF"/>
                <w:sz w:val="17"/>
              </w:rPr>
              <w:t>Period</w:t>
            </w:r>
          </w:p>
        </w:tc>
        <w:tc>
          <w:tcPr>
            <w:tcW w:type="dxa" w:w="2520"/>
            <w:shd w:fill="17365D"/>
            <w:vAlign w:val="center"/>
          </w:tcPr>
          <w:p>
            <w:r/>
            <w:r>
              <w:rPr>
                <w:b/>
                <w:color w:val="FFFFFF"/>
                <w:sz w:val="17"/>
              </w:rPr>
              <w:t>Key deliverables</w:t>
            </w:r>
          </w:p>
        </w:tc>
        <w:tc>
          <w:tcPr>
            <w:tcW w:type="dxa" w:w="2520"/>
            <w:shd w:fill="17365D"/>
            <w:vAlign w:val="center"/>
          </w:tcPr>
          <w:p>
            <w:r/>
            <w:r>
              <w:rPr>
                <w:b/>
                <w:color w:val="FFFFFF"/>
                <w:sz w:val="17"/>
              </w:rPr>
              <w:t>Indicative investment*</w:t>
            </w:r>
          </w:p>
        </w:tc>
      </w:tr>
      <w:tr>
        <w:tc>
          <w:tcPr>
            <w:tcW w:type="dxa" w:w="2520"/>
            <w:shd w:fill="F7F9FB"/>
            <w:vAlign w:val="center"/>
          </w:tcPr>
          <w:p>
            <w:r/>
            <w:r>
              <w:rPr>
                <w:b w:val="0"/>
                <w:sz w:val="16"/>
              </w:rPr>
              <w:t>Phase I — Skills &amp; Underwater Technology Launch</w:t>
            </w:r>
          </w:p>
        </w:tc>
        <w:tc>
          <w:tcPr>
            <w:tcW w:type="dxa" w:w="2520"/>
            <w:shd w:fill="F7F9FB"/>
            <w:vAlign w:val="center"/>
          </w:tcPr>
          <w:p>
            <w:r/>
            <w:r>
              <w:rPr>
                <w:b w:val="0"/>
                <w:sz w:val="16"/>
              </w:rPr>
              <w:t>Years 1–2</w:t>
            </w:r>
          </w:p>
        </w:tc>
        <w:tc>
          <w:tcPr>
            <w:tcW w:type="dxa" w:w="2520"/>
            <w:shd w:fill="F7F9FB"/>
            <w:vAlign w:val="center"/>
          </w:tcPr>
          <w:p>
            <w:r>
              <w:t>Academy; initial Asset Integrity and Inspection Services Centre; compact ROV fleet; pilot Maritime Living Lab; basic assembly/MRO workshop; research and data platform; simulator; hostel</w:t>
            </w:r>
          </w:p>
        </w:tc>
        <w:tc>
          <w:tcPr>
            <w:tcW w:type="dxa" w:w="2520"/>
            <w:shd w:fill="F7F9FB"/>
            <w:vAlign w:val="center"/>
          </w:tcPr>
          <w:p>
            <w:r/>
            <w:r>
              <w:rPr>
                <w:b w:val="0"/>
                <w:sz w:val="16"/>
              </w:rPr>
              <w:t>₹3–5 crore baseline; DPR validation required</w:t>
            </w:r>
          </w:p>
        </w:tc>
      </w:tr>
      <w:tr>
        <w:tc>
          <w:tcPr>
            <w:tcW w:type="dxa" w:w="2520"/>
            <w:shd w:fill="FFFFFF"/>
            <w:vAlign w:val="center"/>
          </w:tcPr>
          <w:p>
            <w:r/>
            <w:r>
              <w:rPr>
                <w:b w:val="0"/>
                <w:sz w:val="16"/>
              </w:rPr>
              <w:t>Phase II — Autonomous Systems &amp; Test Centre</w:t>
            </w:r>
          </w:p>
        </w:tc>
        <w:tc>
          <w:tcPr>
            <w:tcW w:type="dxa" w:w="2520"/>
            <w:shd w:fill="FFFFFF"/>
            <w:vAlign w:val="center"/>
          </w:tcPr>
          <w:p>
            <w:r/>
            <w:r>
              <w:rPr>
                <w:b w:val="0"/>
                <w:sz w:val="16"/>
              </w:rPr>
              <w:t>Years 2–4</w:t>
            </w:r>
          </w:p>
        </w:tc>
        <w:tc>
          <w:tcPr>
            <w:tcW w:type="dxa" w:w="2520"/>
            <w:shd w:fill="FFFFFF"/>
            <w:vAlign w:val="center"/>
          </w:tcPr>
          <w:p>
            <w:r>
              <w:t>Expanded Living Lab and sheltered-water validation; AUV/USV centre; mission control and telemetry; Maritime Data Centre and digital twins; advanced inspection services; expanded assembly/MRO cluster</w:t>
            </w:r>
          </w:p>
        </w:tc>
        <w:tc>
          <w:tcPr>
            <w:tcW w:type="dxa" w:w="2520"/>
            <w:shd w:fill="FFFFFF"/>
            <w:vAlign w:val="center"/>
          </w:tcPr>
          <w:p>
            <w:r/>
            <w:r>
              <w:rPr>
                <w:b w:val="0"/>
                <w:sz w:val="16"/>
              </w:rPr>
              <w:t>₹10–15 crore baseline; likely scope-sensitive</w:t>
            </w:r>
          </w:p>
        </w:tc>
      </w:tr>
      <w:tr>
        <w:tc>
          <w:tcPr>
            <w:tcW w:type="dxa" w:w="2520"/>
            <w:shd w:fill="F7F9FB"/>
            <w:vAlign w:val="center"/>
          </w:tcPr>
          <w:p>
            <w:r/>
            <w:r>
              <w:rPr>
                <w:b w:val="0"/>
                <w:sz w:val="16"/>
              </w:rPr>
              <w:t>Phase III — National Centre of Excellence</w:t>
            </w:r>
          </w:p>
        </w:tc>
        <w:tc>
          <w:tcPr>
            <w:tcW w:type="dxa" w:w="2520"/>
            <w:shd w:fill="F7F9FB"/>
            <w:vAlign w:val="center"/>
          </w:tcPr>
          <w:p>
            <w:r/>
            <w:r>
              <w:rPr>
                <w:b w:val="0"/>
                <w:sz w:val="16"/>
              </w:rPr>
              <w:t>Years 4–7</w:t>
            </w:r>
          </w:p>
        </w:tc>
        <w:tc>
          <w:tcPr>
            <w:tcW w:type="dxa" w:w="2520"/>
            <w:shd w:fill="F7F9FB"/>
            <w:vAlign w:val="center"/>
          </w:tcPr>
          <w:p>
            <w:r>
              <w:t>National Centre of Excellence; advanced sea-validation capability; medium-category demonstrators; secure research bays; mature MRO and supplier cluster; hyperbaric capability; national partnerships</w:t>
            </w:r>
          </w:p>
        </w:tc>
        <w:tc>
          <w:tcPr>
            <w:tcW w:type="dxa" w:w="2520"/>
            <w:shd w:fill="F7F9FB"/>
            <w:vAlign w:val="center"/>
          </w:tcPr>
          <w:p>
            <w:r/>
            <w:r>
              <w:rPr>
                <w:b w:val="0"/>
                <w:sz w:val="16"/>
              </w:rPr>
              <w:t>₹25–40 crore baseline; DPR validation required</w:t>
            </w:r>
          </w:p>
        </w:tc>
      </w:tr>
    </w:tbl>
    <w:p>
      <w:r>
        <w:t>*Indicative concept-stage figures only; not a sanctioned cost estimate or investment commitment.</w:t>
      </w:r>
    </w:p>
    <w:p>
      <w:pPr>
        <w:pStyle w:val="Heading1"/>
        <w:keepNext/>
      </w:pPr>
      <w:r>
        <w:t>12. OPERATING AND REVENUE MODEL</w:t>
      </w:r>
    </w:p>
    <w:p>
      <w:r>
        <w:t>KOSMTP is designed as a multi-revenue ecosystem to improve long-term operating sustainability.</w:t>
      </w:r>
    </w:p>
    <w:p>
      <w:pPr>
        <w:pStyle w:val="ListBullet"/>
        <w:spacing w:after="40"/>
        <w:ind w:left="360"/>
      </w:pPr>
      <w:r>
        <w:t>Course fees and sponsored training programmes.</w:t>
      </w:r>
    </w:p>
    <w:p>
      <w:pPr>
        <w:pStyle w:val="ListBullet"/>
        <w:spacing w:after="40"/>
        <w:ind w:left="360"/>
      </w:pPr>
      <w:r>
        <w:t>Industry and government cohort training.</w:t>
      </w:r>
    </w:p>
    <w:p>
      <w:pPr>
        <w:pStyle w:val="ListBullet"/>
        <w:spacing w:after="40"/>
        <w:ind w:left="360"/>
      </w:pPr>
      <w:r>
        <w:t>ROV/AUV/USV operator and technician programmes.</w:t>
      </w:r>
    </w:p>
    <w:p>
      <w:pPr>
        <w:pStyle w:val="ListBullet"/>
        <w:spacing w:after="40"/>
        <w:ind w:left="360"/>
      </w:pPr>
      <w:r>
        <w:t>Marine inspection, survey and asset-integrity services.</w:t>
      </w:r>
    </w:p>
    <w:p>
      <w:pPr>
        <w:pStyle w:val="ListBullet"/>
        <w:spacing w:after="40"/>
        <w:ind w:left="360"/>
      </w:pPr>
      <w:r>
        <w:t>Prototype integration and engineering services.</w:t>
      </w:r>
    </w:p>
    <w:p>
      <w:pPr>
        <w:pStyle w:val="ListBullet"/>
        <w:spacing w:after="40"/>
        <w:ind w:left="360"/>
      </w:pPr>
      <w:r>
        <w:t>Test-range / test-support / instrumentation charges where permitted.</w:t>
      </w:r>
    </w:p>
    <w:p>
      <w:pPr>
        <w:pStyle w:val="ListBullet"/>
        <w:spacing w:after="40"/>
        <w:ind w:left="360"/>
      </w:pPr>
      <w:r>
        <w:t>Technology demonstration and user-evaluation support.</w:t>
      </w:r>
    </w:p>
    <w:p>
      <w:pPr>
        <w:pStyle w:val="ListBullet"/>
        <w:spacing w:after="40"/>
        <w:ind w:left="360"/>
      </w:pPr>
      <w:r>
        <w:t>Maintenance, repair and lifecycle support for marine robotic systems.</w:t>
      </w:r>
    </w:p>
    <w:p>
      <w:pPr>
        <w:pStyle w:val="ListBullet"/>
        <w:spacing w:after="40"/>
        <w:ind w:left="360"/>
      </w:pPr>
      <w:r>
        <w:t>Research grants and sponsored R&amp;D.</w:t>
      </w:r>
    </w:p>
    <w:p>
      <w:pPr>
        <w:pStyle w:val="ListBullet"/>
        <w:spacing w:after="40"/>
        <w:ind w:left="360"/>
      </w:pPr>
      <w:r>
        <w:t>Startup incubation, laboratory access and industry challenge programmes.</w:t>
      </w:r>
    </w:p>
    <w:p>
      <w:pPr>
        <w:pStyle w:val="ListBullet"/>
        <w:spacing w:after="40"/>
        <w:ind w:left="360"/>
      </w:pPr>
      <w:r>
        <w:t>Technology licensing, IP and indigenous subsystem commercialisation.</w:t>
      </w:r>
    </w:p>
    <w:p>
      <w:pPr>
        <w:pStyle w:val="ListBullet"/>
        <w:spacing w:after="40"/>
        <w:ind w:left="360"/>
      </w:pPr>
      <w:r>
        <w:t>Hostel and residential training support.</w:t>
      </w:r>
    </w:p>
    <w:p>
      <w:pPr>
        <w:pStyle w:val="ListBullet"/>
      </w:pPr>
      <w:r>
        <w:t>Living Lab access, test support, instrumentation and sea-trial campaign charges.</w:t>
      </w:r>
    </w:p>
    <w:p>
      <w:pPr>
        <w:pStyle w:val="ListBullet"/>
      </w:pPr>
      <w:r>
        <w:t>Recurring inspection contracts, asset-condition monitoring and digital reporting.</w:t>
      </w:r>
    </w:p>
    <w:p>
      <w:pPr>
        <w:pStyle w:val="ListBullet"/>
      </w:pPr>
      <w:r>
        <w:t>Robotics assembly, repair, annual maintenance contracts, spares and field support.</w:t>
      </w:r>
    </w:p>
    <w:p>
      <w:pPr>
        <w:pStyle w:val="ListBullet"/>
      </w:pPr>
      <w:r>
        <w:t>Maritime data analytics, digital-twin services and recurring asset-intelligence subscriptions.</w:t>
      </w:r>
    </w:p>
    <w:p>
      <w:pPr>
        <w:pStyle w:val="Heading1"/>
        <w:keepNext/>
      </w:pPr>
      <w:r>
        <w:t>13. EXPECTED IMPACT AND KEY PERFORMANCE INDICATORS</w:t>
      </w:r>
    </w:p>
    <w:p>
      <w:pPr>
        <w:pStyle w:val="Heading2"/>
        <w:keepNext/>
      </w:pPr>
      <w:r>
        <w:t>13.1 Employment and skills</w:t>
      </w:r>
    </w:p>
    <w:p>
      <w:pPr>
        <w:pStyle w:val="ListBullet"/>
        <w:spacing w:after="40"/>
        <w:ind w:left="360"/>
      </w:pPr>
      <w:r>
        <w:t>Direct employment target: 200+ at mature operating scale.</w:t>
      </w:r>
    </w:p>
    <w:p>
      <w:pPr>
        <w:pStyle w:val="ListBullet"/>
        <w:spacing w:after="40"/>
        <w:ind w:left="360"/>
      </w:pPr>
      <w:r>
        <w:t>Indirect employment potential: 1,000+ through suppliers, services, logistics, accommodation and MSMEs.</w:t>
      </w:r>
    </w:p>
    <w:p>
      <w:pPr>
        <w:pStyle w:val="ListBullet"/>
        <w:spacing w:after="40"/>
        <w:ind w:left="360"/>
      </w:pPr>
      <w:r>
        <w:t>Training capacity target: 2,000–3,000 learners annually after phased scale-up.</w:t>
      </w:r>
    </w:p>
    <w:p>
      <w:pPr>
        <w:pStyle w:val="ListBullet"/>
        <w:spacing w:after="40"/>
        <w:ind w:left="360"/>
      </w:pPr>
      <w:r>
        <w:t>Creation of specialised pathways for coastal youth into marine electronics, robotics, inspection, diving support and autonomous systems.</w:t>
      </w:r>
    </w:p>
    <w:p>
      <w:pPr>
        <w:pStyle w:val="Heading2"/>
        <w:keepNext/>
      </w:pPr>
      <w:r>
        <w:t>13.2 Technology and industrial impact</w:t>
      </w:r>
    </w:p>
    <w:p>
      <w:pPr>
        <w:pStyle w:val="ListBullet"/>
        <w:spacing w:after="40"/>
        <w:ind w:left="360"/>
      </w:pPr>
      <w:r>
        <w:t>Indigenous prototypes and mission payloads integrated and sea-tested.</w:t>
      </w:r>
    </w:p>
    <w:p>
      <w:pPr>
        <w:pStyle w:val="ListBullet"/>
        <w:spacing w:after="40"/>
        <w:ind w:left="360"/>
      </w:pPr>
      <w:r>
        <w:t>Reduced dependence on imported inspection-class marine robotic solutions over time.</w:t>
      </w:r>
    </w:p>
    <w:p>
      <w:pPr>
        <w:pStyle w:val="ListBullet"/>
        <w:spacing w:after="40"/>
        <w:ind w:left="360"/>
      </w:pPr>
      <w:r>
        <w:t>Creation of local maintenance and repair competence.</w:t>
      </w:r>
    </w:p>
    <w:p>
      <w:pPr>
        <w:pStyle w:val="ListBullet"/>
        <w:spacing w:after="40"/>
        <w:ind w:left="360"/>
      </w:pPr>
      <w:r>
        <w:t>Field-validation support for Indian startups and research institutions.</w:t>
      </w:r>
    </w:p>
    <w:p>
      <w:pPr>
        <w:pStyle w:val="ListBullet"/>
        <w:spacing w:after="40"/>
        <w:ind w:left="360"/>
      </w:pPr>
      <w:r>
        <w:t>Development of a western-coast marine technology supplier and service network.</w:t>
      </w:r>
    </w:p>
    <w:p>
      <w:pPr>
        <w:pStyle w:val="ListBullet"/>
      </w:pPr>
      <w:r>
        <w:t>Creation of a revenue-generating marine inspection and survey capability serving Maharashtra's port and coastal assets.</w:t>
      </w:r>
    </w:p>
    <w:p>
      <w:pPr>
        <w:pStyle w:val="ListBullet"/>
      </w:pPr>
      <w:r>
        <w:t>A shared sea-validation platform for Indian universities, startups, manufacturers and authorised users.</w:t>
      </w:r>
    </w:p>
    <w:p>
      <w:pPr>
        <w:pStyle w:val="ListBullet"/>
      </w:pPr>
      <w:r>
        <w:t>Creation of reusable marine datasets, digital asset baselines and digital-twin capability.</w:t>
      </w:r>
    </w:p>
    <w:p>
      <w:pPr>
        <w:pStyle w:val="ListBullet"/>
      </w:pPr>
      <w:r>
        <w:t>A local marine robotics MRO and supplier ecosystem supporting lifecycle reliability and import substitution.</w:t>
      </w:r>
    </w:p>
    <w:p>
      <w:pPr>
        <w:pStyle w:val="Heading2"/>
        <w:keepNext/>
      </w:pPr>
      <w:r>
        <w:t>13.3 Suggested annual KPI dashboard</w:t>
      </w:r>
    </w:p>
    <w:tbl>
      <w:tblPr>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b/>
                <w:color w:val="FFFFFF"/>
                <w:sz w:val="17"/>
              </w:rPr>
              <w:t>KPI domain</w:t>
            </w:r>
          </w:p>
        </w:tc>
        <w:tc>
          <w:tcPr>
            <w:tcW w:type="dxa" w:w="3360"/>
            <w:shd w:fill="17365D"/>
            <w:vAlign w:val="center"/>
          </w:tcPr>
          <w:p>
            <w:r/>
            <w:r>
              <w:rPr>
                <w:b/>
                <w:color w:val="FFFFFF"/>
                <w:sz w:val="17"/>
              </w:rPr>
              <w:t>Metric</w:t>
            </w:r>
          </w:p>
        </w:tc>
        <w:tc>
          <w:tcPr>
            <w:tcW w:type="dxa" w:w="3360"/>
            <w:shd w:fill="17365D"/>
            <w:vAlign w:val="center"/>
          </w:tcPr>
          <w:p>
            <w:r/>
            <w:r>
              <w:rPr>
                <w:b/>
                <w:color w:val="FFFFFF"/>
                <w:sz w:val="17"/>
              </w:rPr>
              <w:t>Year-5 directional target</w:t>
            </w:r>
          </w:p>
        </w:tc>
      </w:tr>
      <w:tr>
        <w:tc>
          <w:tcPr>
            <w:tcW w:type="dxa" w:w="3360"/>
            <w:vAlign w:val="center"/>
          </w:tcPr>
          <w:p>
            <w:r/>
            <w:r>
              <w:rPr>
                <w:b w:val="0"/>
                <w:sz w:val="16"/>
              </w:rPr>
              <w:t>Skills</w:t>
            </w:r>
          </w:p>
        </w:tc>
        <w:tc>
          <w:tcPr>
            <w:tcW w:type="dxa" w:w="3360"/>
            <w:vAlign w:val="center"/>
          </w:tcPr>
          <w:p>
            <w:r/>
            <w:r>
              <w:rPr>
                <w:b w:val="0"/>
                <w:sz w:val="16"/>
              </w:rPr>
              <w:t>Learners trained</w:t>
            </w:r>
          </w:p>
        </w:tc>
        <w:tc>
          <w:tcPr>
            <w:tcW w:type="dxa" w:w="3360"/>
            <w:vAlign w:val="center"/>
          </w:tcPr>
          <w:p>
            <w:r/>
            <w:r>
              <w:rPr>
                <w:b w:val="0"/>
                <w:sz w:val="16"/>
              </w:rPr>
              <w:t>2,000–3,000 / year</w:t>
            </w:r>
          </w:p>
        </w:tc>
      </w:tr>
      <w:tr>
        <w:tc>
          <w:tcPr>
            <w:tcW w:type="dxa" w:w="3360"/>
            <w:vAlign w:val="center"/>
          </w:tcPr>
          <w:p>
            <w:r/>
            <w:r>
              <w:rPr>
                <w:b w:val="0"/>
                <w:sz w:val="16"/>
              </w:rPr>
              <w:t>Employment</w:t>
            </w:r>
          </w:p>
        </w:tc>
        <w:tc>
          <w:tcPr>
            <w:tcW w:type="dxa" w:w="3360"/>
            <w:vAlign w:val="center"/>
          </w:tcPr>
          <w:p>
            <w:r/>
            <w:r>
              <w:rPr>
                <w:b w:val="0"/>
                <w:sz w:val="16"/>
              </w:rPr>
              <w:t>Placement / deployment rate</w:t>
            </w:r>
          </w:p>
        </w:tc>
        <w:tc>
          <w:tcPr>
            <w:tcW w:type="dxa" w:w="3360"/>
            <w:vAlign w:val="center"/>
          </w:tcPr>
          <w:p>
            <w:r/>
            <w:r>
              <w:rPr>
                <w:b w:val="0"/>
                <w:sz w:val="16"/>
              </w:rPr>
              <w:t>Programme-specific target in DPR</w:t>
            </w:r>
          </w:p>
        </w:tc>
      </w:tr>
      <w:tr>
        <w:tc>
          <w:tcPr>
            <w:tcW w:type="dxa" w:w="3360"/>
            <w:vAlign w:val="center"/>
          </w:tcPr>
          <w:p>
            <w:r/>
            <w:r>
              <w:rPr>
                <w:b w:val="0"/>
                <w:sz w:val="16"/>
              </w:rPr>
              <w:t>Local inclusion</w:t>
            </w:r>
          </w:p>
        </w:tc>
        <w:tc>
          <w:tcPr>
            <w:tcW w:type="dxa" w:w="3360"/>
            <w:vAlign w:val="center"/>
          </w:tcPr>
          <w:p>
            <w:r/>
            <w:r>
              <w:rPr>
                <w:b w:val="0"/>
                <w:sz w:val="16"/>
              </w:rPr>
              <w:t>Sindhudurg / Konkan participation</w:t>
            </w:r>
          </w:p>
        </w:tc>
        <w:tc>
          <w:tcPr>
            <w:tcW w:type="dxa" w:w="3360"/>
            <w:vAlign w:val="center"/>
          </w:tcPr>
          <w:p>
            <w:r/>
            <w:r>
              <w:rPr>
                <w:b w:val="0"/>
                <w:sz w:val="16"/>
              </w:rPr>
              <w:t>Tracked annually</w:t>
            </w:r>
          </w:p>
        </w:tc>
      </w:tr>
      <w:tr>
        <w:tc>
          <w:tcPr>
            <w:tcW w:type="dxa" w:w="3360"/>
            <w:vAlign w:val="center"/>
          </w:tcPr>
          <w:p>
            <w:r/>
            <w:r>
              <w:rPr>
                <w:b w:val="0"/>
                <w:sz w:val="16"/>
              </w:rPr>
              <w:t>Technology</w:t>
            </w:r>
          </w:p>
        </w:tc>
        <w:tc>
          <w:tcPr>
            <w:tcW w:type="dxa" w:w="3360"/>
            <w:vAlign w:val="center"/>
          </w:tcPr>
          <w:p>
            <w:r/>
            <w:r>
              <w:rPr>
                <w:b w:val="0"/>
                <w:sz w:val="16"/>
              </w:rPr>
              <w:t>Platforms / payloads integrated</w:t>
            </w:r>
          </w:p>
        </w:tc>
        <w:tc>
          <w:tcPr>
            <w:tcW w:type="dxa" w:w="3360"/>
            <w:vAlign w:val="center"/>
          </w:tcPr>
          <w:p>
            <w:r/>
            <w:r>
              <w:rPr>
                <w:b w:val="0"/>
                <w:sz w:val="16"/>
              </w:rPr>
              <w:t>10+ projects / year</w:t>
            </w:r>
          </w:p>
        </w:tc>
      </w:tr>
      <w:tr>
        <w:tc>
          <w:tcPr>
            <w:tcW w:type="dxa" w:w="3360"/>
            <w:vAlign w:val="center"/>
          </w:tcPr>
          <w:p>
            <w:r/>
            <w:r>
              <w:rPr>
                <w:b w:val="0"/>
                <w:sz w:val="16"/>
              </w:rPr>
              <w:t>Testing</w:t>
            </w:r>
          </w:p>
        </w:tc>
        <w:tc>
          <w:tcPr>
            <w:tcW w:type="dxa" w:w="3360"/>
            <w:vAlign w:val="center"/>
          </w:tcPr>
          <w:p>
            <w:r/>
            <w:r>
              <w:rPr>
                <w:b w:val="0"/>
                <w:sz w:val="16"/>
              </w:rPr>
              <w:t>Documented water-trial campaigns</w:t>
            </w:r>
          </w:p>
        </w:tc>
        <w:tc>
          <w:tcPr>
            <w:tcW w:type="dxa" w:w="3360"/>
            <w:vAlign w:val="center"/>
          </w:tcPr>
          <w:p>
            <w:r/>
            <w:r>
              <w:rPr>
                <w:b w:val="0"/>
                <w:sz w:val="16"/>
              </w:rPr>
              <w:t>20+ campaigns / year</w:t>
            </w:r>
          </w:p>
        </w:tc>
      </w:tr>
      <w:tr>
        <w:tc>
          <w:tcPr>
            <w:tcW w:type="dxa" w:w="3360"/>
            <w:vAlign w:val="center"/>
          </w:tcPr>
          <w:p>
            <w:r/>
            <w:r>
              <w:rPr>
                <w:b w:val="0"/>
                <w:sz w:val="16"/>
              </w:rPr>
              <w:t>Industry</w:t>
            </w:r>
          </w:p>
        </w:tc>
        <w:tc>
          <w:tcPr>
            <w:tcW w:type="dxa" w:w="3360"/>
            <w:vAlign w:val="center"/>
          </w:tcPr>
          <w:p>
            <w:r/>
            <w:r>
              <w:rPr>
                <w:b w:val="0"/>
                <w:sz w:val="16"/>
              </w:rPr>
              <w:t>Inspection / survey assignments</w:t>
            </w:r>
          </w:p>
        </w:tc>
        <w:tc>
          <w:tcPr>
            <w:tcW w:type="dxa" w:w="3360"/>
            <w:vAlign w:val="center"/>
          </w:tcPr>
          <w:p>
            <w:r/>
            <w:r>
              <w:rPr>
                <w:b w:val="0"/>
                <w:sz w:val="16"/>
              </w:rPr>
              <w:t>Growing service portfolio</w:t>
            </w:r>
          </w:p>
        </w:tc>
      </w:tr>
      <w:tr>
        <w:tc>
          <w:tcPr>
            <w:tcW w:type="dxa" w:w="3360"/>
            <w:vAlign w:val="center"/>
          </w:tcPr>
          <w:p>
            <w:r/>
            <w:r>
              <w:rPr>
                <w:b w:val="0"/>
                <w:sz w:val="16"/>
              </w:rPr>
              <w:t>Innovation</w:t>
            </w:r>
          </w:p>
        </w:tc>
        <w:tc>
          <w:tcPr>
            <w:tcW w:type="dxa" w:w="3360"/>
            <w:vAlign w:val="center"/>
          </w:tcPr>
          <w:p>
            <w:r/>
            <w:r>
              <w:rPr>
                <w:b w:val="0"/>
                <w:sz w:val="16"/>
              </w:rPr>
              <w:t>Startups / research teams supported</w:t>
            </w:r>
          </w:p>
        </w:tc>
        <w:tc>
          <w:tcPr>
            <w:tcW w:type="dxa" w:w="3360"/>
            <w:vAlign w:val="center"/>
          </w:tcPr>
          <w:p>
            <w:r/>
            <w:r>
              <w:rPr>
                <w:b w:val="0"/>
                <w:sz w:val="16"/>
              </w:rPr>
              <w:t>10–20 active cohorts</w:t>
            </w:r>
          </w:p>
        </w:tc>
      </w:tr>
      <w:tr>
        <w:tc>
          <w:tcPr>
            <w:tcW w:type="dxa" w:w="3360"/>
            <w:vAlign w:val="center"/>
          </w:tcPr>
          <w:p>
            <w:r/>
            <w:r>
              <w:rPr>
                <w:b w:val="0"/>
                <w:sz w:val="16"/>
              </w:rPr>
              <w:t>Indigenisation</w:t>
            </w:r>
          </w:p>
        </w:tc>
        <w:tc>
          <w:tcPr>
            <w:tcW w:type="dxa" w:w="3360"/>
            <w:vAlign w:val="center"/>
          </w:tcPr>
          <w:p>
            <w:r/>
            <w:r>
              <w:rPr>
                <w:b w:val="0"/>
                <w:sz w:val="16"/>
              </w:rPr>
              <w:t>Domestic subsystem / supplier participation</w:t>
            </w:r>
          </w:p>
        </w:tc>
        <w:tc>
          <w:tcPr>
            <w:tcW w:type="dxa" w:w="3360"/>
            <w:vAlign w:val="center"/>
          </w:tcPr>
          <w:p>
            <w:r/>
            <w:r>
              <w:rPr>
                <w:b w:val="0"/>
                <w:sz w:val="16"/>
              </w:rPr>
              <w:t>Tracked by BOM value</w:t>
            </w:r>
          </w:p>
        </w:tc>
      </w:tr>
      <w:tr>
        <w:tc>
          <w:tcPr>
            <w:tcW w:type="dxa" w:w="3360"/>
            <w:vAlign w:val="center"/>
          </w:tcPr>
          <w:p>
            <w:r/>
            <w:r>
              <w:rPr>
                <w:b w:val="0"/>
                <w:sz w:val="16"/>
              </w:rPr>
              <w:t>Safety</w:t>
            </w:r>
          </w:p>
        </w:tc>
        <w:tc>
          <w:tcPr>
            <w:tcW w:type="dxa" w:w="3360"/>
            <w:vAlign w:val="center"/>
          </w:tcPr>
          <w:p>
            <w:r/>
            <w:r>
              <w:rPr>
                <w:b w:val="0"/>
                <w:sz w:val="16"/>
              </w:rPr>
              <w:t>Lost-time incidents / major test events</w:t>
            </w:r>
          </w:p>
        </w:tc>
        <w:tc>
          <w:tcPr>
            <w:tcW w:type="dxa" w:w="3360"/>
            <w:vAlign w:val="center"/>
          </w:tcPr>
          <w:p>
            <w:r/>
            <w:r>
              <w:rPr>
                <w:b w:val="0"/>
                <w:sz w:val="16"/>
              </w:rPr>
              <w:t>Zero major preventable events</w:t>
            </w:r>
          </w:p>
        </w:tc>
      </w:tr>
      <w:tr>
        <w:tc>
          <w:tcPr>
            <w:tcW w:type="dxa" w:w="3360"/>
          </w:tcPr>
          <w:p>
            <w:r>
              <w:t>Living Lab</w:t>
            </w:r>
          </w:p>
        </w:tc>
        <w:tc>
          <w:tcPr>
            <w:tcW w:type="dxa" w:w="3360"/>
          </w:tcPr>
          <w:p>
            <w:r>
              <w:t>Documented sea-validation campaigns</w:t>
            </w:r>
          </w:p>
        </w:tc>
        <w:tc>
          <w:tcPr>
            <w:tcW w:type="dxa" w:w="3360"/>
          </w:tcPr>
          <w:p>
            <w:r>
              <w:t>20+ campaigns / year</w:t>
            </w:r>
          </w:p>
        </w:tc>
      </w:tr>
      <w:tr>
        <w:tc>
          <w:tcPr>
            <w:tcW w:type="dxa" w:w="3360"/>
          </w:tcPr>
          <w:p>
            <w:r>
              <w:t>Asset Integrity</w:t>
            </w:r>
          </w:p>
        </w:tc>
        <w:tc>
          <w:tcPr>
            <w:tcW w:type="dxa" w:w="3360"/>
          </w:tcPr>
          <w:p>
            <w:r>
              <w:t>Inspection/survey assignments and recurring contracts</w:t>
            </w:r>
          </w:p>
        </w:tc>
        <w:tc>
          <w:tcPr>
            <w:tcW w:type="dxa" w:w="3360"/>
          </w:tcPr>
          <w:p>
            <w:r>
              <w:t>Growing annual portfolio</w:t>
            </w:r>
          </w:p>
        </w:tc>
      </w:tr>
      <w:tr>
        <w:tc>
          <w:tcPr>
            <w:tcW w:type="dxa" w:w="3360"/>
          </w:tcPr>
          <w:p>
            <w:r>
              <w:t>Maritime Data</w:t>
            </w:r>
          </w:p>
        </w:tc>
        <w:tc>
          <w:tcPr>
            <w:tcW w:type="dxa" w:w="3360"/>
          </w:tcPr>
          <w:p>
            <w:r>
              <w:t>Assets with digital baselines / condition histories</w:t>
            </w:r>
          </w:p>
        </w:tc>
        <w:tc>
          <w:tcPr>
            <w:tcW w:type="dxa" w:w="3360"/>
          </w:tcPr>
          <w:p>
            <w:r>
              <w:t>Year-on-year growth</w:t>
            </w:r>
          </w:p>
        </w:tc>
      </w:tr>
      <w:tr>
        <w:tc>
          <w:tcPr>
            <w:tcW w:type="dxa" w:w="3360"/>
          </w:tcPr>
          <w:p>
            <w:r>
              <w:t>MRO</w:t>
            </w:r>
          </w:p>
        </w:tc>
        <w:tc>
          <w:tcPr>
            <w:tcW w:type="dxa" w:w="3360"/>
          </w:tcPr>
          <w:p>
            <w:r>
              <w:t>Systems supported under service/AMC arrangements</w:t>
            </w:r>
          </w:p>
        </w:tc>
        <w:tc>
          <w:tcPr>
            <w:tcW w:type="dxa" w:w="3360"/>
          </w:tcPr>
          <w:p>
            <w:r>
              <w:t>Growing installed base</w:t>
            </w:r>
          </w:p>
        </w:tc>
      </w:tr>
    </w:tbl>
    <w:p>
      <w:pPr>
        <w:pStyle w:val="Heading1"/>
        <w:keepNext/>
      </w:pPr>
      <w:r>
        <w:t>14. NATIONAL VOCATIONAL QUALIFICATION AND INTERNATIONAL STANDARDS FRAMEWORK</w:t>
      </w:r>
    </w:p>
    <w:p>
      <w:r>
        <w:t>KOSMTP will establish a two-layer quality architecture: (i) nationally recognised vocational qualifications under the NCVET-regulated ecosystem, led through the appropriate Awarding Body; and (ii) international occupational benchmarking against recognised commercial-diving and offshore-industry standards. This structure is intended to improve domestic recognition, credit mobility, employer confidence, overseas employability and safety assurance.</w:t>
      </w:r>
    </w:p>
    <w:p>
      <w:pPr>
        <w:pStyle w:val="Heading2"/>
        <w:keepNext/>
      </w:pPr>
      <w:r>
        <w:t>14.1 NCVET, NSQF and Hydrocarbon Sector Skill Council alignment</w:t>
      </w:r>
    </w:p>
    <w:p>
      <w:r>
        <w:t>The National Council for Vocational Education and Training (NCVET) is the national regulator for vocational education and training quality assurance. The Hydrocarbon Sector Skill Council (HSSC) is listed by NCVET as an Awarding Body (Standard), with agreement signed and pan-India jurisdiction. KOSMTP will therefore seek a formal institutional pathway with HSSC for hydrocarbon, offshore and subsea occupations that fall within or are adjacent to its sectoral mandate.</w:t>
      </w:r>
    </w:p>
    <w:p>
      <w:pPr>
        <w:pStyle w:val="ListBullet"/>
        <w:spacing w:after="40"/>
        <w:ind w:left="360"/>
      </w:pPr>
      <w:r>
        <w:t>Undertake occupational mapping against current HSSC Qualification Packs (QPs), National Occupational Standards (NOS), model curricula and assessment specifications.</w:t>
      </w:r>
    </w:p>
    <w:p>
      <w:pPr>
        <w:pStyle w:val="ListBullet"/>
        <w:spacing w:after="40"/>
        <w:ind w:left="360"/>
      </w:pPr>
      <w:r>
        <w:t>Use the National Skills Qualification Framework (NSQF) to define learning outcomes, responsibility, complexity, knowledge, skills and employability progression.</w:t>
      </w:r>
    </w:p>
    <w:p>
      <w:pPr>
        <w:pStyle w:val="ListBullet"/>
        <w:spacing w:after="40"/>
        <w:ind w:left="360"/>
      </w:pPr>
      <w:r>
        <w:t>Develop new qualifications, elective NOS, micro-credentials or specialisations only through the formal NCVET/HSSC qualification-development and approval process.</w:t>
      </w:r>
    </w:p>
    <w:p>
      <w:pPr>
        <w:pStyle w:val="ListBullet"/>
        <w:spacing w:after="40"/>
        <w:ind w:left="360"/>
      </w:pPr>
      <w:r>
        <w:t>Create Recognition of Prior Learning (RPL) pathways for experienced commercial divers, ROV personnel, offshore technicians and inspection workers, subject to approved assessment instruments.</w:t>
      </w:r>
    </w:p>
    <w:p>
      <w:pPr>
        <w:pStyle w:val="ListBullet"/>
        <w:spacing w:after="40"/>
        <w:ind w:left="360"/>
      </w:pPr>
      <w:r>
        <w:t>Build trainer, assessor, training-centre affiliation and assessment arrangements in accordance with the prevailing requirements of HSSC, NCVET and the selected scheme or qualification.</w:t>
      </w:r>
    </w:p>
    <w:p>
      <w:pPr>
        <w:pStyle w:val="ListBullet"/>
        <w:spacing w:after="40"/>
        <w:ind w:left="360"/>
      </w:pPr>
      <w:r>
        <w:t>Maintain digital learner records, attendance, practical logbooks, evidence portfolios, assessment results and certificate-verification controls.</w:t>
      </w:r>
    </w:p>
    <w:p>
      <w:pPr>
        <w:pStyle w:val="ListBullet"/>
        <w:spacing w:after="40"/>
        <w:ind w:left="360"/>
      </w:pPr>
      <w:r>
        <w:t>Integrate apprenticeship, on-the-job training and industry-sponsored practical exposure wherever permissible.</w:t>
      </w:r>
    </w:p>
    <w:p>
      <w:pPr>
        <w:pStyle w:val="ListBullet"/>
        <w:spacing w:after="40"/>
        <w:ind w:left="360"/>
      </w:pPr>
      <w:r>
        <w:t>Coordinate with other NCVET-recognised Awarding Bodies where a qualification lies outside HSSC jurisdiction, for example electronics, instrumentation, capital goods, healthcare or safety-related components.</w:t>
      </w:r>
    </w:p>
    <w:tbl>
      <w:tblPr>
        <w:tblW w:type="auto" w:w="0"/>
        <w:jc w:val="center"/>
        <w:tblLook w:firstColumn="1" w:firstRow="1" w:lastColumn="0" w:lastRow="0" w:noHBand="0" w:noVBand="1" w:val="04A0"/>
      </w:tblPr>
      <w:tblGrid>
        <w:gridCol w:w="8640"/>
      </w:tblGrid>
      <w:tr>
        <w:tc>
          <w:tcPr>
            <w:tcW w:type="dxa" w:w="8640"/>
            <w:shd w:fill="EAF2F8"/>
          </w:tcPr>
          <w:p>
            <w:r/>
            <w:r>
              <w:rPr>
                <w:b/>
                <w:color w:val="17365D"/>
                <w:sz w:val="22"/>
              </w:rPr>
              <w:t>Important qualification statement</w:t>
              <w:br/>
            </w:r>
            <w:r>
              <w:rPr>
                <w:sz w:val="18"/>
              </w:rPr>
              <w:t>KOSMTP will not independently describe a course as “NCVET certified”. Nationally recognised certification will be issued only through an NCVET-recognised Awarding Body against an approved qualification and authorised assessment process.</w:t>
            </w:r>
          </w:p>
        </w:tc>
      </w:tr>
    </w:tbl>
    <w:p>
      <w:pPr>
        <w:pStyle w:val="Heading2"/>
        <w:keepNext/>
      </w:pPr>
      <w:r>
        <w:t>14.2 Proposed NSQF qualification family</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7365D"/>
          </w:tcPr>
          <w:p>
            <w:r/>
            <w:r>
              <w:rPr>
                <w:b/>
                <w:color w:val="FFFFFF"/>
                <w:sz w:val="15"/>
              </w:rPr>
              <w:t>Proposed qualification / pathway</w:t>
            </w:r>
          </w:p>
        </w:tc>
        <w:tc>
          <w:tcPr>
            <w:tcW w:type="dxa" w:w="1728"/>
            <w:shd w:fill="17365D"/>
          </w:tcPr>
          <w:p>
            <w:r/>
            <w:r>
              <w:rPr>
                <w:b/>
                <w:color w:val="FFFFFF"/>
                <w:sz w:val="15"/>
              </w:rPr>
              <w:t>Indicative NSQF band*</w:t>
            </w:r>
          </w:p>
        </w:tc>
        <w:tc>
          <w:tcPr>
            <w:tcW w:type="dxa" w:w="1728"/>
            <w:shd w:fill="17365D"/>
          </w:tcPr>
          <w:p>
            <w:r/>
            <w:r>
              <w:rPr>
                <w:b/>
                <w:color w:val="FFFFFF"/>
                <w:sz w:val="15"/>
              </w:rPr>
              <w:t>Likely sector interface</w:t>
            </w:r>
          </w:p>
        </w:tc>
        <w:tc>
          <w:tcPr>
            <w:tcW w:type="dxa" w:w="1728"/>
            <w:shd w:fill="17365D"/>
          </w:tcPr>
          <w:p>
            <w:r/>
            <w:r>
              <w:rPr>
                <w:b/>
                <w:color w:val="FFFFFF"/>
                <w:sz w:val="15"/>
              </w:rPr>
              <w:t>International benchmark</w:t>
            </w:r>
          </w:p>
        </w:tc>
        <w:tc>
          <w:tcPr>
            <w:tcW w:type="dxa" w:w="1728"/>
            <w:shd w:fill="17365D"/>
          </w:tcPr>
          <w:p>
            <w:r/>
            <w:r>
              <w:rPr>
                <w:b/>
                <w:color w:val="FFFFFF"/>
                <w:sz w:val="15"/>
              </w:rPr>
              <w:t>Development route</w:t>
            </w:r>
          </w:p>
        </w:tc>
      </w:tr>
      <w:tr>
        <w:tc>
          <w:tcPr>
            <w:tcW w:type="dxa" w:w="1728"/>
          </w:tcPr>
          <w:p>
            <w:r/>
            <w:r>
              <w:rPr>
                <w:b w:val="0"/>
                <w:sz w:val="14"/>
              </w:rPr>
              <w:t>Underwater Operations Assistant</w:t>
            </w:r>
          </w:p>
        </w:tc>
        <w:tc>
          <w:tcPr>
            <w:tcW w:type="dxa" w:w="1728"/>
          </w:tcPr>
          <w:p>
            <w:r/>
            <w:r>
              <w:rPr>
                <w:b w:val="0"/>
                <w:sz w:val="14"/>
              </w:rPr>
              <w:t>3-4</w:t>
            </w:r>
          </w:p>
        </w:tc>
        <w:tc>
          <w:tcPr>
            <w:tcW w:type="dxa" w:w="1728"/>
          </w:tcPr>
          <w:p>
            <w:r/>
            <w:r>
              <w:rPr>
                <w:b w:val="0"/>
                <w:sz w:val="14"/>
              </w:rPr>
              <w:t>HSSC / Safety</w:t>
            </w:r>
          </w:p>
        </w:tc>
        <w:tc>
          <w:tcPr>
            <w:tcW w:type="dxa" w:w="1728"/>
          </w:tcPr>
          <w:p>
            <w:r/>
            <w:r>
              <w:rPr>
                <w:b w:val="0"/>
                <w:sz w:val="14"/>
              </w:rPr>
              <w:t>IDSA foundational modules; relevant IMCA safety guidance</w:t>
            </w:r>
          </w:p>
        </w:tc>
        <w:tc>
          <w:tcPr>
            <w:tcW w:type="dxa" w:w="1728"/>
          </w:tcPr>
          <w:p>
            <w:r/>
            <w:r>
              <w:rPr>
                <w:b w:val="0"/>
                <w:sz w:val="14"/>
              </w:rPr>
              <w:t>Map/adapt existing NOS or develop micro-credential</w:t>
            </w:r>
          </w:p>
        </w:tc>
      </w:tr>
      <w:tr>
        <w:tc>
          <w:tcPr>
            <w:tcW w:type="dxa" w:w="1728"/>
          </w:tcPr>
          <w:p>
            <w:r/>
            <w:r>
              <w:rPr>
                <w:b w:val="0"/>
                <w:sz w:val="14"/>
              </w:rPr>
              <w:t>Commercial SCUBA / Inshore Diver</w:t>
            </w:r>
          </w:p>
        </w:tc>
        <w:tc>
          <w:tcPr>
            <w:tcW w:type="dxa" w:w="1728"/>
          </w:tcPr>
          <w:p>
            <w:r/>
            <w:r>
              <w:rPr>
                <w:b w:val="0"/>
                <w:sz w:val="14"/>
              </w:rPr>
              <w:t>4-5</w:t>
            </w:r>
          </w:p>
        </w:tc>
        <w:tc>
          <w:tcPr>
            <w:tcW w:type="dxa" w:w="1728"/>
          </w:tcPr>
          <w:p>
            <w:r/>
            <w:r>
              <w:rPr>
                <w:b w:val="0"/>
                <w:sz w:val="14"/>
              </w:rPr>
              <w:t>HSSC, subject to mandate</w:t>
            </w:r>
          </w:p>
        </w:tc>
        <w:tc>
          <w:tcPr>
            <w:tcW w:type="dxa" w:w="1728"/>
          </w:tcPr>
          <w:p>
            <w:r/>
            <w:r>
              <w:rPr>
                <w:b w:val="0"/>
                <w:sz w:val="14"/>
              </w:rPr>
              <w:t>IDSA Level 1 / Level 2 benchmarking</w:t>
            </w:r>
          </w:p>
        </w:tc>
        <w:tc>
          <w:tcPr>
            <w:tcW w:type="dxa" w:w="1728"/>
          </w:tcPr>
          <w:p>
            <w:r/>
            <w:r>
              <w:rPr>
                <w:b w:val="0"/>
                <w:sz w:val="14"/>
              </w:rPr>
              <w:t>New qualification or approved specialisation</w:t>
            </w:r>
          </w:p>
        </w:tc>
      </w:tr>
      <w:tr>
        <w:tc>
          <w:tcPr>
            <w:tcW w:type="dxa" w:w="1728"/>
          </w:tcPr>
          <w:p>
            <w:r/>
            <w:r>
              <w:rPr>
                <w:b w:val="0"/>
                <w:sz w:val="14"/>
              </w:rPr>
              <w:t>Surface-Supplied Air Diver</w:t>
            </w:r>
          </w:p>
        </w:tc>
        <w:tc>
          <w:tcPr>
            <w:tcW w:type="dxa" w:w="1728"/>
          </w:tcPr>
          <w:p>
            <w:r/>
            <w:r>
              <w:rPr>
                <w:b w:val="0"/>
                <w:sz w:val="14"/>
              </w:rPr>
              <w:t>5</w:t>
            </w:r>
          </w:p>
        </w:tc>
        <w:tc>
          <w:tcPr>
            <w:tcW w:type="dxa" w:w="1728"/>
          </w:tcPr>
          <w:p>
            <w:r/>
            <w:r>
              <w:rPr>
                <w:b w:val="0"/>
                <w:sz w:val="14"/>
              </w:rPr>
              <w:t>HSSC / offshore operations</w:t>
            </w:r>
          </w:p>
        </w:tc>
        <w:tc>
          <w:tcPr>
            <w:tcW w:type="dxa" w:w="1728"/>
          </w:tcPr>
          <w:p>
            <w:r/>
            <w:r>
              <w:rPr>
                <w:b w:val="0"/>
                <w:sz w:val="14"/>
              </w:rPr>
              <w:t>IDSA Level 2-3; IMCA-recognised-certificate criteria</w:t>
            </w:r>
          </w:p>
        </w:tc>
        <w:tc>
          <w:tcPr>
            <w:tcW w:type="dxa" w:w="1728"/>
          </w:tcPr>
          <w:p>
            <w:r/>
            <w:r>
              <w:rPr>
                <w:b w:val="0"/>
                <w:sz w:val="14"/>
              </w:rPr>
              <w:t>Formal qualification plus regulator/recognition pathway</w:t>
            </w:r>
          </w:p>
        </w:tc>
      </w:tr>
      <w:tr>
        <w:tc>
          <w:tcPr>
            <w:tcW w:type="dxa" w:w="1728"/>
          </w:tcPr>
          <w:p>
            <w:r/>
            <w:r>
              <w:rPr>
                <w:b w:val="0"/>
                <w:sz w:val="14"/>
              </w:rPr>
              <w:t>ROV Pilot-Technician</w:t>
            </w:r>
          </w:p>
        </w:tc>
        <w:tc>
          <w:tcPr>
            <w:tcW w:type="dxa" w:w="1728"/>
          </w:tcPr>
          <w:p>
            <w:r/>
            <w:r>
              <w:rPr>
                <w:b w:val="0"/>
                <w:sz w:val="14"/>
              </w:rPr>
              <w:t>4-5</w:t>
            </w:r>
          </w:p>
        </w:tc>
        <w:tc>
          <w:tcPr>
            <w:tcW w:type="dxa" w:w="1728"/>
          </w:tcPr>
          <w:p>
            <w:r/>
            <w:r>
              <w:rPr>
                <w:b w:val="0"/>
                <w:sz w:val="14"/>
              </w:rPr>
              <w:t>HSSC + electronics/instrumentation</w:t>
            </w:r>
          </w:p>
        </w:tc>
        <w:tc>
          <w:tcPr>
            <w:tcW w:type="dxa" w:w="1728"/>
          </w:tcPr>
          <w:p>
            <w:r/>
            <w:r>
              <w:rPr>
                <w:b w:val="0"/>
                <w:sz w:val="14"/>
              </w:rPr>
              <w:t>IMCA ROV competence guidance where applicable</w:t>
            </w:r>
          </w:p>
        </w:tc>
        <w:tc>
          <w:tcPr>
            <w:tcW w:type="dxa" w:w="1728"/>
          </w:tcPr>
          <w:p>
            <w:r/>
            <w:r>
              <w:rPr>
                <w:b w:val="0"/>
                <w:sz w:val="14"/>
              </w:rPr>
              <w:t>QP/NOS development with practical logbook</w:t>
            </w:r>
          </w:p>
        </w:tc>
      </w:tr>
      <w:tr>
        <w:tc>
          <w:tcPr>
            <w:tcW w:type="dxa" w:w="1728"/>
          </w:tcPr>
          <w:p>
            <w:r/>
            <w:r>
              <w:rPr>
                <w:b w:val="0"/>
                <w:sz w:val="14"/>
              </w:rPr>
              <w:t>ROV Supervisor / Senior Pilot</w:t>
            </w:r>
          </w:p>
        </w:tc>
        <w:tc>
          <w:tcPr>
            <w:tcW w:type="dxa" w:w="1728"/>
          </w:tcPr>
          <w:p>
            <w:r/>
            <w:r>
              <w:rPr>
                <w:b w:val="0"/>
                <w:sz w:val="14"/>
              </w:rPr>
              <w:t>5-6</w:t>
            </w:r>
          </w:p>
        </w:tc>
        <w:tc>
          <w:tcPr>
            <w:tcW w:type="dxa" w:w="1728"/>
          </w:tcPr>
          <w:p>
            <w:r/>
            <w:r>
              <w:rPr>
                <w:b w:val="0"/>
                <w:sz w:val="14"/>
              </w:rPr>
              <w:t>HSSC</w:t>
            </w:r>
          </w:p>
        </w:tc>
        <w:tc>
          <w:tcPr>
            <w:tcW w:type="dxa" w:w="1728"/>
          </w:tcPr>
          <w:p>
            <w:r/>
            <w:r>
              <w:rPr>
                <w:b w:val="0"/>
                <w:sz w:val="14"/>
              </w:rPr>
              <w:t>IMCA competence and offshore operating practices</w:t>
            </w:r>
          </w:p>
        </w:tc>
        <w:tc>
          <w:tcPr>
            <w:tcW w:type="dxa" w:w="1728"/>
          </w:tcPr>
          <w:p>
            <w:r/>
            <w:r>
              <w:rPr>
                <w:b w:val="0"/>
                <w:sz w:val="14"/>
              </w:rPr>
              <w:t>Upskilling / progression qualification</w:t>
            </w:r>
          </w:p>
        </w:tc>
      </w:tr>
      <w:tr>
        <w:tc>
          <w:tcPr>
            <w:tcW w:type="dxa" w:w="1728"/>
          </w:tcPr>
          <w:p>
            <w:r/>
            <w:r>
              <w:rPr>
                <w:b w:val="0"/>
                <w:sz w:val="14"/>
              </w:rPr>
              <w:t>AUV Mission Operator</w:t>
            </w:r>
          </w:p>
        </w:tc>
        <w:tc>
          <w:tcPr>
            <w:tcW w:type="dxa" w:w="1728"/>
          </w:tcPr>
          <w:p>
            <w:r/>
            <w:r>
              <w:rPr>
                <w:b w:val="0"/>
                <w:sz w:val="14"/>
              </w:rPr>
              <w:t>5</w:t>
            </w:r>
          </w:p>
        </w:tc>
        <w:tc>
          <w:tcPr>
            <w:tcW w:type="dxa" w:w="1728"/>
          </w:tcPr>
          <w:p>
            <w:r/>
            <w:r>
              <w:rPr>
                <w:b w:val="0"/>
                <w:sz w:val="14"/>
              </w:rPr>
              <w:t>HSSC + instrumentation/IT</w:t>
            </w:r>
          </w:p>
        </w:tc>
        <w:tc>
          <w:tcPr>
            <w:tcW w:type="dxa" w:w="1728"/>
          </w:tcPr>
          <w:p>
            <w:r/>
            <w:r>
              <w:rPr>
                <w:b w:val="0"/>
                <w:sz w:val="14"/>
              </w:rPr>
              <w:t>Industry V&amp;V and marine autonomy standards</w:t>
            </w:r>
          </w:p>
        </w:tc>
        <w:tc>
          <w:tcPr>
            <w:tcW w:type="dxa" w:w="1728"/>
          </w:tcPr>
          <w:p>
            <w:r/>
            <w:r>
              <w:rPr>
                <w:b w:val="0"/>
                <w:sz w:val="14"/>
              </w:rPr>
              <w:t>New-age qualification / micro-credential stack</w:t>
            </w:r>
          </w:p>
        </w:tc>
      </w:tr>
      <w:tr>
        <w:tc>
          <w:tcPr>
            <w:tcW w:type="dxa" w:w="1728"/>
          </w:tcPr>
          <w:p>
            <w:r/>
            <w:r>
              <w:rPr>
                <w:b w:val="0"/>
                <w:sz w:val="14"/>
              </w:rPr>
              <w:t>USV/ASV Mission Supervisor</w:t>
            </w:r>
          </w:p>
        </w:tc>
        <w:tc>
          <w:tcPr>
            <w:tcW w:type="dxa" w:w="1728"/>
          </w:tcPr>
          <w:p>
            <w:r/>
            <w:r>
              <w:rPr>
                <w:b w:val="0"/>
                <w:sz w:val="14"/>
              </w:rPr>
              <w:t>5-6</w:t>
            </w:r>
          </w:p>
        </w:tc>
        <w:tc>
          <w:tcPr>
            <w:tcW w:type="dxa" w:w="1728"/>
          </w:tcPr>
          <w:p>
            <w:r/>
            <w:r>
              <w:rPr>
                <w:b w:val="0"/>
                <w:sz w:val="14"/>
              </w:rPr>
              <w:t>HSSC + maritime/electronics</w:t>
            </w:r>
          </w:p>
        </w:tc>
        <w:tc>
          <w:tcPr>
            <w:tcW w:type="dxa" w:w="1728"/>
          </w:tcPr>
          <w:p>
            <w:r/>
            <w:r>
              <w:rPr>
                <w:b w:val="0"/>
                <w:sz w:val="14"/>
              </w:rPr>
              <w:t>COLREG-aware supervised autonomy and marine assurance</w:t>
            </w:r>
          </w:p>
        </w:tc>
        <w:tc>
          <w:tcPr>
            <w:tcW w:type="dxa" w:w="1728"/>
          </w:tcPr>
          <w:p>
            <w:r/>
            <w:r>
              <w:rPr>
                <w:b w:val="0"/>
                <w:sz w:val="14"/>
              </w:rPr>
              <w:t>Cross-sector qualification</w:t>
            </w:r>
          </w:p>
        </w:tc>
      </w:tr>
      <w:tr>
        <w:tc>
          <w:tcPr>
            <w:tcW w:type="dxa" w:w="1728"/>
          </w:tcPr>
          <w:p>
            <w:r/>
            <w:r>
              <w:rPr>
                <w:b w:val="0"/>
                <w:sz w:val="14"/>
              </w:rPr>
              <w:t>Underwater Inspection Technician</w:t>
            </w:r>
          </w:p>
        </w:tc>
        <w:tc>
          <w:tcPr>
            <w:tcW w:type="dxa" w:w="1728"/>
          </w:tcPr>
          <w:p>
            <w:r/>
            <w:r>
              <w:rPr>
                <w:b w:val="0"/>
                <w:sz w:val="14"/>
              </w:rPr>
              <w:t>4-5</w:t>
            </w:r>
          </w:p>
        </w:tc>
        <w:tc>
          <w:tcPr>
            <w:tcW w:type="dxa" w:w="1728"/>
          </w:tcPr>
          <w:p>
            <w:r/>
            <w:r>
              <w:rPr>
                <w:b w:val="0"/>
                <w:sz w:val="14"/>
              </w:rPr>
              <w:t>HSSC + capital goods/NDT</w:t>
            </w:r>
          </w:p>
        </w:tc>
        <w:tc>
          <w:tcPr>
            <w:tcW w:type="dxa" w:w="1728"/>
          </w:tcPr>
          <w:p>
            <w:r/>
            <w:r>
              <w:rPr>
                <w:b w:val="0"/>
                <w:sz w:val="14"/>
              </w:rPr>
              <w:t>IMCA/industry inspection practice; certification-body requirements</w:t>
            </w:r>
          </w:p>
        </w:tc>
        <w:tc>
          <w:tcPr>
            <w:tcW w:type="dxa" w:w="1728"/>
          </w:tcPr>
          <w:p>
            <w:r/>
            <w:r>
              <w:rPr>
                <w:b w:val="0"/>
                <w:sz w:val="14"/>
              </w:rPr>
              <w:t>QP plus separate method certifications</w:t>
            </w:r>
          </w:p>
        </w:tc>
      </w:tr>
      <w:tr>
        <w:tc>
          <w:tcPr>
            <w:tcW w:type="dxa" w:w="1728"/>
          </w:tcPr>
          <w:p>
            <w:r/>
            <w:r>
              <w:rPr>
                <w:b w:val="0"/>
                <w:sz w:val="14"/>
              </w:rPr>
              <w:t>Diver Medic / Hyperbaric Support pathway</w:t>
            </w:r>
          </w:p>
        </w:tc>
        <w:tc>
          <w:tcPr>
            <w:tcW w:type="dxa" w:w="1728"/>
          </w:tcPr>
          <w:p>
            <w:r/>
            <w:r>
              <w:rPr>
                <w:b w:val="0"/>
                <w:sz w:val="14"/>
              </w:rPr>
              <w:t>5-6</w:t>
            </w:r>
          </w:p>
        </w:tc>
        <w:tc>
          <w:tcPr>
            <w:tcW w:type="dxa" w:w="1728"/>
          </w:tcPr>
          <w:p>
            <w:r/>
            <w:r>
              <w:rPr>
                <w:b w:val="0"/>
                <w:sz w:val="14"/>
              </w:rPr>
              <w:t>HSSC + healthcare</w:t>
            </w:r>
          </w:p>
        </w:tc>
        <w:tc>
          <w:tcPr>
            <w:tcW w:type="dxa" w:w="1728"/>
          </w:tcPr>
          <w:p>
            <w:r/>
            <w:r>
              <w:rPr>
                <w:b w:val="0"/>
                <w:sz w:val="14"/>
              </w:rPr>
              <w:t>Applicable IMCA/DMAC guidance and medical governance</w:t>
            </w:r>
          </w:p>
        </w:tc>
        <w:tc>
          <w:tcPr>
            <w:tcW w:type="dxa" w:w="1728"/>
          </w:tcPr>
          <w:p>
            <w:r/>
            <w:r>
              <w:rPr>
                <w:b w:val="0"/>
                <w:sz w:val="14"/>
              </w:rPr>
              <w:t>Joint-sector pathway; approved medical oversight</w:t>
            </w:r>
          </w:p>
        </w:tc>
      </w:tr>
      <w:tr>
        <w:tc>
          <w:tcPr>
            <w:tcW w:type="dxa" w:w="1728"/>
          </w:tcPr>
          <w:p>
            <w:r/>
            <w:r>
              <w:rPr>
                <w:b w:val="0"/>
                <w:sz w:val="14"/>
              </w:rPr>
              <w:t>Diving Supervisor pathway</w:t>
            </w:r>
          </w:p>
        </w:tc>
        <w:tc>
          <w:tcPr>
            <w:tcW w:type="dxa" w:w="1728"/>
          </w:tcPr>
          <w:p>
            <w:r/>
            <w:r>
              <w:rPr>
                <w:b w:val="0"/>
                <w:sz w:val="14"/>
              </w:rPr>
              <w:t>6</w:t>
            </w:r>
          </w:p>
        </w:tc>
        <w:tc>
          <w:tcPr>
            <w:tcW w:type="dxa" w:w="1728"/>
          </w:tcPr>
          <w:p>
            <w:r/>
            <w:r>
              <w:rPr>
                <w:b w:val="0"/>
                <w:sz w:val="14"/>
              </w:rPr>
              <w:t>HSSC / offshore</w:t>
            </w:r>
          </w:p>
        </w:tc>
        <w:tc>
          <w:tcPr>
            <w:tcW w:type="dxa" w:w="1728"/>
          </w:tcPr>
          <w:p>
            <w:r/>
            <w:r>
              <w:rPr>
                <w:b w:val="0"/>
                <w:sz w:val="14"/>
              </w:rPr>
              <w:t>Applicable IMCA supervisor scheme prerequisites</w:t>
            </w:r>
          </w:p>
        </w:tc>
        <w:tc>
          <w:tcPr>
            <w:tcW w:type="dxa" w:w="1728"/>
          </w:tcPr>
          <w:p>
            <w:r/>
            <w:r>
              <w:rPr>
                <w:b w:val="0"/>
                <w:sz w:val="14"/>
              </w:rPr>
              <w:t>Post-experience pathway, not entry-level course</w:t>
            </w:r>
          </w:p>
        </w:tc>
      </w:tr>
    </w:tbl>
    <w:p>
      <w:r>
        <w:t>*Indicative only. Final NSQF levels, notional hours, entry requirements and progression routes must be determined through occupational analysis and approved by the competent authorities.</w:t>
      </w:r>
    </w:p>
    <w:p>
      <w:pPr>
        <w:pStyle w:val="Heading2"/>
        <w:keepNext/>
      </w:pPr>
      <w:r>
        <w:t>14.3 Qualification development and approval workflow</w:t>
      </w:r>
    </w:p>
    <w:p>
      <w:pPr>
        <w:ind w:left="288" w:hanging="288"/>
      </w:pPr>
      <w:r>
        <w:t>1. Industry demand validation: establish job roles, deployment environments, employer demand, safety criticality and domestic/international mobility requirements.</w:t>
      </w:r>
    </w:p>
    <w:p>
      <w:pPr>
        <w:ind w:left="288" w:hanging="288"/>
      </w:pPr>
      <w:r>
        <w:t>2. Functional and occupational analysis: define key functions, performance criteria, knowledge, skills, responsibility and evidence requirements.</w:t>
      </w:r>
    </w:p>
    <w:p>
      <w:pPr>
        <w:ind w:left="288" w:hanging="288"/>
      </w:pPr>
      <w:r>
        <w:t>3. QP/NOS and curriculum design: prepare qualification file, model curriculum, trainer/assessor criteria, infrastructure list and assessment strategy.</w:t>
      </w:r>
    </w:p>
    <w:p>
      <w:pPr>
        <w:ind w:left="288" w:hanging="288"/>
      </w:pPr>
      <w:r>
        <w:t>4. Sector and stakeholder consultation: HSSC, employers, contractors, government users, training experts, medical/safety specialists and relevant cross-sector councils.</w:t>
      </w:r>
    </w:p>
    <w:p>
      <w:pPr>
        <w:ind w:left="288" w:hanging="288"/>
      </w:pPr>
      <w:r>
        <w:t>5. NSQF levelling and quality review: align learning outcomes, duration, credits and progression with the prevailing NSQF/NCF framework.</w:t>
      </w:r>
    </w:p>
    <w:p>
      <w:pPr>
        <w:ind w:left="288" w:hanging="288"/>
      </w:pPr>
      <w:r>
        <w:t>6. Approval through the applicable NCVET/NSQC process and inclusion in the National Qualifications Register, where required.</w:t>
      </w:r>
    </w:p>
    <w:p>
      <w:pPr>
        <w:ind w:left="288" w:hanging="288"/>
      </w:pPr>
      <w:r>
        <w:t>7. Training-centre affiliation/accreditation, trainer certification, assessor onboarding and independent assessment arrangements.</w:t>
      </w:r>
    </w:p>
    <w:p>
      <w:pPr>
        <w:ind w:left="288" w:hanging="288"/>
      </w:pPr>
      <w:r>
        <w:t>8. Pilot batch, third-party review, placement evidence and annual curriculum/assessment review based on incidents, technology changes and employer feedback.</w:t>
      </w:r>
    </w:p>
    <w:p>
      <w:pPr>
        <w:pStyle w:val="Heading2"/>
        <w:keepNext/>
      </w:pPr>
      <w:r>
        <w:t>14.4 IMCA technical and operational benchmarking</w:t>
      </w:r>
    </w:p>
    <w:p>
      <w:r>
        <w:t>The International Marine Contractors Association (IMCA) is an influential offshore marine contracting industry body. KOSMTP will use applicable IMCA codes, information notes, competence guidance and approved-course requirements as operational benchmarks. However, IMCA distinguishes between recognised initial diver-training certificates and specific surface courses or certification schemes.</w:t>
      </w:r>
    </w:p>
    <w:p>
      <w:pPr>
        <w:pStyle w:val="ListBullet"/>
        <w:spacing w:after="40"/>
        <w:ind w:left="360"/>
      </w:pPr>
      <w:r>
        <w:t>For offshore diving under the IMCA International Code of Practice, only certificates listed in the current IMCA diver and supervisor certification requirements are recognised.</w:t>
      </w:r>
    </w:p>
    <w:p>
      <w:pPr>
        <w:pStyle w:val="ListBullet"/>
        <w:spacing w:after="40"/>
        <w:ind w:left="360"/>
      </w:pPr>
      <w:r>
        <w:t>Initial diver-training recognition depends on independent governmental or government-appointed oversight, effective safety regulation, credible assessment and other acceptance criteria.</w:t>
      </w:r>
    </w:p>
    <w:p>
      <w:pPr>
        <w:pStyle w:val="ListBullet"/>
        <w:spacing w:after="40"/>
        <w:ind w:left="360"/>
      </w:pPr>
      <w:r>
        <w:t>IMCA does approve specified surface-based training courses and operates certification schemes for defined roles, including certain diving-supervision, life-support and diving-system-inspection pathways.</w:t>
      </w:r>
    </w:p>
    <w:p>
      <w:pPr>
        <w:pStyle w:val="ListBullet"/>
        <w:spacing w:after="40"/>
        <w:ind w:left="360"/>
      </w:pPr>
      <w:r>
        <w:t>KOSMTP marketing will use wording such as “curriculum benchmarked against applicable IMCA guidance” unless and until a particular course, certificate or organisation is formally recognised or approved by IMCA.</w:t>
      </w:r>
    </w:p>
    <w:p>
      <w:pPr>
        <w:pStyle w:val="ListBullet"/>
        <w:spacing w:after="40"/>
        <w:ind w:left="360"/>
      </w:pPr>
      <w:r>
        <w:t>Certificate verification, candidate prerequisites, logged experience, sponsoring-contractor requirements and continuing professional development will be incorporated where applicable.</w:t>
      </w:r>
    </w:p>
    <w:p>
      <w:pPr>
        <w:pStyle w:val="Heading2"/>
        <w:keepNext/>
      </w:pPr>
      <w:r>
        <w:t>14.5 IDSA modular diver-training benchmark</w:t>
      </w:r>
    </w:p>
    <w:p>
      <w:r>
        <w:t>The International Diving Schools Association (IDSA) provides modular international diver-training standards that can serve as a curriculum and facility benchmark. Its published structure progresses from preparatory theory through commercial SCUBA, surface-supplied inshore air, offshore air and closed-bell/mixed-gas training.</w:t>
      </w:r>
    </w:p>
    <w:tbl>
      <w:tblPr>
        <w:tblW w:type="auto" w:w="0"/>
        <w:jc w:val="center"/>
        <w:tblLook w:firstColumn="1" w:firstRow="1" w:lastColumn="0" w:lastRow="0" w:noHBand="0" w:noVBand="1" w:val="04A0"/>
      </w:tblPr>
      <w:tblGrid>
        <w:gridCol w:w="2160"/>
        <w:gridCol w:w="2160"/>
        <w:gridCol w:w="2160"/>
        <w:gridCol w:w="2160"/>
      </w:tblGrid>
      <w:tr>
        <w:tc>
          <w:tcPr>
            <w:tcW w:type="dxa" w:w="2160"/>
            <w:shd w:fill="17365D"/>
          </w:tcPr>
          <w:p>
            <w:r/>
            <w:r>
              <w:rPr>
                <w:b/>
                <w:color w:val="FFFFFF"/>
                <w:sz w:val="16"/>
              </w:rPr>
              <w:t>IDSA benchmark</w:t>
            </w:r>
          </w:p>
        </w:tc>
        <w:tc>
          <w:tcPr>
            <w:tcW w:type="dxa" w:w="2160"/>
            <w:shd w:fill="17365D"/>
          </w:tcPr>
          <w:p>
            <w:r/>
            <w:r>
              <w:rPr>
                <w:b/>
                <w:color w:val="FFFFFF"/>
                <w:sz w:val="16"/>
              </w:rPr>
              <w:t>Modules</w:t>
            </w:r>
          </w:p>
        </w:tc>
        <w:tc>
          <w:tcPr>
            <w:tcW w:type="dxa" w:w="2160"/>
            <w:shd w:fill="17365D"/>
          </w:tcPr>
          <w:p>
            <w:r/>
            <w:r>
              <w:rPr>
                <w:b/>
                <w:color w:val="FFFFFF"/>
                <w:sz w:val="16"/>
              </w:rPr>
              <w:t>Published competence/depth reference</w:t>
            </w:r>
          </w:p>
        </w:tc>
        <w:tc>
          <w:tcPr>
            <w:tcW w:type="dxa" w:w="2160"/>
            <w:shd w:fill="17365D"/>
          </w:tcPr>
          <w:p>
            <w:r/>
            <w:r>
              <w:rPr>
                <w:b/>
                <w:color w:val="FFFFFF"/>
                <w:sz w:val="16"/>
              </w:rPr>
              <w:t>KOSMTP relevance</w:t>
            </w:r>
          </w:p>
        </w:tc>
      </w:tr>
      <w:tr>
        <w:tc>
          <w:tcPr>
            <w:tcW w:type="dxa" w:w="2160"/>
          </w:tcPr>
          <w:p>
            <w:r/>
            <w:r>
              <w:rPr>
                <w:b w:val="0"/>
                <w:sz w:val="15"/>
              </w:rPr>
              <w:t>Level 1 - Commercial SCUBA Diver</w:t>
            </w:r>
          </w:p>
        </w:tc>
        <w:tc>
          <w:tcPr>
            <w:tcW w:type="dxa" w:w="2160"/>
          </w:tcPr>
          <w:p>
            <w:r/>
            <w:r>
              <w:rPr>
                <w:b w:val="0"/>
                <w:sz w:val="15"/>
              </w:rPr>
              <w:t>A + B</w:t>
            </w:r>
          </w:p>
        </w:tc>
        <w:tc>
          <w:tcPr>
            <w:tcW w:type="dxa" w:w="2160"/>
          </w:tcPr>
          <w:p>
            <w:r/>
            <w:r>
              <w:rPr>
                <w:b w:val="0"/>
                <w:sz w:val="15"/>
              </w:rPr>
              <w:t>Commercial SCUBA; 30 msw</w:t>
            </w:r>
          </w:p>
        </w:tc>
        <w:tc>
          <w:tcPr>
            <w:tcW w:type="dxa" w:w="2160"/>
          </w:tcPr>
          <w:p>
            <w:r/>
            <w:r>
              <w:rPr>
                <w:b w:val="0"/>
                <w:sz w:val="15"/>
              </w:rPr>
              <w:t>Foundation commercial-diver pathway and simple work tasks</w:t>
            </w:r>
          </w:p>
        </w:tc>
      </w:tr>
      <w:tr>
        <w:tc>
          <w:tcPr>
            <w:tcW w:type="dxa" w:w="2160"/>
          </w:tcPr>
          <w:p>
            <w:r/>
            <w:r>
              <w:rPr>
                <w:b w:val="0"/>
                <w:sz w:val="15"/>
              </w:rPr>
              <w:t>Level 2 - Surface-Supplied Inshore Air Diver</w:t>
            </w:r>
          </w:p>
        </w:tc>
        <w:tc>
          <w:tcPr>
            <w:tcW w:type="dxa" w:w="2160"/>
          </w:tcPr>
          <w:p>
            <w:r/>
            <w:r>
              <w:rPr>
                <w:b w:val="0"/>
                <w:sz w:val="15"/>
              </w:rPr>
              <w:t>A + B + C</w:t>
            </w:r>
          </w:p>
        </w:tc>
        <w:tc>
          <w:tcPr>
            <w:tcW w:type="dxa" w:w="2160"/>
          </w:tcPr>
          <w:p>
            <w:r/>
            <w:r>
              <w:rPr>
                <w:b w:val="0"/>
                <w:sz w:val="15"/>
              </w:rPr>
              <w:t>Inland/inshore surface-supplied air; 30 msw</w:t>
            </w:r>
          </w:p>
        </w:tc>
        <w:tc>
          <w:tcPr>
            <w:tcW w:type="dxa" w:w="2160"/>
          </w:tcPr>
          <w:p>
            <w:r/>
            <w:r>
              <w:rPr>
                <w:b w:val="0"/>
                <w:sz w:val="15"/>
              </w:rPr>
              <w:t>Inshore construction, tools, chamber awareness and supervised operations</w:t>
            </w:r>
          </w:p>
        </w:tc>
      </w:tr>
      <w:tr>
        <w:tc>
          <w:tcPr>
            <w:tcW w:type="dxa" w:w="2160"/>
          </w:tcPr>
          <w:p>
            <w:r/>
            <w:r>
              <w:rPr>
                <w:b w:val="0"/>
                <w:sz w:val="15"/>
              </w:rPr>
              <w:t>Level 3 - Surface-Supplied Offshore Air Diver</w:t>
            </w:r>
          </w:p>
        </w:tc>
        <w:tc>
          <w:tcPr>
            <w:tcW w:type="dxa" w:w="2160"/>
          </w:tcPr>
          <w:p>
            <w:r/>
            <w:r>
              <w:rPr>
                <w:b w:val="0"/>
                <w:sz w:val="15"/>
              </w:rPr>
              <w:t>A + B + C + D</w:t>
            </w:r>
          </w:p>
        </w:tc>
        <w:tc>
          <w:tcPr>
            <w:tcW w:type="dxa" w:w="2160"/>
          </w:tcPr>
          <w:p>
            <w:r/>
            <w:r>
              <w:rPr>
                <w:b w:val="0"/>
                <w:sz w:val="15"/>
              </w:rPr>
              <w:t>Offshore air/open-bell capability; 50 msw</w:t>
            </w:r>
          </w:p>
        </w:tc>
        <w:tc>
          <w:tcPr>
            <w:tcW w:type="dxa" w:w="2160"/>
          </w:tcPr>
          <w:p>
            <w:r/>
            <w:r>
              <w:rPr>
                <w:b w:val="0"/>
                <w:sz w:val="15"/>
              </w:rPr>
              <w:t>Advanced offshore pathway subject to infrastructure and recognition</w:t>
            </w:r>
          </w:p>
        </w:tc>
      </w:tr>
      <w:tr>
        <w:tc>
          <w:tcPr>
            <w:tcW w:type="dxa" w:w="2160"/>
          </w:tcPr>
          <w:p>
            <w:r/>
            <w:r>
              <w:rPr>
                <w:b w:val="0"/>
                <w:sz w:val="15"/>
              </w:rPr>
              <w:t>Level 4 - Closed Bell/Mixed Gas Diver</w:t>
            </w:r>
          </w:p>
        </w:tc>
        <w:tc>
          <w:tcPr>
            <w:tcW w:type="dxa" w:w="2160"/>
          </w:tcPr>
          <w:p>
            <w:r/>
            <w:r>
              <w:rPr>
                <w:b w:val="0"/>
                <w:sz w:val="15"/>
              </w:rPr>
              <w:t>A+B+C+D+E or A+C+D+E</w:t>
            </w:r>
          </w:p>
        </w:tc>
        <w:tc>
          <w:tcPr>
            <w:tcW w:type="dxa" w:w="2160"/>
          </w:tcPr>
          <w:p>
            <w:r/>
            <w:r>
              <w:rPr>
                <w:b w:val="0"/>
                <w:sz w:val="15"/>
              </w:rPr>
              <w:t>Closed-bell/mixed-gas; 80 m reference</w:t>
            </w:r>
          </w:p>
        </w:tc>
        <w:tc>
          <w:tcPr>
            <w:tcW w:type="dxa" w:w="2160"/>
          </w:tcPr>
          <w:p>
            <w:r/>
            <w:r>
              <w:rPr>
                <w:b w:val="0"/>
                <w:sz w:val="15"/>
              </w:rPr>
              <w:t>Long-term specialist phase only, subject to major regulatory and CAPEX review</w:t>
            </w:r>
          </w:p>
        </w:tc>
      </w:tr>
    </w:tbl>
    <w:p>
      <w:r>
        <w:t>IDSA also makes clear that task exposure does not by itself establish full occupational competence in specialist work such as welding, cutting, explosives or NDT; further specialist training and certification are generally required. KOSMTP will preserve this distinction in course outcomes and learner certificates.</w:t>
      </w:r>
    </w:p>
    <w:p>
      <w:pPr>
        <w:pStyle w:val="ListBullet"/>
        <w:spacing w:after="40"/>
        <w:ind w:left="360"/>
      </w:pPr>
      <w:r>
        <w:t>Benchmark entry medicals, swimming/watermanship, theory, practical hours, minimum dives, depth progression, equipment exposure, emergency drills and assessment evidence.</w:t>
      </w:r>
    </w:p>
    <w:p>
      <w:pPr>
        <w:pStyle w:val="ListBullet"/>
        <w:spacing w:after="40"/>
        <w:ind w:left="360"/>
      </w:pPr>
      <w:r>
        <w:t>Maintain individual diver logbooks and instructor/assessor sign-off for every practical competence.</w:t>
      </w:r>
    </w:p>
    <w:p>
      <w:pPr>
        <w:pStyle w:val="ListBullet"/>
        <w:spacing w:after="40"/>
        <w:ind w:left="360"/>
      </w:pPr>
      <w:r>
        <w:t>Separate diver qualification from specialist task qualification such as welding, NDT, rigging or inspection certification.</w:t>
      </w:r>
    </w:p>
    <w:p>
      <w:pPr>
        <w:pStyle w:val="ListBullet"/>
        <w:spacing w:after="40"/>
        <w:ind w:left="360"/>
      </w:pPr>
      <w:r>
        <w:t>Seek IDSA membership or other formal relationship only after facilities, faculty, procedures and quality systems are demonstrably compliant; no membership or recognition will be implied before approval.</w:t>
      </w:r>
    </w:p>
    <w:p>
      <w:pPr>
        <w:pStyle w:val="ListBullet"/>
        <w:spacing w:after="40"/>
        <w:ind w:left="360"/>
      </w:pPr>
      <w:r>
        <w:t>Use the current controlled edition of IDSA standards and procedures during detailed curriculum design, recognising that full current documents may be member-controlled.</w:t>
      </w:r>
    </w:p>
    <w:p>
      <w:pPr>
        <w:pStyle w:val="Heading2"/>
        <w:keepNext/>
      </w:pPr>
      <w:r>
        <w:t>14.6 Integrated curriculum crosswalk</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7365D"/>
          </w:tcPr>
          <w:p>
            <w:r/>
            <w:r>
              <w:rPr>
                <w:b/>
                <w:color w:val="FFFFFF"/>
                <w:sz w:val="15"/>
              </w:rPr>
              <w:t>Curriculum domain</w:t>
            </w:r>
          </w:p>
        </w:tc>
        <w:tc>
          <w:tcPr>
            <w:tcW w:type="dxa" w:w="1728"/>
            <w:shd w:fill="17365D"/>
          </w:tcPr>
          <w:p>
            <w:r/>
            <w:r>
              <w:rPr>
                <w:b/>
                <w:color w:val="FFFFFF"/>
                <w:sz w:val="15"/>
              </w:rPr>
              <w:t>NCVET/HSSC evidence</w:t>
            </w:r>
          </w:p>
        </w:tc>
        <w:tc>
          <w:tcPr>
            <w:tcW w:type="dxa" w:w="1728"/>
            <w:shd w:fill="17365D"/>
          </w:tcPr>
          <w:p>
            <w:r/>
            <w:r>
              <w:rPr>
                <w:b/>
                <w:color w:val="FFFFFF"/>
                <w:sz w:val="15"/>
              </w:rPr>
              <w:t>IMCA benchmark</w:t>
            </w:r>
          </w:p>
        </w:tc>
        <w:tc>
          <w:tcPr>
            <w:tcW w:type="dxa" w:w="1728"/>
            <w:shd w:fill="17365D"/>
          </w:tcPr>
          <w:p>
            <w:r/>
            <w:r>
              <w:rPr>
                <w:b/>
                <w:color w:val="FFFFFF"/>
                <w:sz w:val="15"/>
              </w:rPr>
              <w:t>IDSA benchmark</w:t>
            </w:r>
          </w:p>
        </w:tc>
        <w:tc>
          <w:tcPr>
            <w:tcW w:type="dxa" w:w="1728"/>
            <w:shd w:fill="17365D"/>
          </w:tcPr>
          <w:p>
            <w:r/>
            <w:r>
              <w:rPr>
                <w:b/>
                <w:color w:val="FFFFFF"/>
                <w:sz w:val="15"/>
              </w:rPr>
              <w:t>KOSMTP control</w:t>
            </w:r>
          </w:p>
        </w:tc>
      </w:tr>
      <w:tr>
        <w:tc>
          <w:tcPr>
            <w:tcW w:type="dxa" w:w="1728"/>
          </w:tcPr>
          <w:p>
            <w:r/>
            <w:r>
              <w:rPr>
                <w:b w:val="0"/>
                <w:sz w:val="13"/>
              </w:rPr>
              <w:t>Entry and medical fitness</w:t>
            </w:r>
          </w:p>
        </w:tc>
        <w:tc>
          <w:tcPr>
            <w:tcW w:type="dxa" w:w="1728"/>
          </w:tcPr>
          <w:p>
            <w:r/>
            <w:r>
              <w:rPr>
                <w:b w:val="0"/>
                <w:sz w:val="13"/>
              </w:rPr>
              <w:t>Approved eligibility and assessment rules</w:t>
            </w:r>
          </w:p>
        </w:tc>
        <w:tc>
          <w:tcPr>
            <w:tcW w:type="dxa" w:w="1728"/>
          </w:tcPr>
          <w:p>
            <w:r/>
            <w:r>
              <w:rPr>
                <w:b w:val="0"/>
                <w:sz w:val="13"/>
              </w:rPr>
              <w:t>Annual/role-appropriate diver medical guidance</w:t>
            </w:r>
          </w:p>
        </w:tc>
        <w:tc>
          <w:tcPr>
            <w:tcW w:type="dxa" w:w="1728"/>
          </w:tcPr>
          <w:p>
            <w:r/>
            <w:r>
              <w:rPr>
                <w:b w:val="0"/>
                <w:sz w:val="13"/>
              </w:rPr>
              <w:t>Medical and entry prerequisites</w:t>
            </w:r>
          </w:p>
        </w:tc>
        <w:tc>
          <w:tcPr>
            <w:tcW w:type="dxa" w:w="1728"/>
          </w:tcPr>
          <w:p>
            <w:r/>
            <w:r>
              <w:rPr>
                <w:b w:val="0"/>
                <w:sz w:val="13"/>
              </w:rPr>
              <w:t>Approved medical examiner; confidential fitness records</w:t>
            </w:r>
          </w:p>
        </w:tc>
      </w:tr>
      <w:tr>
        <w:tc>
          <w:tcPr>
            <w:tcW w:type="dxa" w:w="1728"/>
          </w:tcPr>
          <w:p>
            <w:r/>
            <w:r>
              <w:rPr>
                <w:b w:val="0"/>
                <w:sz w:val="13"/>
              </w:rPr>
              <w:t>Diving theory</w:t>
            </w:r>
          </w:p>
        </w:tc>
        <w:tc>
          <w:tcPr>
            <w:tcW w:type="dxa" w:w="1728"/>
          </w:tcPr>
          <w:p>
            <w:r/>
            <w:r>
              <w:rPr>
                <w:b w:val="0"/>
                <w:sz w:val="13"/>
              </w:rPr>
              <w:t>NOS knowledge criteria</w:t>
            </w:r>
          </w:p>
        </w:tc>
        <w:tc>
          <w:tcPr>
            <w:tcW w:type="dxa" w:w="1728"/>
          </w:tcPr>
          <w:p>
            <w:r/>
            <w:r>
              <w:rPr>
                <w:b w:val="0"/>
                <w:sz w:val="13"/>
              </w:rPr>
              <w:t>Applicable D014 and diving guidance</w:t>
            </w:r>
          </w:p>
        </w:tc>
        <w:tc>
          <w:tcPr>
            <w:tcW w:type="dxa" w:w="1728"/>
          </w:tcPr>
          <w:p>
            <w:r/>
            <w:r>
              <w:rPr>
                <w:b w:val="0"/>
                <w:sz w:val="13"/>
              </w:rPr>
              <w:t>Module A preparatory theory</w:t>
            </w:r>
          </w:p>
        </w:tc>
        <w:tc>
          <w:tcPr>
            <w:tcW w:type="dxa" w:w="1728"/>
          </w:tcPr>
          <w:p>
            <w:r/>
            <w:r>
              <w:rPr>
                <w:b w:val="0"/>
                <w:sz w:val="13"/>
              </w:rPr>
              <w:t>Written/online assessment and oral checks</w:t>
            </w:r>
          </w:p>
        </w:tc>
      </w:tr>
      <w:tr>
        <w:tc>
          <w:tcPr>
            <w:tcW w:type="dxa" w:w="1728"/>
          </w:tcPr>
          <w:p>
            <w:r/>
            <w:r>
              <w:rPr>
                <w:b w:val="0"/>
                <w:sz w:val="13"/>
              </w:rPr>
              <w:t>SCUBA practical</w:t>
            </w:r>
          </w:p>
        </w:tc>
        <w:tc>
          <w:tcPr>
            <w:tcW w:type="dxa" w:w="1728"/>
          </w:tcPr>
          <w:p>
            <w:r/>
            <w:r>
              <w:rPr>
                <w:b w:val="0"/>
                <w:sz w:val="13"/>
              </w:rPr>
              <w:t>Performance criteria and practical evidence</w:t>
            </w:r>
          </w:p>
        </w:tc>
        <w:tc>
          <w:tcPr>
            <w:tcW w:type="dxa" w:w="1728"/>
          </w:tcPr>
          <w:p>
            <w:r/>
            <w:r>
              <w:rPr>
                <w:b w:val="0"/>
                <w:sz w:val="13"/>
              </w:rPr>
              <w:t>Minimum-criteria reference where applicable</w:t>
            </w:r>
          </w:p>
        </w:tc>
        <w:tc>
          <w:tcPr>
            <w:tcW w:type="dxa" w:w="1728"/>
          </w:tcPr>
          <w:p>
            <w:r/>
            <w:r>
              <w:rPr>
                <w:b w:val="0"/>
                <w:sz w:val="13"/>
              </w:rPr>
              <w:t>Module B / Level 1</w:t>
            </w:r>
          </w:p>
        </w:tc>
        <w:tc>
          <w:tcPr>
            <w:tcW w:type="dxa" w:w="1728"/>
          </w:tcPr>
          <w:p>
            <w:r/>
            <w:r>
              <w:rPr>
                <w:b w:val="0"/>
                <w:sz w:val="13"/>
              </w:rPr>
              <w:t>Logged dives, depth progression and emergency drills</w:t>
            </w:r>
          </w:p>
        </w:tc>
      </w:tr>
      <w:tr>
        <w:tc>
          <w:tcPr>
            <w:tcW w:type="dxa" w:w="1728"/>
          </w:tcPr>
          <w:p>
            <w:r/>
            <w:r>
              <w:rPr>
                <w:b w:val="0"/>
                <w:sz w:val="13"/>
              </w:rPr>
              <w:t>Surface-supplied air</w:t>
            </w:r>
          </w:p>
        </w:tc>
        <w:tc>
          <w:tcPr>
            <w:tcW w:type="dxa" w:w="1728"/>
          </w:tcPr>
          <w:p>
            <w:r/>
            <w:r>
              <w:rPr>
                <w:b w:val="0"/>
                <w:sz w:val="13"/>
              </w:rPr>
              <w:t>Approved occupational outcomes</w:t>
            </w:r>
          </w:p>
        </w:tc>
        <w:tc>
          <w:tcPr>
            <w:tcW w:type="dxa" w:w="1728"/>
          </w:tcPr>
          <w:p>
            <w:r/>
            <w:r>
              <w:rPr>
                <w:b w:val="0"/>
                <w:sz w:val="13"/>
              </w:rPr>
              <w:t>Recognised-certificate acceptance criteria</w:t>
            </w:r>
          </w:p>
        </w:tc>
        <w:tc>
          <w:tcPr>
            <w:tcW w:type="dxa" w:w="1728"/>
          </w:tcPr>
          <w:p>
            <w:r/>
            <w:r>
              <w:rPr>
                <w:b w:val="0"/>
                <w:sz w:val="13"/>
              </w:rPr>
              <w:t>Modules C-D / Levels 2-3</w:t>
            </w:r>
          </w:p>
        </w:tc>
        <w:tc>
          <w:tcPr>
            <w:tcW w:type="dxa" w:w="1728"/>
          </w:tcPr>
          <w:p>
            <w:r/>
            <w:r>
              <w:rPr>
                <w:b w:val="0"/>
                <w:sz w:val="13"/>
              </w:rPr>
              <w:t>Panel operations, chamber, umbilical and rescue competence</w:t>
            </w:r>
          </w:p>
        </w:tc>
      </w:tr>
      <w:tr>
        <w:tc>
          <w:tcPr>
            <w:tcW w:type="dxa" w:w="1728"/>
          </w:tcPr>
          <w:p>
            <w:r/>
            <w:r>
              <w:rPr>
                <w:b w:val="0"/>
                <w:sz w:val="13"/>
              </w:rPr>
              <w:t>Offshore operations</w:t>
            </w:r>
          </w:p>
        </w:tc>
        <w:tc>
          <w:tcPr>
            <w:tcW w:type="dxa" w:w="1728"/>
          </w:tcPr>
          <w:p>
            <w:r/>
            <w:r>
              <w:rPr>
                <w:b w:val="0"/>
                <w:sz w:val="13"/>
              </w:rPr>
              <w:t>Workplace/OJT requirements</w:t>
            </w:r>
          </w:p>
        </w:tc>
        <w:tc>
          <w:tcPr>
            <w:tcW w:type="dxa" w:w="1728"/>
          </w:tcPr>
          <w:p>
            <w:r/>
            <w:r>
              <w:rPr>
                <w:b w:val="0"/>
                <w:sz w:val="13"/>
              </w:rPr>
              <w:t>IMCA offshore code and competence framework</w:t>
            </w:r>
          </w:p>
        </w:tc>
        <w:tc>
          <w:tcPr>
            <w:tcW w:type="dxa" w:w="1728"/>
          </w:tcPr>
          <w:p>
            <w:r/>
            <w:r>
              <w:rPr>
                <w:b w:val="0"/>
                <w:sz w:val="13"/>
              </w:rPr>
              <w:t>Level 3 benchmark</w:t>
            </w:r>
          </w:p>
        </w:tc>
        <w:tc>
          <w:tcPr>
            <w:tcW w:type="dxa" w:w="1728"/>
          </w:tcPr>
          <w:p>
            <w:r/>
            <w:r>
              <w:rPr>
                <w:b w:val="0"/>
                <w:sz w:val="13"/>
              </w:rPr>
              <w:t>Supervised offshore simulation and authorised field exposure</w:t>
            </w:r>
          </w:p>
        </w:tc>
      </w:tr>
      <w:tr>
        <w:tc>
          <w:tcPr>
            <w:tcW w:type="dxa" w:w="1728"/>
          </w:tcPr>
          <w:p>
            <w:r/>
            <w:r>
              <w:rPr>
                <w:b w:val="0"/>
                <w:sz w:val="13"/>
              </w:rPr>
              <w:t>ROV/AUV/USV</w:t>
            </w:r>
          </w:p>
        </w:tc>
        <w:tc>
          <w:tcPr>
            <w:tcW w:type="dxa" w:w="1728"/>
          </w:tcPr>
          <w:p>
            <w:r/>
            <w:r>
              <w:rPr>
                <w:b w:val="0"/>
                <w:sz w:val="13"/>
              </w:rPr>
              <w:t>QP/NOS or micro-credential outcomes</w:t>
            </w:r>
          </w:p>
        </w:tc>
        <w:tc>
          <w:tcPr>
            <w:tcW w:type="dxa" w:w="1728"/>
          </w:tcPr>
          <w:p>
            <w:r/>
            <w:r>
              <w:rPr>
                <w:b w:val="0"/>
                <w:sz w:val="13"/>
              </w:rPr>
              <w:t>Applicable marine/ROV competence guidance</w:t>
            </w:r>
          </w:p>
        </w:tc>
        <w:tc>
          <w:tcPr>
            <w:tcW w:type="dxa" w:w="1728"/>
          </w:tcPr>
          <w:p>
            <w:r/>
            <w:r>
              <w:rPr>
                <w:b w:val="0"/>
                <w:sz w:val="13"/>
              </w:rPr>
              <w:t>Outside core diver-level structure</w:t>
            </w:r>
          </w:p>
        </w:tc>
        <w:tc>
          <w:tcPr>
            <w:tcW w:type="dxa" w:w="1728"/>
          </w:tcPr>
          <w:p>
            <w:r/>
            <w:r>
              <w:rPr>
                <w:b w:val="0"/>
                <w:sz w:val="13"/>
              </w:rPr>
              <w:t>Mission logs, simulator, HIL and water trials</w:t>
            </w:r>
          </w:p>
        </w:tc>
      </w:tr>
      <w:tr>
        <w:tc>
          <w:tcPr>
            <w:tcW w:type="dxa" w:w="1728"/>
          </w:tcPr>
          <w:p>
            <w:r/>
            <w:r>
              <w:rPr>
                <w:b w:val="0"/>
                <w:sz w:val="13"/>
              </w:rPr>
              <w:t>Assessment</w:t>
            </w:r>
          </w:p>
        </w:tc>
        <w:tc>
          <w:tcPr>
            <w:tcW w:type="dxa" w:w="1728"/>
          </w:tcPr>
          <w:p>
            <w:r/>
            <w:r>
              <w:rPr>
                <w:b w:val="0"/>
                <w:sz w:val="13"/>
              </w:rPr>
              <w:t>Independent authorised assessment</w:t>
            </w:r>
          </w:p>
        </w:tc>
        <w:tc>
          <w:tcPr>
            <w:tcW w:type="dxa" w:w="1728"/>
          </w:tcPr>
          <w:p>
            <w:r/>
            <w:r>
              <w:rPr>
                <w:b w:val="0"/>
                <w:sz w:val="13"/>
              </w:rPr>
              <w:t>Scheme-specific exams/verification</w:t>
            </w:r>
          </w:p>
        </w:tc>
        <w:tc>
          <w:tcPr>
            <w:tcW w:type="dxa" w:w="1728"/>
          </w:tcPr>
          <w:p>
            <w:r/>
            <w:r>
              <w:rPr>
                <w:b w:val="0"/>
                <w:sz w:val="13"/>
              </w:rPr>
              <w:t>Practical and theoretical assessment</w:t>
            </w:r>
          </w:p>
        </w:tc>
        <w:tc>
          <w:tcPr>
            <w:tcW w:type="dxa" w:w="1728"/>
          </w:tcPr>
          <w:p>
            <w:r/>
            <w:r>
              <w:rPr>
                <w:b w:val="0"/>
                <w:sz w:val="13"/>
              </w:rPr>
              <w:t>Separation of training and summative assessment</w:t>
            </w:r>
          </w:p>
        </w:tc>
      </w:tr>
      <w:tr>
        <w:tc>
          <w:tcPr>
            <w:tcW w:type="dxa" w:w="1728"/>
          </w:tcPr>
          <w:p>
            <w:r/>
            <w:r>
              <w:rPr>
                <w:b w:val="0"/>
                <w:sz w:val="13"/>
              </w:rPr>
              <w:t>Certification</w:t>
            </w:r>
          </w:p>
        </w:tc>
        <w:tc>
          <w:tcPr>
            <w:tcW w:type="dxa" w:w="1728"/>
          </w:tcPr>
          <w:p>
            <w:r/>
            <w:r>
              <w:rPr>
                <w:b w:val="0"/>
                <w:sz w:val="13"/>
              </w:rPr>
              <w:t>Awarding Body certificate for approved qualification</w:t>
            </w:r>
          </w:p>
        </w:tc>
        <w:tc>
          <w:tcPr>
            <w:tcW w:type="dxa" w:w="1728"/>
          </w:tcPr>
          <w:p>
            <w:r/>
            <w:r>
              <w:rPr>
                <w:b w:val="0"/>
                <w:sz w:val="13"/>
              </w:rPr>
              <w:t>Only exact recognised/approved IMCA status claimed</w:t>
            </w:r>
          </w:p>
        </w:tc>
        <w:tc>
          <w:tcPr>
            <w:tcW w:type="dxa" w:w="1728"/>
          </w:tcPr>
          <w:p>
            <w:r/>
            <w:r>
              <w:rPr>
                <w:b w:val="0"/>
                <w:sz w:val="13"/>
              </w:rPr>
              <w:t>IDSA status only if formally obtained</w:t>
            </w:r>
          </w:p>
        </w:tc>
        <w:tc>
          <w:tcPr>
            <w:tcW w:type="dxa" w:w="1728"/>
          </w:tcPr>
          <w:p>
            <w:r/>
            <w:r>
              <w:rPr>
                <w:b w:val="0"/>
                <w:sz w:val="13"/>
              </w:rPr>
              <w:t>QR/digital verification and controlled certificate wording</w:t>
            </w:r>
          </w:p>
        </w:tc>
      </w:tr>
    </w:tbl>
    <w:p>
      <w:pPr>
        <w:pStyle w:val="Heading2"/>
        <w:keepNext/>
      </w:pPr>
      <w:r>
        <w:t>14.7 Training-centre quality and infrastructure requirements</w:t>
      </w:r>
    </w:p>
    <w:p>
      <w:pPr>
        <w:pStyle w:val="ListBullet"/>
        <w:spacing w:after="40"/>
        <w:ind w:left="360"/>
      </w:pPr>
      <w:r>
        <w:t>Approved governance structure with an accountable training head, diving safety authority and independent quality function.</w:t>
      </w:r>
    </w:p>
    <w:p>
      <w:pPr>
        <w:pStyle w:val="ListBullet"/>
        <w:spacing w:after="40"/>
        <w:ind w:left="360"/>
      </w:pPr>
      <w:r>
        <w:t>Controlled course documents, lesson plans, practical-task sheets, assessment tools, moderation records and revision control.</w:t>
      </w:r>
    </w:p>
    <w:p>
      <w:pPr>
        <w:pStyle w:val="ListBullet"/>
        <w:spacing w:after="40"/>
        <w:ind w:left="360"/>
      </w:pPr>
      <w:r>
        <w:t>Qualified instructors with current occupational competence, instructional competence and documented CPD.</w:t>
      </w:r>
    </w:p>
    <w:p>
      <w:pPr>
        <w:pStyle w:val="ListBullet"/>
        <w:spacing w:after="40"/>
        <w:ind w:left="360"/>
      </w:pPr>
      <w:r>
        <w:t>Independent or appropriately separated assessors, with conflict-of-interest controls.</w:t>
      </w:r>
    </w:p>
    <w:p>
      <w:pPr>
        <w:pStyle w:val="ListBullet"/>
        <w:spacing w:after="40"/>
        <w:ind w:left="360"/>
      </w:pPr>
      <w:r>
        <w:t>Fit-for-purpose classroom, simulator, workshop, tank/pool and open-water facilities appropriate to each approved course.</w:t>
      </w:r>
    </w:p>
    <w:p>
      <w:pPr>
        <w:pStyle w:val="ListBullet"/>
        <w:spacing w:after="40"/>
        <w:ind w:left="360"/>
      </w:pPr>
      <w:r>
        <w:t>Certified and maintained diving plant, compressors, air-quality testing, panels, communications, chambers, bailout systems, umbilicals, PPE and emergency equipment as applicable.</w:t>
      </w:r>
    </w:p>
    <w:p>
      <w:pPr>
        <w:pStyle w:val="ListBullet"/>
        <w:spacing w:after="40"/>
        <w:ind w:left="360"/>
      </w:pPr>
      <w:r>
        <w:t>Planned preventive maintenance, pre-use checks, defect quarantine, calibration and equipment traceability.</w:t>
      </w:r>
    </w:p>
    <w:p>
      <w:pPr>
        <w:pStyle w:val="ListBullet"/>
        <w:spacing w:after="40"/>
        <w:ind w:left="360"/>
      </w:pPr>
      <w:r>
        <w:t>Diving project plans, risk assessments, emergency and recovery procedures, toolbox talks and incident/near-miss reporting.</w:t>
      </w:r>
    </w:p>
    <w:p>
      <w:pPr>
        <w:pStyle w:val="ListBullet"/>
        <w:spacing w:after="40"/>
        <w:ind w:left="360"/>
      </w:pPr>
      <w:r>
        <w:t>Medical fitness, first aid, oxygen, hyperbaric referral and emergency evacuation arrangements appropriate to the activity.</w:t>
      </w:r>
    </w:p>
    <w:p>
      <w:pPr>
        <w:pStyle w:val="ListBullet"/>
        <w:spacing w:after="40"/>
        <w:ind w:left="360"/>
      </w:pPr>
      <w:r>
        <w:t>Maximum instructor-to-trainee ratios, water-time controls, weather limits and stop-work authority.</w:t>
      </w:r>
    </w:p>
    <w:p>
      <w:pPr>
        <w:pStyle w:val="ListBullet"/>
        <w:spacing w:after="40"/>
        <w:ind w:left="360"/>
      </w:pPr>
      <w:r>
        <w:t>Learner grievance, appeals, reasonable accommodation, safeguarding, placement tracking and certificate verification.</w:t>
      </w:r>
    </w:p>
    <w:p>
      <w:pPr>
        <w:pStyle w:val="ListBullet"/>
        <w:spacing w:after="40"/>
        <w:ind w:left="360"/>
      </w:pPr>
      <w:r>
        <w:t>Annual internal audit and periodic external surveillance by the Awarding Body, regulator, membership body or client as applicable.</w:t>
      </w:r>
    </w:p>
    <w:p>
      <w:pPr>
        <w:pStyle w:val="Heading2"/>
        <w:keepNext/>
      </w:pPr>
      <w:r>
        <w:t>14.8 Certification hierarchy and learner documentation</w:t>
      </w:r>
    </w:p>
    <w:p>
      <w:pPr>
        <w:pStyle w:val="ListBullet"/>
        <w:spacing w:after="40"/>
        <w:ind w:left="360"/>
      </w:pPr>
      <w:r>
        <w:t>National qualification certificate: issued by the NCVET-recognised Awarding Body only for an approved qualification after authorised assessment.</w:t>
      </w:r>
    </w:p>
    <w:p>
      <w:pPr>
        <w:pStyle w:val="ListBullet"/>
        <w:spacing w:after="40"/>
        <w:ind w:left="360"/>
      </w:pPr>
      <w:r>
        <w:t>KOSMTP course completion record: for internal/non-regulated modules, clearly stating that it is not an NCVET, IMCA or IDSA qualification unless formally authorised.</w:t>
      </w:r>
    </w:p>
    <w:p>
      <w:pPr>
        <w:pStyle w:val="ListBullet"/>
        <w:spacing w:after="40"/>
        <w:ind w:left="360"/>
      </w:pPr>
      <w:r>
        <w:t>International recognition statement: restricted to the exact certificate or course listed by the relevant body and verified at the date of issue.</w:t>
      </w:r>
    </w:p>
    <w:p>
      <w:pPr>
        <w:pStyle w:val="ListBullet"/>
        <w:spacing w:after="40"/>
        <w:ind w:left="360"/>
      </w:pPr>
      <w:r>
        <w:t>Practical logbook: dives, hours, depths, equipment, emergency drills, missions, supervisor/instructor sign-off and assessment evidence.</w:t>
      </w:r>
    </w:p>
    <w:p>
      <w:pPr>
        <w:pStyle w:val="ListBullet"/>
        <w:spacing w:after="40"/>
        <w:ind w:left="360"/>
      </w:pPr>
      <w:r>
        <w:t>Specialist certificates: NDT, welding, medical, first aid, rigging or other specialist competence issued only through the competent certification route.</w:t>
      </w:r>
    </w:p>
    <w:p>
      <w:pPr>
        <w:pStyle w:val="ListBullet"/>
        <w:spacing w:after="40"/>
        <w:ind w:left="360"/>
      </w:pPr>
      <w:r>
        <w:t>Digital verification: unique certificate number, secure learner identity, QR/online verification and revocation/correction procedure.</w:t>
      </w:r>
    </w:p>
    <w:p>
      <w:pPr>
        <w:pStyle w:val="Heading2"/>
        <w:keepNext/>
      </w:pPr>
      <w:r>
        <w:t>14.9 Standards implementation roadmap</w:t>
      </w:r>
    </w:p>
    <w:tbl>
      <w:tblPr>
        <w:tblW w:type="auto" w:w="0"/>
        <w:jc w:val="center"/>
        <w:tblLook w:firstColumn="1" w:firstRow="1" w:lastColumn="0" w:lastRow="0" w:noHBand="0" w:noVBand="1" w:val="04A0"/>
      </w:tblPr>
      <w:tblGrid>
        <w:gridCol w:w="2160"/>
        <w:gridCol w:w="2160"/>
        <w:gridCol w:w="2160"/>
        <w:gridCol w:w="2160"/>
      </w:tblGrid>
      <w:tr>
        <w:tc>
          <w:tcPr>
            <w:tcW w:type="dxa" w:w="2160"/>
            <w:shd w:fill="17365D"/>
          </w:tcPr>
          <w:p>
            <w:r/>
            <w:r>
              <w:rPr>
                <w:b/>
                <w:color w:val="FFFFFF"/>
                <w:sz w:val="16"/>
              </w:rPr>
              <w:t>Stage</w:t>
            </w:r>
          </w:p>
        </w:tc>
        <w:tc>
          <w:tcPr>
            <w:tcW w:type="dxa" w:w="2160"/>
            <w:shd w:fill="17365D"/>
          </w:tcPr>
          <w:p>
            <w:r/>
            <w:r>
              <w:rPr>
                <w:b/>
                <w:color w:val="FFFFFF"/>
                <w:sz w:val="16"/>
              </w:rPr>
              <w:t>Period</w:t>
            </w:r>
          </w:p>
        </w:tc>
        <w:tc>
          <w:tcPr>
            <w:tcW w:type="dxa" w:w="2160"/>
            <w:shd w:fill="17365D"/>
          </w:tcPr>
          <w:p>
            <w:r/>
            <w:r>
              <w:rPr>
                <w:b/>
                <w:color w:val="FFFFFF"/>
                <w:sz w:val="16"/>
              </w:rPr>
              <w:t>Standards action</w:t>
            </w:r>
          </w:p>
        </w:tc>
        <w:tc>
          <w:tcPr>
            <w:tcW w:type="dxa" w:w="2160"/>
            <w:shd w:fill="17365D"/>
          </w:tcPr>
          <w:p>
            <w:r/>
            <w:r>
              <w:rPr>
                <w:b/>
                <w:color w:val="FFFFFF"/>
                <w:sz w:val="16"/>
              </w:rPr>
              <w:t>Deliverable</w:t>
            </w:r>
          </w:p>
        </w:tc>
      </w:tr>
      <w:tr>
        <w:tc>
          <w:tcPr>
            <w:tcW w:type="dxa" w:w="2160"/>
          </w:tcPr>
          <w:p>
            <w:r/>
            <w:r>
              <w:rPr>
                <w:b w:val="0"/>
                <w:sz w:val="14"/>
              </w:rPr>
              <w:t>1. Institutional engagement</w:t>
            </w:r>
          </w:p>
        </w:tc>
        <w:tc>
          <w:tcPr>
            <w:tcW w:type="dxa" w:w="2160"/>
          </w:tcPr>
          <w:p>
            <w:r/>
            <w:r>
              <w:rPr>
                <w:b w:val="0"/>
                <w:sz w:val="14"/>
              </w:rPr>
              <w:t>0-3 months</w:t>
            </w:r>
          </w:p>
        </w:tc>
        <w:tc>
          <w:tcPr>
            <w:tcW w:type="dxa" w:w="2160"/>
          </w:tcPr>
          <w:p>
            <w:r/>
            <w:r>
              <w:rPr>
                <w:b w:val="0"/>
                <w:sz w:val="14"/>
              </w:rPr>
              <w:t>HSSC/NCVET pathway discussion; IMCA/IDSA gap review</w:t>
            </w:r>
          </w:p>
        </w:tc>
        <w:tc>
          <w:tcPr>
            <w:tcW w:type="dxa" w:w="2160"/>
          </w:tcPr>
          <w:p>
            <w:r/>
            <w:r>
              <w:rPr>
                <w:b w:val="0"/>
                <w:sz w:val="14"/>
              </w:rPr>
              <w:t>Standards and qualification strategy</w:t>
            </w:r>
          </w:p>
        </w:tc>
      </w:tr>
      <w:tr>
        <w:tc>
          <w:tcPr>
            <w:tcW w:type="dxa" w:w="2160"/>
          </w:tcPr>
          <w:p>
            <w:r/>
            <w:r>
              <w:rPr>
                <w:b w:val="0"/>
                <w:sz w:val="14"/>
              </w:rPr>
              <w:t>2. Occupational analysis</w:t>
            </w:r>
          </w:p>
        </w:tc>
        <w:tc>
          <w:tcPr>
            <w:tcW w:type="dxa" w:w="2160"/>
          </w:tcPr>
          <w:p>
            <w:r/>
            <w:r>
              <w:rPr>
                <w:b w:val="0"/>
                <w:sz w:val="14"/>
              </w:rPr>
              <w:t>2-6 months</w:t>
            </w:r>
          </w:p>
        </w:tc>
        <w:tc>
          <w:tcPr>
            <w:tcW w:type="dxa" w:w="2160"/>
          </w:tcPr>
          <w:p>
            <w:r/>
            <w:r>
              <w:rPr>
                <w:b w:val="0"/>
                <w:sz w:val="14"/>
              </w:rPr>
              <w:t>Employer workshops; role mapping; NSQF levelling</w:t>
            </w:r>
          </w:p>
        </w:tc>
        <w:tc>
          <w:tcPr>
            <w:tcW w:type="dxa" w:w="2160"/>
          </w:tcPr>
          <w:p>
            <w:r/>
            <w:r>
              <w:rPr>
                <w:b w:val="0"/>
                <w:sz w:val="14"/>
              </w:rPr>
              <w:t>Occupational maps and draft qualification architecture</w:t>
            </w:r>
          </w:p>
        </w:tc>
      </w:tr>
      <w:tr>
        <w:tc>
          <w:tcPr>
            <w:tcW w:type="dxa" w:w="2160"/>
          </w:tcPr>
          <w:p>
            <w:r/>
            <w:r>
              <w:rPr>
                <w:b w:val="0"/>
                <w:sz w:val="14"/>
              </w:rPr>
              <w:t>3. Curriculum and assessment</w:t>
            </w:r>
          </w:p>
        </w:tc>
        <w:tc>
          <w:tcPr>
            <w:tcW w:type="dxa" w:w="2160"/>
          </w:tcPr>
          <w:p>
            <w:r/>
            <w:r>
              <w:rPr>
                <w:b w:val="0"/>
                <w:sz w:val="14"/>
              </w:rPr>
              <w:t>4-9 months</w:t>
            </w:r>
          </w:p>
        </w:tc>
        <w:tc>
          <w:tcPr>
            <w:tcW w:type="dxa" w:w="2160"/>
          </w:tcPr>
          <w:p>
            <w:r/>
            <w:r>
              <w:rPr>
                <w:b w:val="0"/>
                <w:sz w:val="14"/>
              </w:rPr>
              <w:t>QP/NOS/micro-credential files; assessment blueprints; logbooks</w:t>
            </w:r>
          </w:p>
        </w:tc>
        <w:tc>
          <w:tcPr>
            <w:tcW w:type="dxa" w:w="2160"/>
          </w:tcPr>
          <w:p>
            <w:r/>
            <w:r>
              <w:rPr>
                <w:b w:val="0"/>
                <w:sz w:val="14"/>
              </w:rPr>
              <w:t>Submission-ready qualification package</w:t>
            </w:r>
          </w:p>
        </w:tc>
      </w:tr>
      <w:tr>
        <w:tc>
          <w:tcPr>
            <w:tcW w:type="dxa" w:w="2160"/>
          </w:tcPr>
          <w:p>
            <w:r/>
            <w:r>
              <w:rPr>
                <w:b w:val="0"/>
                <w:sz w:val="14"/>
              </w:rPr>
              <w:t>4. Facility and faculty readiness</w:t>
            </w:r>
          </w:p>
        </w:tc>
        <w:tc>
          <w:tcPr>
            <w:tcW w:type="dxa" w:w="2160"/>
          </w:tcPr>
          <w:p>
            <w:r/>
            <w:r>
              <w:rPr>
                <w:b w:val="0"/>
                <w:sz w:val="14"/>
              </w:rPr>
              <w:t>6-12 months</w:t>
            </w:r>
          </w:p>
        </w:tc>
        <w:tc>
          <w:tcPr>
            <w:tcW w:type="dxa" w:w="2160"/>
          </w:tcPr>
          <w:p>
            <w:r/>
            <w:r>
              <w:rPr>
                <w:b w:val="0"/>
                <w:sz w:val="14"/>
              </w:rPr>
              <w:t>Equipment, procedures, trainer/assessor competence, safety systems</w:t>
            </w:r>
          </w:p>
        </w:tc>
        <w:tc>
          <w:tcPr>
            <w:tcW w:type="dxa" w:w="2160"/>
          </w:tcPr>
          <w:p>
            <w:r/>
            <w:r>
              <w:rPr>
                <w:b w:val="0"/>
                <w:sz w:val="14"/>
              </w:rPr>
              <w:t>Training-centre readiness dossier</w:t>
            </w:r>
          </w:p>
        </w:tc>
      </w:tr>
      <w:tr>
        <w:tc>
          <w:tcPr>
            <w:tcW w:type="dxa" w:w="2160"/>
          </w:tcPr>
          <w:p>
            <w:r/>
            <w:r>
              <w:rPr>
                <w:b w:val="0"/>
                <w:sz w:val="14"/>
              </w:rPr>
              <w:t>5. Approval and pilot</w:t>
            </w:r>
          </w:p>
        </w:tc>
        <w:tc>
          <w:tcPr>
            <w:tcW w:type="dxa" w:w="2160"/>
          </w:tcPr>
          <w:p>
            <w:r/>
            <w:r>
              <w:rPr>
                <w:b w:val="0"/>
                <w:sz w:val="14"/>
              </w:rPr>
              <w:t>9-18 months</w:t>
            </w:r>
          </w:p>
        </w:tc>
        <w:tc>
          <w:tcPr>
            <w:tcW w:type="dxa" w:w="2160"/>
          </w:tcPr>
          <w:p>
            <w:r/>
            <w:r>
              <w:rPr>
                <w:b w:val="0"/>
                <w:sz w:val="14"/>
              </w:rPr>
              <w:t>Formal approvals/affiliation; pilot cohort; external review</w:t>
            </w:r>
          </w:p>
        </w:tc>
        <w:tc>
          <w:tcPr>
            <w:tcW w:type="dxa" w:w="2160"/>
          </w:tcPr>
          <w:p>
            <w:r/>
            <w:r>
              <w:rPr>
                <w:b w:val="0"/>
                <w:sz w:val="14"/>
              </w:rPr>
              <w:t>Approved pilot and corrective-action report</w:t>
            </w:r>
          </w:p>
        </w:tc>
      </w:tr>
      <w:tr>
        <w:tc>
          <w:tcPr>
            <w:tcW w:type="dxa" w:w="2160"/>
          </w:tcPr>
          <w:p>
            <w:r/>
            <w:r>
              <w:rPr>
                <w:b w:val="0"/>
                <w:sz w:val="14"/>
              </w:rPr>
              <w:t>6. International pathway</w:t>
            </w:r>
          </w:p>
        </w:tc>
        <w:tc>
          <w:tcPr>
            <w:tcW w:type="dxa" w:w="2160"/>
          </w:tcPr>
          <w:p>
            <w:r/>
            <w:r>
              <w:rPr>
                <w:b w:val="0"/>
                <w:sz w:val="14"/>
              </w:rPr>
              <w:t>12-30 months</w:t>
            </w:r>
          </w:p>
        </w:tc>
        <w:tc>
          <w:tcPr>
            <w:tcW w:type="dxa" w:w="2160"/>
          </w:tcPr>
          <w:p>
            <w:r/>
            <w:r>
              <w:rPr>
                <w:b w:val="0"/>
                <w:sz w:val="14"/>
              </w:rPr>
              <w:t>Apply for relevant membership/recognition/approved-course status where feasible</w:t>
            </w:r>
          </w:p>
        </w:tc>
        <w:tc>
          <w:tcPr>
            <w:tcW w:type="dxa" w:w="2160"/>
          </w:tcPr>
          <w:p>
            <w:r/>
            <w:r>
              <w:rPr>
                <w:b w:val="0"/>
                <w:sz w:val="14"/>
              </w:rPr>
              <w:t>Verified international status for exact scope</w:t>
            </w:r>
          </w:p>
        </w:tc>
      </w:tr>
    </w:tbl>
    <w:p>
      <w:pPr>
        <w:pStyle w:val="Heading2"/>
        <w:keepNext/>
      </w:pPr>
      <w:r>
        <w:t>14.10 Controlled standards register</w:t>
      </w:r>
    </w:p>
    <w:p>
      <w:r>
        <w:t>The DPR and operating manuals will maintain a controlled standards register. At minimum, it will identify the current edition, applicability, owner, implementation evidence and review date for:</w:t>
      </w:r>
    </w:p>
    <w:p>
      <w:pPr>
        <w:pStyle w:val="ListBullet"/>
        <w:spacing w:after="40"/>
        <w:ind w:left="360"/>
      </w:pPr>
      <w:r>
        <w:t>NCVET regulations, guidelines and the current National Skills Qualification Framework.</w:t>
      </w:r>
    </w:p>
    <w:p>
      <w:pPr>
        <w:pStyle w:val="ListBullet"/>
        <w:spacing w:after="40"/>
        <w:ind w:left="360"/>
      </w:pPr>
      <w:r>
        <w:t>HSSC Qualification Packs, NOS, model curricula, affiliation/accreditation and assessment requirements applicable to selected roles.</w:t>
      </w:r>
    </w:p>
    <w:p>
      <w:pPr>
        <w:pStyle w:val="ListBullet"/>
        <w:spacing w:after="40"/>
        <w:ind w:left="360"/>
      </w:pPr>
      <w:r>
        <w:t>Applicable IMCA offshore diving code, competence guidance, certificate-recognition and approved-course requirements.</w:t>
      </w:r>
    </w:p>
    <w:p>
      <w:pPr>
        <w:pStyle w:val="ListBullet"/>
        <w:spacing w:after="40"/>
        <w:ind w:left="360"/>
      </w:pPr>
      <w:r>
        <w:t>Current IDSA Diver Training Standards and Operational/Administrative Procedures accessible through the appropriate membership or authorised route.</w:t>
      </w:r>
    </w:p>
    <w:p>
      <w:pPr>
        <w:pStyle w:val="ListBullet"/>
        <w:spacing w:after="40"/>
        <w:ind w:left="360"/>
      </w:pPr>
      <w:r>
        <w:t>Applicable Indian maritime, occupational safety, environmental, medical, pressure-system, electrical, fire and coastal regulations.</w:t>
      </w:r>
    </w:p>
    <w:p>
      <w:pPr>
        <w:pStyle w:val="ListBullet"/>
        <w:spacing w:after="40"/>
        <w:ind w:left="360"/>
      </w:pPr>
      <w:r>
        <w:t>Client, classification, NDT, welding, quality-management, cybersecurity and autonomous-system assurance standards applicable to individual programmes.</w:t>
      </w:r>
    </w:p>
    <w:p>
      <w:pPr>
        <w:pStyle w:val="Heading1"/>
        <w:keepNext/>
      </w:pPr>
      <w:r>
        <w:t>15. GOVERNANCE, SAFETY, SECURITY AND REGULATORY PRINCIPLES</w:t>
      </w:r>
    </w:p>
    <w:p>
      <w:r>
        <w:t>Because KOSMTP combines diving, hyperbaric systems, autonomous craft and potential defence-facing programmes, governance must be designed into the project from inception.</w:t>
      </w:r>
    </w:p>
    <w:p>
      <w:pPr>
        <w:pStyle w:val="ListBullet"/>
        <w:spacing w:after="40"/>
        <w:ind w:left="360"/>
      </w:pPr>
      <w:r>
        <w:t>Project SPV / PPP governance with defined public and private responsibilities.</w:t>
      </w:r>
    </w:p>
    <w:p>
      <w:pPr>
        <w:pStyle w:val="ListBullet"/>
        <w:spacing w:after="40"/>
        <w:ind w:left="360"/>
      </w:pPr>
      <w:r>
        <w:t>Independent safety management system and documented marine operating procedures.</w:t>
      </w:r>
    </w:p>
    <w:p>
      <w:pPr>
        <w:pStyle w:val="ListBullet"/>
        <w:spacing w:after="40"/>
        <w:ind w:left="360"/>
      </w:pPr>
      <w:r>
        <w:t>Formal test-readiness reviews and go/no-go authority.</w:t>
      </w:r>
    </w:p>
    <w:p>
      <w:pPr>
        <w:pStyle w:val="ListBullet"/>
        <w:spacing w:after="40"/>
        <w:ind w:left="360"/>
      </w:pPr>
      <w:r>
        <w:t>Range/operating-area permissions and notices as required by competent authorities.</w:t>
      </w:r>
    </w:p>
    <w:p>
      <w:pPr>
        <w:pStyle w:val="ListBullet"/>
        <w:spacing w:after="40"/>
        <w:ind w:left="360"/>
      </w:pPr>
      <w:r>
        <w:t>Hydrographic, environmental and navigation-risk assessments for designated test activities.</w:t>
      </w:r>
    </w:p>
    <w:p>
      <w:pPr>
        <w:pStyle w:val="ListBullet"/>
        <w:spacing w:after="40"/>
        <w:ind w:left="360"/>
      </w:pPr>
      <w:r>
        <w:t>Configuration management, software version control and test evidence retention.</w:t>
      </w:r>
    </w:p>
    <w:p>
      <w:pPr>
        <w:pStyle w:val="ListBullet"/>
        <w:spacing w:after="40"/>
        <w:ind w:left="360"/>
      </w:pPr>
      <w:r>
        <w:t>Cybersecurity and access control for mission systems and secure projects.</w:t>
      </w:r>
    </w:p>
    <w:p>
      <w:pPr>
        <w:pStyle w:val="ListBullet"/>
        <w:spacing w:after="40"/>
        <w:ind w:left="360"/>
      </w:pPr>
      <w:r>
        <w:t>Customer data segregation, confidentiality and export/end-use compliance.</w:t>
      </w:r>
    </w:p>
    <w:p>
      <w:pPr>
        <w:pStyle w:val="ListBullet"/>
        <w:spacing w:after="40"/>
        <w:ind w:left="360"/>
      </w:pPr>
      <w:r>
        <w:t>Medical and emergency-response arrangements for diving/hyperbaric operations.</w:t>
      </w:r>
    </w:p>
    <w:p>
      <w:pPr>
        <w:pStyle w:val="ListBullet"/>
        <w:spacing w:after="40"/>
        <w:ind w:left="360"/>
      </w:pPr>
      <w:r>
        <w:t>Insurance, liability and incident-investigation frameworks.</w:t>
      </w:r>
    </w:p>
    <w:p>
      <w:pPr>
        <w:pStyle w:val="ListBullet"/>
        <w:spacing w:after="40"/>
        <w:ind w:left="360"/>
      </w:pPr>
      <w:r>
        <w:t>Community and fishing-user consultation for water-area activities.</w:t>
      </w:r>
    </w:p>
    <w:p>
      <w:pPr>
        <w:pStyle w:val="ListBullet"/>
        <w:spacing w:after="40"/>
        <w:ind w:left="360"/>
      </w:pPr>
      <w:r>
        <w:t>No defence-specific weaponisation work outside duly authorised government/customer frameworks.</w:t>
      </w:r>
    </w:p>
    <w:p>
      <w:pPr>
        <w:pStyle w:val="Heading1"/>
        <w:keepNext/>
      </w:pPr>
      <w:r>
        <w:t>16. STAKEHOLDER ECOSYSTEM</w:t>
      </w:r>
    </w:p>
    <w:p>
      <w:r>
        <w:t>The project should be developed through structured stakeholder engagement rather than a single-agency approach.</w:t>
      </w:r>
    </w:p>
    <w:p>
      <w:pPr>
        <w:pStyle w:val="ListBullet"/>
        <w:spacing w:after="40"/>
        <w:ind w:left="360"/>
      </w:pPr>
      <w:r>
        <w:t>Ministry of Ports, Shipping and Waterways and relevant Sagarmala institutions.</w:t>
      </w:r>
    </w:p>
    <w:p>
      <w:pPr>
        <w:pStyle w:val="ListBullet"/>
        <w:spacing w:after="40"/>
        <w:ind w:left="360"/>
      </w:pPr>
      <w:r>
        <w:t>Government of Maharashtra and Maharashtra Maritime Board.</w:t>
      </w:r>
    </w:p>
    <w:p>
      <w:pPr>
        <w:pStyle w:val="ListBullet"/>
        <w:spacing w:after="40"/>
        <w:ind w:left="360"/>
      </w:pPr>
      <w:r>
        <w:t>Skill-development authorities and technical education institutions.</w:t>
      </w:r>
    </w:p>
    <w:p>
      <w:pPr>
        <w:pStyle w:val="ListBullet"/>
        <w:spacing w:after="40"/>
        <w:ind w:left="360"/>
      </w:pPr>
      <w:r>
        <w:t>Indian Navy, Indian Coast Guard and other authorised maritime-security stakeholders for approved capability discussions.</w:t>
      </w:r>
    </w:p>
    <w:p>
      <w:pPr>
        <w:pStyle w:val="ListBullet"/>
        <w:spacing w:after="40"/>
        <w:ind w:left="360"/>
      </w:pPr>
      <w:r>
        <w:t>Ports, terminals, shipyards and ship-repair organisations.</w:t>
      </w:r>
    </w:p>
    <w:p>
      <w:pPr>
        <w:pStyle w:val="ListBullet"/>
        <w:spacing w:after="40"/>
        <w:ind w:left="360"/>
      </w:pPr>
      <w:r>
        <w:t>Offshore energy, subsea, hydrographic and marine survey companies.</w:t>
      </w:r>
    </w:p>
    <w:p>
      <w:pPr>
        <w:pStyle w:val="ListBullet"/>
        <w:spacing w:after="40"/>
        <w:ind w:left="360"/>
      </w:pPr>
      <w:r>
        <w:t>DRDO laboratories and other government R&amp;D organisations, subject to institutional interest and approvals.</w:t>
      </w:r>
    </w:p>
    <w:p>
      <w:pPr>
        <w:pStyle w:val="ListBullet"/>
        <w:spacing w:after="40"/>
        <w:ind w:left="360"/>
      </w:pPr>
      <w:r>
        <w:t>IITs, NITs, maritime universities and engineering institutions.</w:t>
      </w:r>
    </w:p>
    <w:p>
      <w:pPr>
        <w:pStyle w:val="ListBullet"/>
        <w:spacing w:after="40"/>
        <w:ind w:left="360"/>
      </w:pPr>
      <w:r>
        <w:t>Marine robotics, autonomy, sensor, electronics and AI startups.</w:t>
      </w:r>
    </w:p>
    <w:p>
      <w:pPr>
        <w:pStyle w:val="ListBullet"/>
        <w:spacing w:after="40"/>
        <w:ind w:left="360"/>
      </w:pPr>
      <w:r>
        <w:t>Local ITIs, polytechnics, colleges and coastal community organisations.</w:t>
      </w:r>
    </w:p>
    <w:p>
      <w:pPr>
        <w:pStyle w:val="ListBullet"/>
        <w:spacing w:after="40"/>
        <w:ind w:left="360"/>
      </w:pPr>
      <w:r>
        <w:t>Classification, quality, testing and certification bodies as applicable.</w:t>
      </w:r>
    </w:p>
    <w:p>
      <w:pPr>
        <w:pStyle w:val="Heading1"/>
        <w:keepNext/>
      </w:pPr>
      <w:r>
        <w:t>17. REQUEST FOR GOVERNMENT CONSIDERATION</w:t>
      </w:r>
    </w:p>
    <w:p>
      <w:r>
        <w:t>Nirvidhi Marine Pvt. Ltd. respectfully seeks consideration from the relevant authorities for:</w:t>
      </w:r>
    </w:p>
    <w:p>
      <w:pPr>
        <w:pStyle w:val="ListBullet"/>
        <w:spacing w:after="40"/>
        <w:ind w:left="360"/>
      </w:pPr>
      <w:r>
        <w:t>Identification of suitable land within or adjacent to the Vijaydurg Port / Creek Region, preferably with practical waterfront access, under an appropriate PPP or long-term development framework.</w:t>
      </w:r>
    </w:p>
    <w:p>
      <w:pPr>
        <w:pStyle w:val="ListBullet"/>
        <w:spacing w:after="40"/>
        <w:ind w:left="360"/>
      </w:pPr>
      <w:r>
        <w:t>Permission to undertake a preliminary site reconnaissance and pre-feasibility assessment covering land, waterfront access, bathymetry, navigation, metocean, CRZ/environment and utility requirements.</w:t>
      </w:r>
    </w:p>
    <w:p>
      <w:pPr>
        <w:pStyle w:val="ListBullet"/>
        <w:spacing w:after="40"/>
        <w:ind w:left="360"/>
      </w:pPr>
      <w:r>
        <w:t>Facilitation of stakeholder consultations with Maharashtra Maritime Board, district administration, maritime agencies, skill-development bodies and other relevant institutions.</w:t>
      </w:r>
    </w:p>
    <w:p>
      <w:pPr>
        <w:pStyle w:val="ListBullet"/>
        <w:spacing w:after="40"/>
        <w:ind w:left="360"/>
      </w:pPr>
      <w:r>
        <w:t>Guidance on applicable Sagarmala, Sagarmala 2.0, coastal community development, maritime innovation, shipbuilding ecosystem and skill-development mechanisms.</w:t>
      </w:r>
    </w:p>
    <w:p>
      <w:pPr>
        <w:pStyle w:val="ListBullet"/>
        <w:spacing w:after="40"/>
        <w:ind w:left="360"/>
      </w:pPr>
      <w:r>
        <w:t>Support for preparation of a Detailed Project Report, financial model, PPP structuring plan and statutory approval matrix.</w:t>
      </w:r>
    </w:p>
    <w:p>
      <w:pPr>
        <w:pStyle w:val="ListBullet"/>
        <w:spacing w:after="40"/>
        <w:ind w:left="360"/>
      </w:pPr>
      <w:r>
        <w:t>Consideration of KOSMTP as a strategic maritime skills and underwater/autonomous systems capability initiative for the Konkan coast.</w:t>
      </w:r>
    </w:p>
    <w:p>
      <w:pPr>
        <w:pStyle w:val="ListBullet"/>
      </w:pPr>
      <w:r>
        <w:t>Guidance for launching a 12-month KOSMTP pilot covering inspection services, selected training, research collaboration and a controlled Vijaydurg technology demonstration.</w:t>
      </w:r>
    </w:p>
    <w:p>
      <w:pPr>
        <w:pStyle w:val="ListBullet"/>
      </w:pPr>
      <w:r>
        <w:t>Guidance on the institutional and permission pathway for the Vijaydurg Maritime Living Lab and Sea-Validation Facility.</w:t>
      </w:r>
    </w:p>
    <w:p>
      <w:pPr>
        <w:pStyle w:val="ListBullet"/>
      </w:pPr>
      <w:r>
        <w:t>Opportunity to identify MMB-relevant pilot asset-inspection, condition-assessment or maritime data use cases.</w:t>
      </w:r>
    </w:p>
    <w:p>
      <w:pPr>
        <w:pStyle w:val="ListBullet"/>
      </w:pPr>
      <w:r>
        <w:t>Support for stakeholder engagement concerning the Applied Research and Maritime Data Centre and the Marine Robotics Assembly, Repair and MRO Cluster.</w:t>
      </w:r>
    </w:p>
    <w:p>
      <w:pPr>
        <w:pStyle w:val="Heading1"/>
        <w:keepNext/>
      </w:pPr>
      <w:r>
        <w:t>18. IMMEDIATE 180-DAY DEVELOPMENT ROADMAP</w:t>
      </w:r>
    </w:p>
    <w:tbl>
      <w:tblPr>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b/>
                <w:color w:val="FFFFFF"/>
                <w:sz w:val="17"/>
              </w:rPr>
              <w:t>Period</w:t>
            </w:r>
          </w:p>
        </w:tc>
        <w:tc>
          <w:tcPr>
            <w:tcW w:type="dxa" w:w="3360"/>
            <w:shd w:fill="17365D"/>
            <w:vAlign w:val="center"/>
          </w:tcPr>
          <w:p>
            <w:r/>
            <w:r>
              <w:rPr>
                <w:b/>
                <w:color w:val="FFFFFF"/>
                <w:sz w:val="17"/>
              </w:rPr>
              <w:t>Action</w:t>
            </w:r>
          </w:p>
        </w:tc>
        <w:tc>
          <w:tcPr>
            <w:tcW w:type="dxa" w:w="3360"/>
            <w:shd w:fill="17365D"/>
            <w:vAlign w:val="center"/>
          </w:tcPr>
          <w:p>
            <w:r/>
            <w:r>
              <w:rPr>
                <w:b/>
                <w:color w:val="FFFFFF"/>
                <w:sz w:val="17"/>
              </w:rPr>
              <w:t>Output</w:t>
            </w:r>
          </w:p>
        </w:tc>
      </w:tr>
      <w:tr>
        <w:tc>
          <w:tcPr>
            <w:tcW w:type="dxa" w:w="3360"/>
            <w:vAlign w:val="center"/>
          </w:tcPr>
          <w:p>
            <w:r/>
            <w:r>
              <w:rPr>
                <w:b w:val="0"/>
                <w:sz w:val="16"/>
              </w:rPr>
              <w:t>0–30 days</w:t>
            </w:r>
          </w:p>
        </w:tc>
        <w:tc>
          <w:tcPr>
            <w:tcW w:type="dxa" w:w="3360"/>
            <w:vAlign w:val="center"/>
          </w:tcPr>
          <w:p>
            <w:r>
              <w:t>MMB engagement; pilot proposition; four-centre partner map; site and customer problem statements</w:t>
            </w:r>
          </w:p>
        </w:tc>
        <w:tc>
          <w:tcPr>
            <w:tcW w:type="dxa" w:w="3360"/>
            <w:vAlign w:val="center"/>
          </w:tcPr>
          <w:p>
            <w:r>
              <w:t>In-principle pilot discussion package</w:t>
            </w:r>
          </w:p>
        </w:tc>
      </w:tr>
      <w:tr>
        <w:tc>
          <w:tcPr>
            <w:tcW w:type="dxa" w:w="3360"/>
            <w:vAlign w:val="center"/>
          </w:tcPr>
          <w:p>
            <w:r/>
            <w:r>
              <w:rPr>
                <w:b w:val="0"/>
                <w:sz w:val="16"/>
              </w:rPr>
              <w:t>30–60 days</w:t>
            </w:r>
          </w:p>
        </w:tc>
        <w:tc>
          <w:tcPr>
            <w:tcW w:type="dxa" w:w="3360"/>
            <w:vAlign w:val="center"/>
          </w:tcPr>
          <w:p>
            <w:r>
              <w:t>Vijaydurg reconnaissance; Living Lab operating constraints; inspection-service demand and asset screening</w:t>
            </w:r>
          </w:p>
        </w:tc>
        <w:tc>
          <w:tcPr>
            <w:tcW w:type="dxa" w:w="3360"/>
            <w:vAlign w:val="center"/>
          </w:tcPr>
          <w:p>
            <w:r>
              <w:t>Pilot site and operating feasibility note</w:t>
            </w:r>
          </w:p>
        </w:tc>
      </w:tr>
      <w:tr>
        <w:tc>
          <w:tcPr>
            <w:tcW w:type="dxa" w:w="3360"/>
            <w:vAlign w:val="center"/>
          </w:tcPr>
          <w:p>
            <w:r/>
            <w:r>
              <w:rPr>
                <w:b w:val="0"/>
                <w:sz w:val="16"/>
              </w:rPr>
              <w:t>60–90 days</w:t>
            </w:r>
          </w:p>
        </w:tc>
        <w:tc>
          <w:tcPr>
            <w:tcW w:type="dxa" w:w="3360"/>
            <w:vAlign w:val="center"/>
          </w:tcPr>
          <w:p>
            <w:r>
              <w:t>Partner outreach for inspection, research/data, robotics MRO, equipment and qualification pathways</w:t>
            </w:r>
          </w:p>
        </w:tc>
        <w:tc>
          <w:tcPr>
            <w:tcW w:type="dxa" w:w="3360"/>
            <w:vAlign w:val="center"/>
          </w:tcPr>
          <w:p>
            <w:r>
              <w:t>Anchor-partner and letter-of-interest dossier</w:t>
            </w:r>
          </w:p>
        </w:tc>
      </w:tr>
      <w:tr>
        <w:tc>
          <w:tcPr>
            <w:tcW w:type="dxa" w:w="3360"/>
            <w:vAlign w:val="center"/>
          </w:tcPr>
          <w:p>
            <w:r/>
            <w:r>
              <w:rPr>
                <w:b w:val="0"/>
                <w:sz w:val="16"/>
              </w:rPr>
              <w:t>90–120 days</w:t>
            </w:r>
          </w:p>
        </w:tc>
        <w:tc>
          <w:tcPr>
            <w:tcW w:type="dxa" w:w="3360"/>
            <w:vAlign w:val="center"/>
          </w:tcPr>
          <w:p>
            <w:r>
              <w:t>Pilot inspection methodology; data architecture; MRO workflow; Living Lab safety and test framework</w:t>
            </w:r>
          </w:p>
        </w:tc>
        <w:tc>
          <w:tcPr>
            <w:tcW w:type="dxa" w:w="3360"/>
            <w:vAlign w:val="center"/>
          </w:tcPr>
          <w:p>
            <w:r>
              <w:t>Four-centre operating blueprint</w:t>
            </w:r>
          </w:p>
        </w:tc>
      </w:tr>
      <w:tr>
        <w:tc>
          <w:tcPr>
            <w:tcW w:type="dxa" w:w="3360"/>
            <w:vAlign w:val="center"/>
          </w:tcPr>
          <w:p>
            <w:r/>
            <w:r>
              <w:rPr>
                <w:b w:val="0"/>
                <w:sz w:val="16"/>
              </w:rPr>
              <w:t>120–150 days</w:t>
            </w:r>
          </w:p>
        </w:tc>
        <w:tc>
          <w:tcPr>
            <w:tcW w:type="dxa" w:w="3360"/>
            <w:vAlign w:val="center"/>
          </w:tcPr>
          <w:p>
            <w:r>
              <w:t>Demonstration planning; initial paid assignments; short-course pilot; research MoUs and equipment mobilisation</w:t>
            </w:r>
          </w:p>
        </w:tc>
        <w:tc>
          <w:tcPr>
            <w:tcW w:type="dxa" w:w="3360"/>
            <w:vAlign w:val="center"/>
          </w:tcPr>
          <w:p>
            <w:r>
              <w:t>KOSMTP Phase-0 mobilisation package</w:t>
            </w:r>
          </w:p>
        </w:tc>
      </w:tr>
      <w:tr>
        <w:tc>
          <w:tcPr>
            <w:tcW w:type="dxa" w:w="3360"/>
            <w:vAlign w:val="center"/>
          </w:tcPr>
          <w:p>
            <w:r/>
            <w:r>
              <w:rPr>
                <w:b w:val="0"/>
                <w:sz w:val="16"/>
              </w:rPr>
              <w:t>150–180 days</w:t>
            </w:r>
          </w:p>
        </w:tc>
        <w:tc>
          <w:tcPr>
            <w:tcW w:type="dxa" w:w="3360"/>
            <w:vAlign w:val="center"/>
          </w:tcPr>
          <w:p>
            <w:r>
              <w:t>Complete pilot demonstration, initial service delivery and DPR terms of reference</w:t>
            </w:r>
          </w:p>
        </w:tc>
        <w:tc>
          <w:tcPr>
            <w:tcW w:type="dxa" w:w="3360"/>
            <w:vAlign w:val="center"/>
          </w:tcPr>
          <w:p>
            <w:r>
              <w:t>Evidence-based investment and implementation package</w:t>
            </w:r>
          </w:p>
        </w:tc>
      </w:tr>
    </w:tbl>
    <w:p>
      <w:pPr>
        <w:pStyle w:val="Heading1"/>
        <w:keepNext/>
      </w:pPr>
      <w:r>
        <w:t>19. CONCLUSION</w:t>
      </w:r>
    </w:p>
    <w:p>
      <w:r>
        <w:t>The KOSMTP proposal positions Vijaydurg as more than a project address. Its natural-harbour and creek context can support an integrated maritime operating ecosystem comprising the Vijaydurg Maritime Living Lab and Sea-Validation Facility, the Marine Asset Integrity and Inspection Services Centre, the Applied Research and Maritime Data Centre, and the Marine Robotics Assembly, Repair and MRO Cluster.</w:t>
      </w:r>
    </w:p>
    <w:p>
      <w:r>
        <w:t>By linking qualifications and training with paid marine assignments, applied research, governed data, indigenous equipment support and progressively controlled sea validation, KOSMTP can address skilled manpower, port and coastal asset reliability, technology development and lifecycle support through a single operating model.</w:t>
      </w:r>
    </w:p>
    <w:p>
      <w:r>
        <w:t>Aligned with the port-led, coastal-development and innovation logic of Sagarmala and the expanded maritime ecosystem ambitions of Sagarmala 2.0 and India's long-term maritime vision, KOSMTP has the potential to become a nationally relevant Centre of Excellence while creating durable technical employment and enterprise opportunities in Sindhudurg.</w:t>
      </w:r>
    </w:p>
    <w:p>
      <w:r>
        <w:t>Nirvidhi Marine Pvt. Ltd. proposes to engage with government, maritime authorities, industry, academia and authorised security stakeholders to refine the site, establish the regulatory pathway, validate the business model and develop the project through a phased Public–Private Partnership framework.</w:t>
      </w:r>
    </w:p>
    <w:p>
      <w:r/>
    </w:p>
    <w:p>
      <w:pPr>
        <w:pStyle w:val="Heading1"/>
        <w:keepNext/>
      </w:pPr>
      <w:r>
        <w:t>ANNEXURE A — INDICATIVE COURSE ARCHITECTURE</w:t>
      </w:r>
    </w:p>
    <w:p>
      <w:pPr>
        <w:pStyle w:val="Heading2"/>
        <w:keepNext/>
      </w:pPr>
      <w:r>
        <w:t>A. Underwater Operations Foundation — 2 to 4 weeks</w:t>
      </w:r>
    </w:p>
    <w:p>
      <w:r>
        <w:t>Marine environment; safety; PPE; worksite controls; basic underwater systems; emergency drills; introduction to diving/ROV/AUV/USV.</w:t>
      </w:r>
    </w:p>
    <w:p>
      <w:pPr>
        <w:pStyle w:val="Heading2"/>
        <w:keepNext/>
      </w:pPr>
      <w:r>
        <w:t>B. ROV Pilot-Technician — 6 to 12 weeks</w:t>
      </w:r>
    </w:p>
    <w:p>
      <w:r>
        <w:t>Vehicle systems; topside; tether management; piloting; sonar; inspection patterns; fault finding; maintenance; digital reporting; supervised field missions.</w:t>
      </w:r>
    </w:p>
    <w:p>
      <w:pPr>
        <w:pStyle w:val="Heading2"/>
        <w:keepNext/>
      </w:pPr>
      <w:r>
        <w:t>C. AUV Mission Planning &amp; Operations — 4 to 8 weeks</w:t>
      </w:r>
    </w:p>
    <w:p>
      <w:r>
        <w:t>Platform architecture; mission planning; navigation; payloads; pre-dive checks; launch/recovery; mission monitoring; data QA; post-mission analysis.</w:t>
      </w:r>
    </w:p>
    <w:p>
      <w:pPr>
        <w:pStyle w:val="Heading2"/>
        <w:keepNext/>
      </w:pPr>
      <w:r>
        <w:t>D. USV/ASV Mission Supervision — 4 to 8 weeks</w:t>
      </w:r>
    </w:p>
    <w:p>
      <w:r>
        <w:t>Surface autonomy; remote control; communications; route planning; situational awareness; collision-risk concepts; safety case; mission supervision.</w:t>
      </w:r>
    </w:p>
    <w:p>
      <w:pPr>
        <w:pStyle w:val="Heading2"/>
        <w:keepNext/>
      </w:pPr>
      <w:r>
        <w:t>E. Marine Robotics Technician — 12 to 24 weeks</w:t>
      </w:r>
    </w:p>
    <w:p>
      <w:r>
        <w:t>Marine electrical/electronics; connectors; sealing; pressure housings; batteries; thrusters; embedded systems; sensors; integration; test documentation.</w:t>
      </w:r>
    </w:p>
    <w:p>
      <w:pPr>
        <w:pStyle w:val="Heading2"/>
        <w:keepNext/>
      </w:pPr>
      <w:r>
        <w:t>F. Autonomous Marine Systems Engineer — 12 to 24 weeks</w:t>
      </w:r>
    </w:p>
    <w:p>
      <w:r>
        <w:t>Control; estimation; perception; sensor fusion; mission logic; simulation; software-in-the-loop; HIL; V&amp;V; digital twins; supervised sea trials.</w:t>
      </w:r>
    </w:p>
    <w:p>
      <w:pPr>
        <w:pStyle w:val="Heading2"/>
        <w:keepNext/>
      </w:pPr>
      <w:r>
        <w:t>G. Underwater Inspection &amp; Digital Reporting — 4 to 8 weeks</w:t>
      </w:r>
    </w:p>
    <w:p>
      <w:r>
        <w:t>Inspection planning; visual methods; defect recognition; scaling; sonar support; evidence integrity; reporting; asset-condition records.</w:t>
      </w:r>
    </w:p>
    <w:p>
      <w:pPr>
        <w:pStyle w:val="Heading2"/>
        <w:keepNext/>
      </w:pPr>
      <w:r>
        <w:t>H. Bathymetry &amp; Marine Survey Foundation — 4 to 8 weeks</w:t>
      </w:r>
    </w:p>
    <w:p>
      <w:r>
        <w:t>Survey planning; GNSS; echo sounders; sonar concepts; line planning; calibration awareness; data QC; basic mapping.</w:t>
      </w:r>
    </w:p>
    <w:p>
      <w:pPr>
        <w:pStyle w:val="Heading2"/>
        <w:keepNext/>
      </w:pPr>
      <w:r>
        <w:t>I. Subsea Payload Integration — 4 to 8 weeks</w:t>
      </w:r>
    </w:p>
    <w:p>
      <w:r>
        <w:t>Electrical/mechanical interfaces; serial/Ethernet/CAN concepts; timing; power budgets; calibration; payload testing; mission data.</w:t>
      </w:r>
    </w:p>
    <w:p>
      <w:pPr>
        <w:pStyle w:val="Heading2"/>
        <w:keepNext/>
      </w:pPr>
      <w:r>
        <w:t>J. Hyperbaric Support Operations — duration subject to approved syllabus</w:t>
      </w:r>
    </w:p>
    <w:p>
      <w:r>
        <w:t>Chamber systems; operating checks; logs; emergency procedures; maintenance awareness; medical interfaces; regulatory pathway.</w:t>
      </w:r>
    </w:p>
    <w:p>
      <w:pPr>
        <w:pStyle w:val="Heading1"/>
        <w:keepNext/>
      </w:pPr>
      <w:r>
        <w:t>ANNEXURE B — INDICATIVE AUTONOMOUS CRAFT DEVELOPMENT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7365D"/>
            <w:vAlign w:val="center"/>
          </w:tcPr>
          <w:p>
            <w:r/>
            <w:r>
              <w:rPr>
                <w:b/>
                <w:color w:val="FFFFFF"/>
                <w:sz w:val="16"/>
              </w:rPr>
              <w:t>Class</w:t>
            </w:r>
          </w:p>
        </w:tc>
        <w:tc>
          <w:tcPr>
            <w:tcW w:type="dxa" w:w="2016"/>
            <w:shd w:fill="17365D"/>
            <w:vAlign w:val="center"/>
          </w:tcPr>
          <w:p>
            <w:r/>
            <w:r>
              <w:rPr>
                <w:b/>
                <w:color w:val="FFFFFF"/>
                <w:sz w:val="16"/>
              </w:rPr>
              <w:t>Platform</w:t>
            </w:r>
          </w:p>
        </w:tc>
        <w:tc>
          <w:tcPr>
            <w:tcW w:type="dxa" w:w="2016"/>
            <w:shd w:fill="17365D"/>
            <w:vAlign w:val="center"/>
          </w:tcPr>
          <w:p>
            <w:r/>
            <w:r>
              <w:rPr>
                <w:b/>
                <w:color w:val="FFFFFF"/>
                <w:sz w:val="16"/>
              </w:rPr>
              <w:t>Indicative scale</w:t>
            </w:r>
          </w:p>
        </w:tc>
        <w:tc>
          <w:tcPr>
            <w:tcW w:type="dxa" w:w="2016"/>
            <w:shd w:fill="17365D"/>
            <w:vAlign w:val="center"/>
          </w:tcPr>
          <w:p>
            <w:r/>
            <w:r>
              <w:rPr>
                <w:b/>
                <w:color w:val="FFFFFF"/>
                <w:sz w:val="16"/>
              </w:rPr>
              <w:t>Core role</w:t>
            </w:r>
          </w:p>
        </w:tc>
        <w:tc>
          <w:tcPr>
            <w:tcW w:type="dxa" w:w="2016"/>
            <w:shd w:fill="17365D"/>
            <w:vAlign w:val="center"/>
          </w:tcPr>
          <w:p>
            <w:r/>
            <w:r>
              <w:rPr>
                <w:b/>
                <w:color w:val="FFFFFF"/>
                <w:sz w:val="16"/>
              </w:rPr>
              <w:t>KOSMTP focus</w:t>
            </w:r>
          </w:p>
        </w:tc>
      </w:tr>
      <w:tr>
        <w:tc>
          <w:tcPr>
            <w:tcW w:type="dxa" w:w="2016"/>
            <w:vAlign w:val="center"/>
          </w:tcPr>
          <w:p>
            <w:r/>
            <w:r>
              <w:rPr>
                <w:b w:val="0"/>
                <w:sz w:val="15"/>
              </w:rPr>
              <w:t>S1</w:t>
            </w:r>
          </w:p>
        </w:tc>
        <w:tc>
          <w:tcPr>
            <w:tcW w:type="dxa" w:w="2016"/>
            <w:vAlign w:val="center"/>
          </w:tcPr>
          <w:p>
            <w:r/>
            <w:r>
              <w:rPr>
                <w:b w:val="0"/>
                <w:sz w:val="15"/>
              </w:rPr>
              <w:t>Micro/portable ROV</w:t>
            </w:r>
          </w:p>
        </w:tc>
        <w:tc>
          <w:tcPr>
            <w:tcW w:type="dxa" w:w="2016"/>
            <w:vAlign w:val="center"/>
          </w:tcPr>
          <w:p>
            <w:r/>
            <w:r>
              <w:rPr>
                <w:b w:val="0"/>
                <w:sz w:val="15"/>
              </w:rPr>
              <w:t>Man-portable</w:t>
            </w:r>
          </w:p>
        </w:tc>
        <w:tc>
          <w:tcPr>
            <w:tcW w:type="dxa" w:w="2016"/>
            <w:vAlign w:val="center"/>
          </w:tcPr>
          <w:p>
            <w:r/>
            <w:r>
              <w:rPr>
                <w:b w:val="0"/>
                <w:sz w:val="15"/>
              </w:rPr>
              <w:t>Visual inspection / training</w:t>
            </w:r>
          </w:p>
        </w:tc>
        <w:tc>
          <w:tcPr>
            <w:tcW w:type="dxa" w:w="2016"/>
            <w:vAlign w:val="center"/>
          </w:tcPr>
          <w:p>
            <w:r/>
            <w:r>
              <w:rPr>
                <w:b w:val="0"/>
                <w:sz w:val="15"/>
              </w:rPr>
              <w:t>Assembly, pilot training, payload integration</w:t>
            </w:r>
          </w:p>
        </w:tc>
      </w:tr>
      <w:tr>
        <w:tc>
          <w:tcPr>
            <w:tcW w:type="dxa" w:w="2016"/>
            <w:vAlign w:val="center"/>
          </w:tcPr>
          <w:p>
            <w:r/>
            <w:r>
              <w:rPr>
                <w:b w:val="0"/>
                <w:sz w:val="15"/>
              </w:rPr>
              <w:t>S2</w:t>
            </w:r>
          </w:p>
        </w:tc>
        <w:tc>
          <w:tcPr>
            <w:tcW w:type="dxa" w:w="2016"/>
            <w:vAlign w:val="center"/>
          </w:tcPr>
          <w:p>
            <w:r/>
            <w:r>
              <w:rPr>
                <w:b w:val="0"/>
                <w:sz w:val="15"/>
              </w:rPr>
              <w:t>Inspection ROV</w:t>
            </w:r>
          </w:p>
        </w:tc>
        <w:tc>
          <w:tcPr>
            <w:tcW w:type="dxa" w:w="2016"/>
            <w:vAlign w:val="center"/>
          </w:tcPr>
          <w:p>
            <w:r/>
            <w:r>
              <w:rPr>
                <w:b w:val="0"/>
                <w:sz w:val="15"/>
              </w:rPr>
              <w:t>Portable to light work-class</w:t>
            </w:r>
          </w:p>
        </w:tc>
        <w:tc>
          <w:tcPr>
            <w:tcW w:type="dxa" w:w="2016"/>
            <w:vAlign w:val="center"/>
          </w:tcPr>
          <w:p>
            <w:r/>
            <w:r>
              <w:rPr>
                <w:b w:val="0"/>
                <w:sz w:val="15"/>
              </w:rPr>
              <w:t>Port/hull/infrastructure inspection</w:t>
            </w:r>
          </w:p>
        </w:tc>
        <w:tc>
          <w:tcPr>
            <w:tcW w:type="dxa" w:w="2016"/>
            <w:vAlign w:val="center"/>
          </w:tcPr>
          <w:p>
            <w:r/>
            <w:r>
              <w:rPr>
                <w:b w:val="0"/>
                <w:sz w:val="15"/>
              </w:rPr>
              <w:t>Localisation, sonar, reporting, service deployment</w:t>
            </w:r>
          </w:p>
        </w:tc>
      </w:tr>
      <w:tr>
        <w:tc>
          <w:tcPr>
            <w:tcW w:type="dxa" w:w="2016"/>
            <w:vAlign w:val="center"/>
          </w:tcPr>
          <w:p>
            <w:r/>
            <w:r>
              <w:rPr>
                <w:b w:val="0"/>
                <w:sz w:val="15"/>
              </w:rPr>
              <w:t>U1</w:t>
            </w:r>
          </w:p>
        </w:tc>
        <w:tc>
          <w:tcPr>
            <w:tcW w:type="dxa" w:w="2016"/>
            <w:vAlign w:val="center"/>
          </w:tcPr>
          <w:p>
            <w:r/>
            <w:r>
              <w:rPr>
                <w:b w:val="0"/>
                <w:sz w:val="15"/>
              </w:rPr>
              <w:t>Compact AUV</w:t>
            </w:r>
          </w:p>
        </w:tc>
        <w:tc>
          <w:tcPr>
            <w:tcW w:type="dxa" w:w="2016"/>
            <w:vAlign w:val="center"/>
          </w:tcPr>
          <w:p>
            <w:r/>
            <w:r>
              <w:rPr>
                <w:b w:val="0"/>
                <w:sz w:val="15"/>
              </w:rPr>
              <w:t>Small</w:t>
            </w:r>
          </w:p>
        </w:tc>
        <w:tc>
          <w:tcPr>
            <w:tcW w:type="dxa" w:w="2016"/>
            <w:vAlign w:val="center"/>
          </w:tcPr>
          <w:p>
            <w:r/>
            <w:r>
              <w:rPr>
                <w:b w:val="0"/>
                <w:sz w:val="15"/>
              </w:rPr>
              <w:t>Survey / sensing / autonomy R&amp;D</w:t>
            </w:r>
          </w:p>
        </w:tc>
        <w:tc>
          <w:tcPr>
            <w:tcW w:type="dxa" w:w="2016"/>
            <w:vAlign w:val="center"/>
          </w:tcPr>
          <w:p>
            <w:r/>
            <w:r>
              <w:rPr>
                <w:b w:val="0"/>
                <w:sz w:val="15"/>
              </w:rPr>
              <w:t>Mission planning, navigation, payloads, trials</w:t>
            </w:r>
          </w:p>
        </w:tc>
      </w:tr>
      <w:tr>
        <w:tc>
          <w:tcPr>
            <w:tcW w:type="dxa" w:w="2016"/>
            <w:vAlign w:val="center"/>
          </w:tcPr>
          <w:p>
            <w:r/>
            <w:r>
              <w:rPr>
                <w:b w:val="0"/>
                <w:sz w:val="15"/>
              </w:rPr>
              <w:t>U2</w:t>
            </w:r>
          </w:p>
        </w:tc>
        <w:tc>
          <w:tcPr>
            <w:tcW w:type="dxa" w:w="2016"/>
            <w:vAlign w:val="center"/>
          </w:tcPr>
          <w:p>
            <w:r/>
            <w:r>
              <w:rPr>
                <w:b w:val="0"/>
                <w:sz w:val="15"/>
              </w:rPr>
              <w:t>Medium AUV / hybrid UUV demonstrator</w:t>
            </w:r>
          </w:p>
        </w:tc>
        <w:tc>
          <w:tcPr>
            <w:tcW w:type="dxa" w:w="2016"/>
            <w:vAlign w:val="center"/>
          </w:tcPr>
          <w:p>
            <w:r/>
            <w:r>
              <w:rPr>
                <w:b w:val="0"/>
                <w:sz w:val="15"/>
              </w:rPr>
              <w:t>Medium category</w:t>
            </w:r>
          </w:p>
        </w:tc>
        <w:tc>
          <w:tcPr>
            <w:tcW w:type="dxa" w:w="2016"/>
            <w:vAlign w:val="center"/>
          </w:tcPr>
          <w:p>
            <w:r/>
            <w:r>
              <w:rPr>
                <w:b w:val="0"/>
                <w:sz w:val="15"/>
              </w:rPr>
              <w:t>Longer endurance / modular missions</w:t>
            </w:r>
          </w:p>
        </w:tc>
        <w:tc>
          <w:tcPr>
            <w:tcW w:type="dxa" w:w="2016"/>
            <w:vAlign w:val="center"/>
          </w:tcPr>
          <w:p>
            <w:r/>
            <w:r>
              <w:rPr>
                <w:b w:val="0"/>
                <w:sz w:val="15"/>
              </w:rPr>
              <w:t>Integration, digital twin, V&amp;V, user evaluation</w:t>
            </w:r>
          </w:p>
        </w:tc>
      </w:tr>
      <w:tr>
        <w:tc>
          <w:tcPr>
            <w:tcW w:type="dxa" w:w="2016"/>
            <w:vAlign w:val="center"/>
          </w:tcPr>
          <w:p>
            <w:r/>
            <w:r>
              <w:rPr>
                <w:b w:val="0"/>
                <w:sz w:val="15"/>
              </w:rPr>
              <w:t>V1</w:t>
            </w:r>
          </w:p>
        </w:tc>
        <w:tc>
          <w:tcPr>
            <w:tcW w:type="dxa" w:w="2016"/>
            <w:vAlign w:val="center"/>
          </w:tcPr>
          <w:p>
            <w:r/>
            <w:r>
              <w:rPr>
                <w:b w:val="0"/>
                <w:sz w:val="15"/>
              </w:rPr>
              <w:t>Small USV/ASV</w:t>
            </w:r>
          </w:p>
        </w:tc>
        <w:tc>
          <w:tcPr>
            <w:tcW w:type="dxa" w:w="2016"/>
            <w:vAlign w:val="center"/>
          </w:tcPr>
          <w:p>
            <w:r/>
            <w:r>
              <w:rPr>
                <w:b w:val="0"/>
                <w:sz w:val="15"/>
              </w:rPr>
              <w:t>Trailerable / portable</w:t>
            </w:r>
          </w:p>
        </w:tc>
        <w:tc>
          <w:tcPr>
            <w:tcW w:type="dxa" w:w="2016"/>
            <w:vAlign w:val="center"/>
          </w:tcPr>
          <w:p>
            <w:r/>
            <w:r>
              <w:rPr>
                <w:b w:val="0"/>
                <w:sz w:val="15"/>
              </w:rPr>
              <w:t>Bathymetry / monitoring / port support</w:t>
            </w:r>
          </w:p>
        </w:tc>
        <w:tc>
          <w:tcPr>
            <w:tcW w:type="dxa" w:w="2016"/>
            <w:vAlign w:val="center"/>
          </w:tcPr>
          <w:p>
            <w:r/>
            <w:r>
              <w:rPr>
                <w:b w:val="0"/>
                <w:sz w:val="15"/>
              </w:rPr>
              <w:t>Autonomy, C2, payload integration</w:t>
            </w:r>
          </w:p>
        </w:tc>
      </w:tr>
      <w:tr>
        <w:tc>
          <w:tcPr>
            <w:tcW w:type="dxa" w:w="2016"/>
            <w:vAlign w:val="center"/>
          </w:tcPr>
          <w:p>
            <w:r/>
            <w:r>
              <w:rPr>
                <w:b w:val="0"/>
                <w:sz w:val="15"/>
              </w:rPr>
              <w:t>V2</w:t>
            </w:r>
          </w:p>
        </w:tc>
        <w:tc>
          <w:tcPr>
            <w:tcW w:type="dxa" w:w="2016"/>
            <w:vAlign w:val="center"/>
          </w:tcPr>
          <w:p>
            <w:r/>
            <w:r>
              <w:rPr>
                <w:b w:val="0"/>
                <w:sz w:val="15"/>
              </w:rPr>
              <w:t>Medium modular USV/ASV demonstrator</w:t>
            </w:r>
          </w:p>
        </w:tc>
        <w:tc>
          <w:tcPr>
            <w:tcW w:type="dxa" w:w="2016"/>
            <w:vAlign w:val="center"/>
          </w:tcPr>
          <w:p>
            <w:r/>
            <w:r>
              <w:rPr>
                <w:b w:val="0"/>
                <w:sz w:val="15"/>
              </w:rPr>
              <w:t>Medium category</w:t>
            </w:r>
          </w:p>
        </w:tc>
        <w:tc>
          <w:tcPr>
            <w:tcW w:type="dxa" w:w="2016"/>
            <w:vAlign w:val="center"/>
          </w:tcPr>
          <w:p>
            <w:r/>
            <w:r>
              <w:rPr>
                <w:b w:val="0"/>
                <w:sz w:val="15"/>
              </w:rPr>
              <w:t>Persistent sensing / coastal missions</w:t>
            </w:r>
          </w:p>
        </w:tc>
        <w:tc>
          <w:tcPr>
            <w:tcW w:type="dxa" w:w="2016"/>
            <w:vAlign w:val="center"/>
          </w:tcPr>
          <w:p>
            <w:r/>
            <w:r>
              <w:rPr>
                <w:b w:val="0"/>
                <w:sz w:val="15"/>
              </w:rPr>
              <w:t>Mission modules, endurance, supervised autonomy</w:t>
            </w:r>
          </w:p>
        </w:tc>
      </w:tr>
    </w:tbl>
    <w:p>
      <w:pPr>
        <w:pStyle w:val="Heading1"/>
        <w:keepNext/>
      </w:pPr>
      <w:r>
        <w:t>ANNEXURE C — CONCEPT-STAGE POLICY AND LOCATION REFERENCES</w:t>
      </w:r>
    </w:p>
    <w:p>
      <w:r>
        <w:t>These references informed the current strategic framing. They should be refreshed and legally/technically verified during DPR preparation; this concept note does not claim scheme eligibility or statutory approval.</w:t>
      </w:r>
    </w:p>
    <w:p>
      <w:pPr>
        <w:pStyle w:val="ListBullet"/>
        <w:spacing w:after="40"/>
        <w:ind w:left="360"/>
      </w:pPr>
      <w:r>
        <w:t>Ministry of Ports, Shipping and Waterways — Sagarmala programme overview: port-led development and National Perspective Plan framing.</w:t>
      </w:r>
    </w:p>
    <w:p>
      <w:pPr>
        <w:pStyle w:val="ListBullet"/>
        <w:spacing w:after="40"/>
        <w:ind w:left="360"/>
      </w:pPr>
      <w:r>
        <w:t>Press Information Bureau, 27 March 2025 — Sagarmala Programme / Sagarmala 2.0 and Sagarmala Startup Innovation Initiative (S2I2), including RISE framing.</w:t>
      </w:r>
    </w:p>
    <w:p>
      <w:pPr>
        <w:pStyle w:val="ListBullet"/>
        <w:spacing w:after="40"/>
        <w:ind w:left="360"/>
      </w:pPr>
      <w:r>
        <w:t>Press Information Bureau, 19 March 2025 — Sagarmala 2.0 focus on shipbuilding, repair, breaking and recycling, with investment-catalysis framing.</w:t>
      </w:r>
    </w:p>
    <w:p>
      <w:pPr>
        <w:pStyle w:val="ListBullet"/>
        <w:spacing w:after="40"/>
        <w:ind w:left="360"/>
      </w:pPr>
      <w:r>
        <w:t>Ministry of Ports, Shipping and Waterways — Maritime Amrit Kaal Vision 2047.</w:t>
      </w:r>
    </w:p>
    <w:p>
      <w:pPr>
        <w:pStyle w:val="ListBullet"/>
        <w:spacing w:after="40"/>
        <w:ind w:left="360"/>
      </w:pPr>
      <w:r>
        <w:t>Government / environmental-clearance project material for development of Vijaydurg Port — Vijaydurg port development context and approach-channel / manoeuvring-area parameters in the cited project documentation.</w:t>
      </w:r>
    </w:p>
    <w:p>
      <w:pPr>
        <w:pStyle w:val="ListBullet"/>
        <w:spacing w:after="40"/>
        <w:ind w:left="360"/>
      </w:pPr>
      <w:r>
        <w:t>Publicly available port references describing Vijaydurg as a natural harbour at the mouth of Vijaydurg Creek.</w:t>
      </w:r>
    </w:p>
    <w:p>
      <w:pPr>
        <w:pStyle w:val="ListBullet"/>
      </w:pPr>
      <w:r>
        <w:t>National Council for Vocational Education and Training - current Awarding Bodies register, listing Hydrocarbon Sector Skill Council as an Awarding Body (Standard), agreement signed, pan-India jurisdiction.</w:t>
      </w:r>
    </w:p>
    <w:p>
      <w:pPr>
        <w:pStyle w:val="ListBullet"/>
      </w:pPr>
      <w:r>
        <w:t>NCVET - current National Skills Qualification Framework notification and qualification approval/quality-assurance guidance.</w:t>
      </w:r>
    </w:p>
    <w:p>
      <w:pPr>
        <w:pStyle w:val="ListBullet"/>
      </w:pPr>
      <w:r>
        <w:t>Hydrocarbon Sector Skill Council - applicable Qualification Packs, National Occupational Standards, model curricula and hydrocarbon-sector skill-gap studies.</w:t>
      </w:r>
    </w:p>
    <w:p>
      <w:pPr>
        <w:pStyle w:val="ListBullet"/>
      </w:pPr>
      <w:r>
        <w:t>International Marine Contractors Association - current offshore diving code, diver-certificate recognition/verification, approved training course and competence guidance.</w:t>
      </w:r>
    </w:p>
    <w:p>
      <w:pPr>
        <w:pStyle w:val="ListBullet"/>
      </w:pPr>
      <w:r>
        <w:t>International Diving Schools Association - current Diver Training Standards and Operational/Administrative Procedures, including modular Levels 1-4.</w:t>
      </w:r>
    </w:p>
    <w:p>
      <w:pPr>
        <w:pStyle w:val="Heading1"/>
        <w:keepNext/>
      </w:pPr>
      <w:r>
        <w:t>CONCEPT-STAGE STATUS</w:t>
      </w:r>
    </w:p>
    <w:p>
      <w:r>
        <w:t>This concept note presents KOSMTP as a greenfield maritime skills, underwater technology, autonomous marine systems and applied research initiative proposed for the Vijaydurg Port / Creek Region. It is a concept-stage government engagement document and requires DPR-level technical, financial, legal, environmental, hydrographic and regulatory validation.</w:t>
      </w:r>
    </w:p>
    <w:sectPr w:rsidR="00FC693F" w:rsidRPr="0006063C" w:rsidSect="00034616">
      <w:headerReference w:type="default" r:id="rId9"/>
      <w:footerReference w:type="default" r:id="rId10"/>
      <w:pgSz w:w="12240" w:h="15840"/>
      <w:pgMar w:top="1008" w:right="1080"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sz w:val="16"/>
      </w:rPr>
      <w:t xml:space="preserve">KOSMTP | MMB Proposal with Strategic Additions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KOSMTP | GOVERNMENT ENGAGEMENT CONCEPT NOTE | VIJAYDURG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