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KOSMTP — RECOMMENDED APPROACH FOR MMB PRESENTATION</w:t>
      </w:r>
    </w:p>
    <w:p>
      <w:r>
        <w:t>Purpose: secure MMB's strategic guidance and a defined next-step pathway for Vijaydurg site pre-feasibility and DPR development. The first meeting should not be presented as a request for immediate land allotment, funding sanction or final PPP approval.</w:t>
      </w:r>
    </w:p>
    <w:p>
      <w:pPr>
        <w:pStyle w:val="Heading1"/>
      </w:pPr>
      <w:r>
        <w:t>1. Position the proposal correctly</w:t>
      </w:r>
    </w:p>
    <w:p>
      <w:r>
        <w:t>Present KOSMTP as a Maharashtra maritime capability project built around skills and qualifications plus four market-facing facilities: the Vijaydurg Maritime Living Lab and Sea-Validation Facility; the Marine Asset Integrity and Inspection Services Centre; the Applied Research and Maritime Data Centre; and the Marine Robotics Assembly, Repair and MRO Cluster. The central message is a learn–research–assemble–test–validate–deploy–support ecosystem.</w:t>
      </w:r>
    </w:p>
    <w:p>
      <w:pPr>
        <w:pStyle w:val="Heading1"/>
      </w:pPr>
      <w:r>
        <w:t>2. The first ask to MMB</w:t>
      </w:r>
    </w:p>
    <w:p>
      <w:r>
        <w:t>Ask for strategic feedback; MMB's view on Vijaydurg as a candidate location; a nodal technical interface; guidance for site pre-feasibility and data review; the DPR/PPP pathway; and a second-stage technical consultation with port, hydrographic, engineering and planning officials.</w:t>
      </w:r>
    </w:p>
    <w:p>
      <w:pPr>
        <w:pStyle w:val="Heading1"/>
      </w:pPr>
      <w:r>
        <w:t>3. What not to lead with</w:t>
      </w:r>
    </w:p>
    <w:p>
      <w:r>
        <w:t>Do not open with investment figures, a 25-acre request, defence applications or international certification terminology. Explain these only after MMB understands the maritime-development logic. Do not present preliminary NSQF levels, standards benchmarking or scheme convergence as already approved.</w:t>
      </w:r>
    </w:p>
    <w:p>
      <w:pPr>
        <w:pStyle w:val="Heading1"/>
      </w:pPr>
      <w:r>
        <w:t>4. Recommended meeting sequence</w:t>
      </w:r>
    </w:p>
    <w:p>
      <w:r>
        <w:t>Use 5 minutes for the Maharashtra problem and Vijaydurg opportunity; 10 minutes for the four-pillar model; 5 minutes for skills and research; 5 minutes for autonomous marine systems and test validation; and 10–15 minutes for MMB's questions. End with four requests: strategic feedback, location pre-feasibility guidance, nodal coordination and the DPR pathway.</w:t>
      </w:r>
    </w:p>
    <w:p>
      <w:pPr>
        <w:pStyle w:val="Heading1"/>
      </w:pPr>
      <w:r>
        <w:t>5. Phase-0 proof strategy</w:t>
      </w:r>
    </w:p>
    <w:p>
      <w:r>
        <w:t>Recommend a 12-month pilot before major campus CAPEX. The pilot should complete paid inspection assignments, operate selected short courses, mobilise initial MRO capability, establish the maritime data architecture, complete a controlled Vijaydurg technology demonstration and secure anchor-partner letters for the DPR.</w:t>
      </w:r>
    </w:p>
    <w:p>
      <w:pPr>
        <w:pStyle w:val="Heading1"/>
      </w:pPr>
      <w:r>
        <w:t>6. My recommended next document set</w:t>
      </w:r>
    </w:p>
    <w:p>
      <w:r>
        <w:t>After the CEO meeting, prepare: a 2-page Executive Brief; a 12-slide MMB presentation; a Vijaydurg Site Pre-Feasibility Terms of Reference; and a DPR structure covering CAPEX, OPEX, land/waterfront, regulatory, research, qualification and PPP workstreams. This is more credible than submitting a full DPR before MMB indicates that the location and project framing merit detailed examination.</w:t>
      </w:r>
    </w:p>
    <w:p>
      <w:pPr>
        <w:pStyle w:val="Heading1"/>
      </w:pPr>
      <w:r>
        <w:t>7. Recommended 12-slide CEO presentation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</w:tcPr>
          <w:p>
            <w:r>
              <w:rPr>
                <w:b/>
              </w:rPr>
              <w:t>Slide</w:t>
            </w:r>
          </w:p>
        </w:tc>
        <w:tc>
          <w:tcPr>
            <w:tcW w:type="dxa" w:w="5004"/>
          </w:tcPr>
          <w:p>
            <w:r>
              <w:rPr>
                <w:b/>
              </w:rPr>
              <w:t>Title</w:t>
            </w:r>
          </w:p>
        </w:tc>
      </w:tr>
      <w:tr>
        <w:tc>
          <w:tcPr>
            <w:tcW w:type="dxa" w:w="5004"/>
          </w:tcPr>
          <w:p>
            <w:r>
              <w:t>1</w:t>
            </w:r>
          </w:p>
        </w:tc>
        <w:tc>
          <w:tcPr>
            <w:tcW w:type="dxa" w:w="5004"/>
          </w:tcPr>
          <w:p>
            <w:r>
              <w:t>The opportunity</w:t>
            </w:r>
          </w:p>
        </w:tc>
      </w:tr>
      <w:tr>
        <w:tc>
          <w:tcPr>
            <w:tcW w:type="dxa" w:w="5004"/>
          </w:tcPr>
          <w:p>
            <w:r>
              <w:t>2</w:t>
            </w:r>
          </w:p>
        </w:tc>
        <w:tc>
          <w:tcPr>
            <w:tcW w:type="dxa" w:w="5004"/>
          </w:tcPr>
          <w:p>
            <w:r>
              <w:t>Why KOSMTP</w:t>
            </w:r>
          </w:p>
        </w:tc>
      </w:tr>
      <w:tr>
        <w:tc>
          <w:tcPr>
            <w:tcW w:type="dxa" w:w="5004"/>
          </w:tcPr>
          <w:p>
            <w:r>
              <w:t>3</w:t>
            </w:r>
          </w:p>
        </w:tc>
        <w:tc>
          <w:tcPr>
            <w:tcW w:type="dxa" w:w="5004"/>
          </w:tcPr>
          <w:p>
            <w:r>
              <w:t>Why Vijaydurg</w:t>
            </w:r>
          </w:p>
        </w:tc>
      </w:tr>
      <w:tr>
        <w:tc>
          <w:tcPr>
            <w:tcW w:type="dxa" w:w="5004"/>
          </w:tcPr>
          <w:p>
            <w:r>
              <w:t>4</w:t>
            </w:r>
          </w:p>
        </w:tc>
        <w:tc>
          <w:tcPr>
            <w:tcW w:type="dxa" w:w="5004"/>
          </w:tcPr>
          <w:p>
            <w:r>
              <w:t>Four strategic operating facilities</w:t>
            </w:r>
          </w:p>
        </w:tc>
      </w:tr>
      <w:tr>
        <w:tc>
          <w:tcPr>
            <w:tcW w:type="dxa" w:w="5004"/>
          </w:tcPr>
          <w:p>
            <w:r>
              <w:t>5</w:t>
            </w:r>
          </w:p>
        </w:tc>
        <w:tc>
          <w:tcPr>
            <w:tcW w:type="dxa" w:w="5004"/>
          </w:tcPr>
          <w:p>
            <w:r>
              <w:t>Underwater skills architecture</w:t>
            </w:r>
          </w:p>
        </w:tc>
      </w:tr>
      <w:tr>
        <w:tc>
          <w:tcPr>
            <w:tcW w:type="dxa" w:w="5004"/>
          </w:tcPr>
          <w:p>
            <w:r>
              <w:t>6</w:t>
            </w:r>
          </w:p>
        </w:tc>
        <w:tc>
          <w:tcPr>
            <w:tcW w:type="dxa" w:w="5004"/>
          </w:tcPr>
          <w:p>
            <w:r>
              <w:t>Marine Robotics Assembly, Repair and MRO</w:t>
            </w:r>
          </w:p>
        </w:tc>
      </w:tr>
      <w:tr>
        <w:tc>
          <w:tcPr>
            <w:tcW w:type="dxa" w:w="5004"/>
          </w:tcPr>
          <w:p>
            <w:r>
              <w:t>7</w:t>
            </w:r>
          </w:p>
        </w:tc>
        <w:tc>
          <w:tcPr>
            <w:tcW w:type="dxa" w:w="5004"/>
          </w:tcPr>
          <w:p>
            <w:r>
              <w:t>Applied Research and Maritime Data Centre</w:t>
            </w:r>
          </w:p>
        </w:tc>
      </w:tr>
      <w:tr>
        <w:tc>
          <w:tcPr>
            <w:tcW w:type="dxa" w:w="5004"/>
          </w:tcPr>
          <w:p>
            <w:r>
              <w:t>8</w:t>
            </w:r>
          </w:p>
        </w:tc>
        <w:tc>
          <w:tcPr>
            <w:tcW w:type="dxa" w:w="5004"/>
          </w:tcPr>
          <w:p>
            <w:r>
              <w:t>Asset Integrity and Inspection Services</w:t>
            </w:r>
          </w:p>
        </w:tc>
      </w:tr>
      <w:tr>
        <w:tc>
          <w:tcPr>
            <w:tcW w:type="dxa" w:w="5004"/>
          </w:tcPr>
          <w:p>
            <w:r>
              <w:t>9</w:t>
            </w:r>
          </w:p>
        </w:tc>
        <w:tc>
          <w:tcPr>
            <w:tcW w:type="dxa" w:w="5004"/>
          </w:tcPr>
          <w:p>
            <w:r>
              <w:t>Maritime Living Lab and Sea-Validation Facility</w:t>
            </w:r>
          </w:p>
        </w:tc>
      </w:tr>
      <w:tr>
        <w:tc>
          <w:tcPr>
            <w:tcW w:type="dxa" w:w="5004"/>
          </w:tcPr>
          <w:p>
            <w:r>
              <w:t>10</w:t>
            </w:r>
          </w:p>
        </w:tc>
        <w:tc>
          <w:tcPr>
            <w:tcW w:type="dxa" w:w="5004"/>
          </w:tcPr>
          <w:p>
            <w:r>
              <w:t>Phased implementation</w:t>
            </w:r>
          </w:p>
        </w:tc>
      </w:tr>
      <w:tr>
        <w:tc>
          <w:tcPr>
            <w:tcW w:type="dxa" w:w="5004"/>
          </w:tcPr>
          <w:p>
            <w:r>
              <w:t>11</w:t>
            </w:r>
          </w:p>
        </w:tc>
        <w:tc>
          <w:tcPr>
            <w:tcW w:type="dxa" w:w="5004"/>
          </w:tcPr>
          <w:p>
            <w:r>
              <w:t>Maharashtra impact</w:t>
            </w:r>
          </w:p>
        </w:tc>
      </w:tr>
      <w:tr>
        <w:tc>
          <w:tcPr>
            <w:tcW w:type="dxa" w:w="5004"/>
          </w:tcPr>
          <w:p>
            <w:r>
              <w:t>12</w:t>
            </w:r>
          </w:p>
        </w:tc>
        <w:tc>
          <w:tcPr>
            <w:tcW w:type="dxa" w:w="5004"/>
          </w:tcPr>
          <w:p>
            <w:r>
              <w:t>Our request to MMB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KOSMTP | MMB Engagement Approach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